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F945A1">
      <w:pPr>
        <w:keepNext/>
        <w:keepLines/>
        <w:adjustRightInd w:val="0"/>
        <w:snapToGrid w:val="0"/>
        <w:spacing w:after="0"/>
        <w:jc w:val="center"/>
        <w:textAlignment w:val="baseline"/>
        <w:outlineLvl w:val="0"/>
        <w:rPr>
          <w:rFonts w:hint="eastAsia" w:ascii="Cambria" w:hAnsi="Cambria"/>
          <w:b/>
          <w:bCs/>
          <w:color w:val="auto"/>
          <w:sz w:val="24"/>
          <w:szCs w:val="22"/>
          <w:highlight w:val="none"/>
        </w:rPr>
      </w:pPr>
      <w:bookmarkStart w:id="0" w:name="_Toc7269"/>
      <w:bookmarkStart w:id="1" w:name="_Toc22502"/>
      <w:r>
        <w:rPr>
          <w:rFonts w:hint="eastAsia" w:ascii="Cambria" w:hAnsi="Cambria"/>
          <w:b/>
          <w:bCs/>
          <w:color w:val="auto"/>
          <w:sz w:val="24"/>
          <w:szCs w:val="22"/>
          <w:highlight w:val="none"/>
        </w:rPr>
        <w:t>武汉理工大学马房山校区、南湖校区学生公寓自助直饮水服务项目</w:t>
      </w:r>
    </w:p>
    <w:p w14:paraId="1F0FD9BC">
      <w:pPr>
        <w:keepNext/>
        <w:keepLines/>
        <w:adjustRightInd w:val="0"/>
        <w:snapToGrid w:val="0"/>
        <w:spacing w:after="0"/>
        <w:jc w:val="center"/>
        <w:textAlignment w:val="baseline"/>
        <w:outlineLvl w:val="0"/>
        <w:rPr>
          <w:rFonts w:ascii="宋体" w:hAnsi="宋体" w:cs="宋体"/>
          <w:b/>
          <w:bCs/>
          <w:color w:val="auto"/>
          <w:sz w:val="24"/>
          <w:szCs w:val="22"/>
          <w:highlight w:val="none"/>
          <w:lang w:bidi="ar"/>
        </w:rPr>
      </w:pPr>
      <w:r>
        <w:rPr>
          <w:rFonts w:hint="eastAsia" w:ascii="Cambria" w:hAnsi="Cambria"/>
          <w:b/>
          <w:bCs/>
          <w:color w:val="auto"/>
          <w:sz w:val="24"/>
          <w:szCs w:val="22"/>
          <w:highlight w:val="none"/>
        </w:rPr>
        <w:t>竞争性磋商</w:t>
      </w:r>
      <w:bookmarkEnd w:id="0"/>
      <w:r>
        <w:rPr>
          <w:rFonts w:hint="eastAsia" w:ascii="Cambria" w:hAnsi="Cambria"/>
          <w:b/>
          <w:bCs/>
          <w:color w:val="auto"/>
          <w:sz w:val="24"/>
          <w:szCs w:val="22"/>
          <w:highlight w:val="none"/>
        </w:rPr>
        <w:t>公告</w:t>
      </w:r>
      <w:bookmarkEnd w:id="1"/>
    </w:p>
    <w:p w14:paraId="276884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textAlignment w:val="auto"/>
        <w:rPr>
          <w:rFonts w:hint="eastAsia" w:ascii="宋体" w:hAnsi="宋体" w:eastAsia="宋体" w:cs="宋体"/>
          <w:b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sz w:val="21"/>
          <w:szCs w:val="21"/>
          <w:highlight w:val="none"/>
        </w:rPr>
        <w:t>项目概况</w:t>
      </w:r>
    </w:p>
    <w:p w14:paraId="275C94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b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u w:val="single"/>
        </w:rPr>
        <w:t>武汉理工大学马房山校区、南湖校区学生公寓自助直饮水服务项目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的潜在供应商应在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>网上或现场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获取采购文件，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并于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2026年7月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22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日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点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30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分</w:t>
      </w:r>
      <w:bookmarkStart w:id="5" w:name="_GoBack"/>
      <w:bookmarkEnd w:id="5"/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（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北京时间）前递交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响应文件。</w:t>
      </w:r>
    </w:p>
    <w:p w14:paraId="49ED68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jc w:val="both"/>
        <w:textAlignment w:val="auto"/>
        <w:outlineLvl w:val="1"/>
        <w:rPr>
          <w:rFonts w:hint="eastAsia" w:ascii="宋体" w:hAnsi="宋体" w:eastAsia="宋体" w:cs="宋体"/>
          <w:b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sz w:val="21"/>
          <w:szCs w:val="21"/>
          <w:highlight w:val="none"/>
        </w:rPr>
        <w:t>一、项目基本情况：</w:t>
      </w:r>
    </w:p>
    <w:p w14:paraId="59C809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1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项目编号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WHXLH-202606-994</w:t>
      </w:r>
    </w:p>
    <w:p w14:paraId="4B9BDD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2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项目名称：武汉理工大学马房山校区、南湖校区学生公寓自助直饮水服务项目</w:t>
      </w:r>
    </w:p>
    <w:p w14:paraId="13E810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3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采购方式：竞争性磋商</w:t>
      </w:r>
    </w:p>
    <w:p w14:paraId="78D89C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4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预算金额：</w:t>
      </w:r>
      <w:r>
        <w:rPr>
          <w:rFonts w:hint="eastAsia" w:ascii="宋体" w:hAnsi="宋体" w:cs="宋体"/>
          <w:sz w:val="21"/>
          <w:szCs w:val="21"/>
          <w:highlight w:val="none"/>
          <w:u w:val="single"/>
          <w:lang w:val="en-US" w:eastAsia="zh-CN"/>
        </w:rPr>
        <w:t>0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万元（人民币）</w:t>
      </w:r>
    </w:p>
    <w:p w14:paraId="1A737B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5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最高限价（如有）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：</w:t>
      </w:r>
      <w:r>
        <w:rPr>
          <w:rFonts w:hint="eastAsia" w:ascii="宋体" w:hAnsi="宋体" w:cs="宋体"/>
          <w:sz w:val="21"/>
          <w:szCs w:val="21"/>
          <w:highlight w:val="none"/>
          <w:u w:val="single"/>
          <w:lang w:val="en-US" w:eastAsia="zh-CN"/>
        </w:rPr>
        <w:t>0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万元（人民币）</w:t>
      </w:r>
    </w:p>
    <w:p w14:paraId="2DBFC0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textAlignment w:val="auto"/>
        <w:rPr>
          <w:rFonts w:hint="default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6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采购需求：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本项目共分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2个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包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：</w:t>
      </w:r>
    </w:p>
    <w:p w14:paraId="4A3B2F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2" w:firstLineChars="200"/>
        <w:textAlignment w:val="auto"/>
        <w:rPr>
          <w:rFonts w:hint="default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  <w:t>包1：</w:t>
      </w:r>
    </w:p>
    <w:tbl>
      <w:tblPr>
        <w:tblStyle w:val="3"/>
        <w:tblW w:w="464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64"/>
        <w:gridCol w:w="1855"/>
        <w:gridCol w:w="2211"/>
        <w:gridCol w:w="631"/>
        <w:gridCol w:w="639"/>
        <w:gridCol w:w="1829"/>
      </w:tblGrid>
      <w:tr w14:paraId="1E9E19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1" w:hRule="atLeast"/>
          <w:jc w:val="center"/>
        </w:trPr>
        <w:tc>
          <w:tcPr>
            <w:tcW w:w="365" w:type="pct"/>
            <w:vAlign w:val="center"/>
          </w:tcPr>
          <w:p w14:paraId="5007E53F">
            <w:pPr>
              <w:jc w:val="center"/>
              <w:rPr>
                <w:rFonts w:ascii="宋体" w:hAnsi="宋体" w:cs="Times New Roman"/>
                <w:b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Times New Roman"/>
                <w:b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序</w:t>
            </w:r>
            <w:r>
              <w:rPr>
                <w:rFonts w:hint="eastAsia" w:ascii="宋体" w:hAnsi="宋体" w:cs="Times New Roman"/>
                <w:b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号</w:t>
            </w:r>
          </w:p>
        </w:tc>
        <w:tc>
          <w:tcPr>
            <w:tcW w:w="1199" w:type="pct"/>
            <w:vAlign w:val="center"/>
          </w:tcPr>
          <w:p w14:paraId="0ED6339E">
            <w:pPr>
              <w:widowControl/>
              <w:jc w:val="center"/>
              <w:rPr>
                <w:rFonts w:ascii="宋体" w:hAnsi="宋体" w:cs="Times New Roman"/>
                <w:b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Times New Roman"/>
                <w:b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标的名称</w:t>
            </w:r>
          </w:p>
        </w:tc>
        <w:tc>
          <w:tcPr>
            <w:tcW w:w="1429" w:type="pct"/>
            <w:vAlign w:val="center"/>
          </w:tcPr>
          <w:p w14:paraId="23633BE7">
            <w:pPr>
              <w:widowControl/>
              <w:spacing w:line="240" w:lineRule="auto"/>
              <w:jc w:val="center"/>
              <w:rPr>
                <w:rFonts w:ascii="宋体" w:hAnsi="宋体" w:cs="Times New Roman"/>
                <w:b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Times New Roman"/>
                <w:b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单价</w:t>
            </w:r>
            <w:r>
              <w:rPr>
                <w:rFonts w:hint="eastAsia" w:ascii="宋体" w:hAnsi="宋体" w:cs="Times New Roman"/>
                <w:b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最高</w:t>
            </w:r>
            <w:r>
              <w:rPr>
                <w:rFonts w:hint="eastAsia" w:ascii="宋体" w:hAnsi="宋体" w:cs="Times New Roman"/>
                <w:b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限价</w:t>
            </w:r>
          </w:p>
        </w:tc>
        <w:tc>
          <w:tcPr>
            <w:tcW w:w="408" w:type="pct"/>
            <w:vAlign w:val="center"/>
          </w:tcPr>
          <w:p w14:paraId="5E5A256B">
            <w:pPr>
              <w:widowControl/>
              <w:spacing w:line="360" w:lineRule="auto"/>
              <w:jc w:val="center"/>
              <w:rPr>
                <w:rFonts w:ascii="宋体" w:hAnsi="宋体" w:cs="Times New Roman"/>
                <w:b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Times New Roman"/>
                <w:b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413" w:type="pct"/>
            <w:vAlign w:val="center"/>
          </w:tcPr>
          <w:p w14:paraId="27571C64">
            <w:pPr>
              <w:widowControl/>
              <w:spacing w:line="360" w:lineRule="auto"/>
              <w:jc w:val="center"/>
              <w:rPr>
                <w:rFonts w:ascii="宋体" w:hAnsi="宋体" w:cs="Times New Roman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Times New Roman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182" w:type="pct"/>
            <w:vAlign w:val="center"/>
          </w:tcPr>
          <w:p w14:paraId="482504D6">
            <w:pPr>
              <w:widowControl/>
              <w:spacing w:line="360" w:lineRule="auto"/>
              <w:jc w:val="center"/>
              <w:rPr>
                <w:rFonts w:hint="eastAsia" w:ascii="宋体" w:hAnsi="宋体" w:eastAsia="宋体" w:cs="Times New Roman"/>
                <w:b/>
                <w:color w:val="000000" w:themeColor="text1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Times New Roman"/>
                <w:b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11A4D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77" w:hRule="exact"/>
          <w:jc w:val="center"/>
        </w:trPr>
        <w:tc>
          <w:tcPr>
            <w:tcW w:w="365" w:type="pct"/>
            <w:vAlign w:val="center"/>
          </w:tcPr>
          <w:p w14:paraId="3F07BFB2">
            <w:pPr>
              <w:jc w:val="center"/>
              <w:rPr>
                <w:rFonts w:ascii="宋体" w:hAnsi="宋体" w:cs="Times New Roman"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Times New Roman"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199" w:type="pct"/>
            <w:vAlign w:val="center"/>
          </w:tcPr>
          <w:p w14:paraId="2CE2BCB6">
            <w:pPr>
              <w:widowControl/>
              <w:jc w:val="center"/>
              <w:rPr>
                <w:rFonts w:ascii="宋体" w:hAnsi="宋体" w:cs="Times New Roman"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Times New Roman"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武汉理工大学马房山校区、南湖校区学生公寓自助直饮水服务</w:t>
            </w:r>
          </w:p>
        </w:tc>
        <w:tc>
          <w:tcPr>
            <w:tcW w:w="1429" w:type="pct"/>
            <w:vAlign w:val="center"/>
          </w:tcPr>
          <w:p w14:paraId="5DE48094">
            <w:pPr>
              <w:widowControl/>
              <w:jc w:val="center"/>
              <w:rPr>
                <w:rFonts w:ascii="宋体" w:hAnsi="宋体" w:cs="Times New Roman"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Times New Roman"/>
                <w:color w:val="auto"/>
                <w:szCs w:val="24"/>
                <w:highlight w:val="none"/>
              </w:rPr>
              <w:t>供应商针对直饮水服务收费标准进行报价，在最高限价的基础进行下浮，最高限价:</w:t>
            </w:r>
            <w:r>
              <w:rPr>
                <w:rFonts w:hint="eastAsia" w:ascii="宋体" w:hAnsi="宋体" w:cs="Times New Roman"/>
                <w:color w:val="auto"/>
                <w:szCs w:val="21"/>
                <w:highlight w:val="none"/>
              </w:rPr>
              <w:t>直开水：</w:t>
            </w:r>
            <w:r>
              <w:rPr>
                <w:rFonts w:hint="eastAsia" w:ascii="宋体" w:hAnsi="宋体" w:cs="Times New Roman"/>
                <w:color w:val="auto"/>
                <w:szCs w:val="21"/>
                <w:highlight w:val="none"/>
                <w:lang w:val="en-US" w:eastAsia="zh-CN"/>
              </w:rPr>
              <w:t>0.23</w:t>
            </w:r>
            <w:r>
              <w:rPr>
                <w:rFonts w:hint="eastAsia" w:ascii="宋体" w:hAnsi="宋体" w:cs="Times New Roman"/>
                <w:color w:val="auto"/>
                <w:szCs w:val="21"/>
                <w:highlight w:val="none"/>
              </w:rPr>
              <w:t>元/升，直饮水</w:t>
            </w:r>
            <w:r>
              <w:rPr>
                <w:rFonts w:hint="eastAsia" w:ascii="宋体" w:hAnsi="宋体" w:cs="Times New Roman"/>
                <w:color w:val="auto"/>
                <w:szCs w:val="21"/>
                <w:highlight w:val="none"/>
                <w:lang w:val="en-US" w:eastAsia="zh-CN"/>
              </w:rPr>
              <w:t>0.23</w:t>
            </w:r>
            <w:r>
              <w:rPr>
                <w:rFonts w:hint="eastAsia" w:ascii="宋体" w:hAnsi="宋体" w:cs="Times New Roman"/>
                <w:color w:val="auto"/>
                <w:szCs w:val="21"/>
                <w:highlight w:val="none"/>
              </w:rPr>
              <w:t>元/升</w:t>
            </w:r>
            <w:r>
              <w:rPr>
                <w:rFonts w:hint="eastAsia" w:ascii="宋体" w:hAnsi="宋体" w:cs="Times New Roman"/>
                <w:color w:val="auto"/>
                <w:szCs w:val="21"/>
                <w:highlight w:val="none"/>
                <w:lang w:eastAsia="zh-CN"/>
              </w:rPr>
              <w:t>。</w:t>
            </w:r>
          </w:p>
        </w:tc>
        <w:tc>
          <w:tcPr>
            <w:tcW w:w="408" w:type="pct"/>
            <w:vAlign w:val="center"/>
          </w:tcPr>
          <w:p w14:paraId="3DFFB3D3">
            <w:pPr>
              <w:widowControl/>
              <w:jc w:val="center"/>
              <w:rPr>
                <w:rFonts w:ascii="宋体" w:hAnsi="宋体" w:cs="Times New Roman"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Times New Roman"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413" w:type="pct"/>
            <w:vAlign w:val="center"/>
          </w:tcPr>
          <w:p w14:paraId="1C353609">
            <w:pPr>
              <w:widowControl/>
              <w:jc w:val="center"/>
              <w:rPr>
                <w:rFonts w:ascii="宋体" w:hAnsi="宋体" w:cs="Times New Roman"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Times New Roman"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  <w:tc>
          <w:tcPr>
            <w:tcW w:w="1182" w:type="pct"/>
            <w:vAlign w:val="center"/>
          </w:tcPr>
          <w:p w14:paraId="464197EB">
            <w:pPr>
              <w:widowControl/>
              <w:jc w:val="center"/>
              <w:rPr>
                <w:rFonts w:hint="eastAsia" w:ascii="宋体" w:hAnsi="宋体" w:eastAsia="宋体" w:cs="Times New Roman"/>
                <w:color w:val="000000" w:themeColor="text1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highlight w:val="none"/>
                <w:lang w:val="en-US" w:eastAsia="zh-CN"/>
              </w:rPr>
              <w:t>供应商针对各项服务的报价均不得超过对应的最高限价，超过任意一项最高限价的将按无效响应处理。</w:t>
            </w:r>
          </w:p>
        </w:tc>
      </w:tr>
    </w:tbl>
    <w:p w14:paraId="62660F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2" w:firstLineChars="200"/>
        <w:jc w:val="both"/>
        <w:textAlignment w:val="auto"/>
        <w:rPr>
          <w:rFonts w:hint="eastAsia" w:ascii="宋体" w:hAnsi="宋体" w:cs="宋体"/>
          <w:b/>
          <w:bCs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highlight w:val="none"/>
          <w:lang w:val="en-US" w:eastAsia="zh-CN"/>
        </w:rPr>
        <w:t>包2：</w:t>
      </w:r>
    </w:p>
    <w:tbl>
      <w:tblPr>
        <w:tblStyle w:val="3"/>
        <w:tblW w:w="463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69"/>
        <w:gridCol w:w="1820"/>
        <w:gridCol w:w="1309"/>
        <w:gridCol w:w="673"/>
        <w:gridCol w:w="1215"/>
        <w:gridCol w:w="903"/>
        <w:gridCol w:w="1212"/>
      </w:tblGrid>
      <w:tr w14:paraId="2757AA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16" w:hRule="atLeast"/>
          <w:jc w:val="center"/>
        </w:trPr>
        <w:tc>
          <w:tcPr>
            <w:tcW w:w="375" w:type="pct"/>
            <w:vAlign w:val="center"/>
          </w:tcPr>
          <w:p w14:paraId="1CEB90C4">
            <w:pPr>
              <w:jc w:val="center"/>
              <w:rPr>
                <w:rFonts w:ascii="宋体" w:hAnsi="宋体" w:cs="Times New Roman"/>
                <w:b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Times New Roman"/>
                <w:b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序</w:t>
            </w:r>
            <w:r>
              <w:rPr>
                <w:rFonts w:hint="eastAsia" w:ascii="宋体" w:hAnsi="宋体" w:cs="Times New Roman"/>
                <w:b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号</w:t>
            </w:r>
          </w:p>
        </w:tc>
        <w:tc>
          <w:tcPr>
            <w:tcW w:w="1187" w:type="pct"/>
            <w:vAlign w:val="center"/>
          </w:tcPr>
          <w:p w14:paraId="4DA5F41E">
            <w:pPr>
              <w:widowControl/>
              <w:jc w:val="center"/>
              <w:rPr>
                <w:rFonts w:ascii="宋体" w:hAnsi="宋体" w:cs="Times New Roman"/>
                <w:b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Times New Roman"/>
                <w:b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标的名称</w:t>
            </w:r>
          </w:p>
        </w:tc>
        <w:tc>
          <w:tcPr>
            <w:tcW w:w="855" w:type="pct"/>
            <w:vAlign w:val="center"/>
          </w:tcPr>
          <w:p w14:paraId="75537B51">
            <w:pPr>
              <w:widowControl/>
              <w:spacing w:line="240" w:lineRule="auto"/>
              <w:jc w:val="center"/>
              <w:rPr>
                <w:rFonts w:hint="default" w:ascii="宋体" w:hAnsi="宋体" w:eastAsia="宋体" w:cs="Times New Roman"/>
                <w:b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Times New Roman"/>
                <w:b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设备规格</w:t>
            </w:r>
          </w:p>
        </w:tc>
        <w:tc>
          <w:tcPr>
            <w:tcW w:w="402" w:type="pct"/>
            <w:vAlign w:val="center"/>
          </w:tcPr>
          <w:p w14:paraId="41A3C285">
            <w:pPr>
              <w:widowControl/>
              <w:spacing w:line="360" w:lineRule="auto"/>
              <w:jc w:val="center"/>
              <w:rPr>
                <w:rFonts w:hint="eastAsia" w:ascii="宋体" w:hAnsi="宋体" w:eastAsia="宋体" w:cs="Times New Roman"/>
                <w:b/>
                <w:color w:val="000000" w:themeColor="text1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Times New Roman"/>
                <w:b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数量</w:t>
            </w:r>
            <w:r>
              <w:rPr>
                <w:rFonts w:hint="eastAsia" w:ascii="宋体" w:hAnsi="宋体" w:cs="Times New Roman"/>
                <w:b/>
                <w:color w:val="000000" w:themeColor="text1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Times New Roman"/>
                <w:b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  <w:r>
              <w:rPr>
                <w:rFonts w:hint="eastAsia" w:ascii="宋体" w:hAnsi="宋体" w:cs="Times New Roman"/>
                <w:b/>
                <w:color w:val="000000" w:themeColor="text1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794" w:type="pct"/>
            <w:vAlign w:val="center"/>
          </w:tcPr>
          <w:p w14:paraId="053A9DE0">
            <w:pPr>
              <w:widowControl/>
              <w:spacing w:line="360" w:lineRule="auto"/>
              <w:jc w:val="center"/>
              <w:rPr>
                <w:rFonts w:hint="default" w:ascii="宋体" w:hAnsi="宋体" w:eastAsia="宋体" w:cs="Times New Roman"/>
                <w:b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Times New Roman"/>
                <w:b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每台小计（单价最高限价）</w:t>
            </w:r>
          </w:p>
        </w:tc>
        <w:tc>
          <w:tcPr>
            <w:tcW w:w="592" w:type="pct"/>
            <w:vAlign w:val="center"/>
          </w:tcPr>
          <w:p w14:paraId="192A464C">
            <w:pPr>
              <w:widowControl/>
              <w:spacing w:line="360" w:lineRule="auto"/>
              <w:jc w:val="center"/>
              <w:rPr>
                <w:rFonts w:hint="default" w:ascii="宋体" w:hAnsi="宋体" w:cs="Times New Roman"/>
                <w:b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Times New Roman"/>
                <w:b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总价</w:t>
            </w:r>
          </w:p>
        </w:tc>
        <w:tc>
          <w:tcPr>
            <w:tcW w:w="792" w:type="pct"/>
            <w:vAlign w:val="center"/>
          </w:tcPr>
          <w:p w14:paraId="138F58A0">
            <w:pPr>
              <w:widowControl/>
              <w:spacing w:line="360" w:lineRule="auto"/>
              <w:jc w:val="center"/>
              <w:rPr>
                <w:rFonts w:hint="default" w:ascii="宋体" w:hAnsi="宋体" w:cs="Times New Roman"/>
                <w:b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Times New Roman"/>
                <w:b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0A4E7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545" w:hRule="exact"/>
          <w:jc w:val="center"/>
        </w:trPr>
        <w:tc>
          <w:tcPr>
            <w:tcW w:w="375" w:type="pct"/>
            <w:vMerge w:val="restart"/>
            <w:vAlign w:val="center"/>
          </w:tcPr>
          <w:p w14:paraId="3E37D462">
            <w:pPr>
              <w:jc w:val="center"/>
              <w:rPr>
                <w:rFonts w:ascii="宋体" w:hAnsi="宋体" w:cs="Times New Roman"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Times New Roman"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187" w:type="pct"/>
            <w:vMerge w:val="restart"/>
            <w:vAlign w:val="center"/>
          </w:tcPr>
          <w:p w14:paraId="410ED316">
            <w:pPr>
              <w:widowControl/>
              <w:jc w:val="center"/>
              <w:rPr>
                <w:rFonts w:ascii="宋体" w:hAnsi="宋体" w:cs="Times New Roman"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Times New Roman"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武汉理工大学马房山校区</w:t>
            </w:r>
            <w:r>
              <w:rPr>
                <w:rFonts w:hint="eastAsia"/>
                <w:highlight w:val="none"/>
                <w:lang w:eastAsia="zh-CN"/>
              </w:rPr>
              <w:t>、南湖校区</w:t>
            </w:r>
            <w:r>
              <w:rPr>
                <w:rFonts w:hint="eastAsia" w:ascii="宋体" w:hAnsi="宋体" w:cs="Times New Roman"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教学楼租赁</w:t>
            </w:r>
            <w:r>
              <w:rPr>
                <w:rFonts w:hint="eastAsia" w:ascii="宋体" w:hAnsi="宋体" w:cs="Times New Roman"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直饮水</w:t>
            </w:r>
            <w:r>
              <w:rPr>
                <w:rFonts w:hint="eastAsia" w:ascii="宋体" w:hAnsi="宋体" w:cs="Times New Roman"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机</w:t>
            </w:r>
            <w:r>
              <w:rPr>
                <w:rFonts w:hint="eastAsia" w:ascii="宋体" w:hAnsi="宋体" w:cs="Times New Roman"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服务</w:t>
            </w:r>
          </w:p>
        </w:tc>
        <w:tc>
          <w:tcPr>
            <w:tcW w:w="855" w:type="pct"/>
            <w:vAlign w:val="center"/>
          </w:tcPr>
          <w:p w14:paraId="61AD1F2B">
            <w:pPr>
              <w:widowControl/>
              <w:jc w:val="center"/>
              <w:rPr>
                <w:rFonts w:hint="eastAsia" w:ascii="宋体" w:hAnsi="宋体" w:eastAsia="宋体" w:cs="Times New Roman"/>
                <w:color w:val="000000" w:themeColor="text1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大三口机</w:t>
            </w:r>
            <w:r>
              <w:rPr>
                <w:rFonts w:hint="eastAsia" w:ascii="宋体" w:hAnsi="宋体" w:cs="Times New Roman"/>
                <w:color w:val="000000" w:themeColor="text1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Times New Roman"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温水、开水、凉水</w:t>
            </w:r>
            <w:r>
              <w:rPr>
                <w:rFonts w:hint="eastAsia" w:ascii="宋体" w:hAnsi="宋体" w:cs="Times New Roman"/>
                <w:color w:val="000000" w:themeColor="text1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402" w:type="pct"/>
            <w:vAlign w:val="center"/>
          </w:tcPr>
          <w:p w14:paraId="2E0D2DA5">
            <w:pPr>
              <w:widowControl/>
              <w:jc w:val="center"/>
              <w:rPr>
                <w:rFonts w:hint="default" w:ascii="宋体" w:hAnsi="宋体" w:eastAsia="宋体" w:cs="Times New Roman"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Times New Roman"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35台</w:t>
            </w:r>
          </w:p>
        </w:tc>
        <w:tc>
          <w:tcPr>
            <w:tcW w:w="794" w:type="pct"/>
            <w:vAlign w:val="center"/>
          </w:tcPr>
          <w:p w14:paraId="18F3BD32">
            <w:pPr>
              <w:widowControl/>
              <w:jc w:val="center"/>
              <w:rPr>
                <w:rFonts w:hint="default" w:ascii="宋体" w:hAnsi="宋体" w:eastAsia="宋体" w:cs="Times New Roman"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Times New Roman"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4000元/台/年</w:t>
            </w:r>
          </w:p>
        </w:tc>
        <w:tc>
          <w:tcPr>
            <w:tcW w:w="592" w:type="pct"/>
            <w:vMerge w:val="restart"/>
            <w:vAlign w:val="center"/>
          </w:tcPr>
          <w:p w14:paraId="073A45AB">
            <w:pPr>
              <w:widowControl/>
              <w:jc w:val="center"/>
              <w:rPr>
                <w:rFonts w:hint="default" w:ascii="宋体" w:hAnsi="宋体" w:eastAsia="宋体" w:cs="Times New Roman"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Times New Roman"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215000元</w:t>
            </w:r>
          </w:p>
        </w:tc>
        <w:tc>
          <w:tcPr>
            <w:tcW w:w="792" w:type="pct"/>
            <w:vMerge w:val="restart"/>
            <w:vAlign w:val="center"/>
          </w:tcPr>
          <w:p w14:paraId="3D152189">
            <w:pPr>
              <w:widowControl/>
              <w:jc w:val="center"/>
              <w:rPr>
                <w:rFonts w:hint="default" w:ascii="宋体" w:hAnsi="宋体" w:cs="Times New Roman"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highlight w:val="none"/>
                <w:lang w:val="en-US" w:eastAsia="zh-CN"/>
              </w:rPr>
              <w:t>供应商针对各项服务的报价均不得超过对应的最高限价，超过任意一项最高限价的将按无效响应处理。</w:t>
            </w:r>
          </w:p>
        </w:tc>
      </w:tr>
      <w:tr w14:paraId="5BFAB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55" w:hRule="exact"/>
          <w:jc w:val="center"/>
        </w:trPr>
        <w:tc>
          <w:tcPr>
            <w:tcW w:w="375" w:type="pct"/>
            <w:vMerge w:val="continue"/>
            <w:vAlign w:val="center"/>
          </w:tcPr>
          <w:p w14:paraId="03BAE3B9">
            <w:pPr>
              <w:jc w:val="center"/>
              <w:rPr>
                <w:rFonts w:hint="eastAsia" w:ascii="宋体" w:hAnsi="宋体" w:cs="Times New Roman"/>
                <w:color w:val="000000" w:themeColor="text1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87" w:type="pct"/>
            <w:vMerge w:val="continue"/>
            <w:vAlign w:val="center"/>
          </w:tcPr>
          <w:p w14:paraId="6EBEEAA8">
            <w:pPr>
              <w:widowControl/>
              <w:jc w:val="center"/>
              <w:rPr>
                <w:rFonts w:hint="eastAsia" w:ascii="宋体" w:hAnsi="宋体" w:cs="Times New Roman"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5" w:type="pct"/>
            <w:vAlign w:val="center"/>
          </w:tcPr>
          <w:p w14:paraId="1830FC43">
            <w:pPr>
              <w:widowControl/>
              <w:jc w:val="center"/>
              <w:rPr>
                <w:rFonts w:hint="eastAsia" w:ascii="宋体" w:hAnsi="宋体" w:eastAsia="宋体" w:cs="Times New Roman"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Times New Roman"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两口机（开水、凉水）</w:t>
            </w:r>
          </w:p>
        </w:tc>
        <w:tc>
          <w:tcPr>
            <w:tcW w:w="402" w:type="pct"/>
            <w:vAlign w:val="center"/>
          </w:tcPr>
          <w:p w14:paraId="000CBF23">
            <w:pPr>
              <w:widowControl/>
              <w:jc w:val="center"/>
              <w:rPr>
                <w:rFonts w:hint="default" w:ascii="宋体" w:hAnsi="宋体" w:eastAsia="宋体" w:cs="Times New Roman"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Times New Roman"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25台</w:t>
            </w:r>
          </w:p>
        </w:tc>
        <w:tc>
          <w:tcPr>
            <w:tcW w:w="794" w:type="pct"/>
            <w:vAlign w:val="center"/>
          </w:tcPr>
          <w:p w14:paraId="16FE730D">
            <w:pPr>
              <w:widowControl/>
              <w:jc w:val="center"/>
              <w:rPr>
                <w:rFonts w:hint="default" w:ascii="宋体" w:hAnsi="宋体" w:eastAsia="宋体" w:cs="Times New Roman"/>
                <w:color w:val="FF0000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Cs w:val="24"/>
                <w:highlight w:val="none"/>
                <w:lang w:val="en-US" w:eastAsia="zh-CN"/>
              </w:rPr>
              <w:t>3000</w:t>
            </w:r>
            <w:r>
              <w:rPr>
                <w:rFonts w:hint="eastAsia" w:ascii="宋体" w:hAnsi="宋体" w:cs="Times New Roman"/>
                <w:color w:val="000000" w:themeColor="text1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元/台/年</w:t>
            </w:r>
          </w:p>
        </w:tc>
        <w:tc>
          <w:tcPr>
            <w:tcW w:w="592" w:type="pct"/>
            <w:vMerge w:val="continue"/>
            <w:vAlign w:val="center"/>
          </w:tcPr>
          <w:p w14:paraId="1E01BE32">
            <w:pPr>
              <w:widowControl/>
              <w:jc w:val="center"/>
              <w:rPr>
                <w:rFonts w:hint="eastAsia" w:ascii="宋体" w:hAnsi="宋体" w:cs="Times New Roman"/>
                <w:color w:val="FF0000"/>
                <w:szCs w:val="24"/>
                <w:highlight w:val="none"/>
              </w:rPr>
            </w:pPr>
          </w:p>
        </w:tc>
        <w:tc>
          <w:tcPr>
            <w:tcW w:w="792" w:type="pct"/>
            <w:vMerge w:val="continue"/>
            <w:vAlign w:val="center"/>
          </w:tcPr>
          <w:p w14:paraId="0636600D">
            <w:pPr>
              <w:widowControl/>
              <w:jc w:val="center"/>
              <w:rPr>
                <w:rFonts w:hint="eastAsia" w:ascii="宋体" w:hAnsi="宋体" w:cs="Times New Roman"/>
                <w:color w:val="FF0000"/>
                <w:szCs w:val="24"/>
                <w:highlight w:val="none"/>
              </w:rPr>
            </w:pPr>
          </w:p>
        </w:tc>
      </w:tr>
    </w:tbl>
    <w:p w14:paraId="39474C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7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合同履行期限：</w:t>
      </w:r>
      <w:r>
        <w:rPr>
          <w:rFonts w:hint="eastAsia" w:ascii="宋体" w:hAnsi="宋体" w:cs="宋体"/>
          <w:b/>
          <w:bCs/>
          <w:sz w:val="21"/>
          <w:szCs w:val="21"/>
          <w:highlight w:val="none"/>
          <w:u w:val="none"/>
          <w:lang w:val="en-US" w:eastAsia="zh-CN"/>
        </w:rPr>
        <w:t>包1</w:t>
      </w:r>
      <w:r>
        <w:rPr>
          <w:rFonts w:hint="eastAsia" w:ascii="宋体" w:hAnsi="宋体" w:eastAsia="宋体" w:cs="宋体"/>
          <w:sz w:val="21"/>
          <w:szCs w:val="21"/>
          <w:highlight w:val="none"/>
          <w:u w:val="none"/>
          <w:lang w:val="en-US" w:eastAsia="zh-CN"/>
        </w:rPr>
        <w:t>的合同履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  <w:u w:val="none"/>
          <w:lang w:val="en-US" w:eastAsia="zh-CN"/>
        </w:rPr>
        <w:t>行期限为</w:t>
      </w:r>
      <w:r>
        <w:rPr>
          <w:rFonts w:hint="eastAsia" w:ascii="宋体" w:hAnsi="宋体" w:eastAsia="宋体" w:cs="宋体"/>
          <w:sz w:val="21"/>
          <w:szCs w:val="21"/>
          <w:highlight w:val="none"/>
          <w:u w:val="none"/>
          <w:lang w:val="en-US" w:eastAsia="zh-CN"/>
        </w:rPr>
        <w:t>：自2026年8月1日至2031年7月31日；</w:t>
      </w:r>
      <w:r>
        <w:rPr>
          <w:rFonts w:hint="eastAsia" w:ascii="宋体" w:hAnsi="宋体" w:cs="宋体"/>
          <w:b/>
          <w:bCs/>
          <w:sz w:val="21"/>
          <w:szCs w:val="21"/>
          <w:highlight w:val="none"/>
          <w:u w:val="none"/>
          <w:lang w:val="en-US" w:eastAsia="zh-CN"/>
        </w:rPr>
        <w:t>包2</w:t>
      </w:r>
      <w:r>
        <w:rPr>
          <w:rFonts w:hint="eastAsia" w:ascii="宋体" w:hAnsi="宋体" w:eastAsia="宋体" w:cs="宋体"/>
          <w:sz w:val="21"/>
          <w:szCs w:val="21"/>
          <w:highlight w:val="none"/>
          <w:u w:val="none"/>
          <w:lang w:val="en-US" w:eastAsia="zh-CN"/>
        </w:rPr>
        <w:t>的合同履行期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  <w:u w:val="none"/>
          <w:lang w:val="en-US" w:eastAsia="zh-CN"/>
        </w:rPr>
        <w:t>限为</w:t>
      </w:r>
      <w:r>
        <w:rPr>
          <w:rFonts w:hint="eastAsia" w:ascii="宋体" w:hAnsi="宋体" w:eastAsia="宋体" w:cs="宋体"/>
          <w:sz w:val="21"/>
          <w:szCs w:val="21"/>
          <w:highlight w:val="none"/>
          <w:u w:val="none"/>
          <w:lang w:val="en-US" w:eastAsia="zh-CN"/>
        </w:rPr>
        <w:t>：自2026年8月1日至20</w:t>
      </w:r>
      <w:r>
        <w:rPr>
          <w:rFonts w:hint="eastAsia" w:ascii="宋体" w:hAnsi="宋体" w:cs="宋体"/>
          <w:sz w:val="21"/>
          <w:szCs w:val="21"/>
          <w:highlight w:val="none"/>
          <w:u w:val="none"/>
          <w:lang w:val="en-US" w:eastAsia="zh-CN"/>
        </w:rPr>
        <w:t>28</w:t>
      </w:r>
      <w:r>
        <w:rPr>
          <w:rFonts w:hint="eastAsia" w:ascii="宋体" w:hAnsi="宋体" w:eastAsia="宋体" w:cs="宋体"/>
          <w:sz w:val="21"/>
          <w:szCs w:val="21"/>
          <w:highlight w:val="none"/>
          <w:u w:val="none"/>
          <w:lang w:val="en-US" w:eastAsia="zh-CN"/>
        </w:rPr>
        <w:t>年7月31日；本项目</w:t>
      </w:r>
      <w:r>
        <w:rPr>
          <w:rFonts w:hint="eastAsia" w:ascii="宋体" w:hAnsi="宋体" w:eastAsia="宋体" w:cs="宋体"/>
          <w:b/>
          <w:bCs/>
          <w:sz w:val="21"/>
          <w:szCs w:val="21"/>
          <w:highlight w:val="none"/>
          <w:u w:val="none"/>
          <w:lang w:val="en-US" w:eastAsia="zh-CN"/>
        </w:rPr>
        <w:t>各个包件</w:t>
      </w:r>
      <w:r>
        <w:rPr>
          <w:rFonts w:hint="eastAsia" w:ascii="宋体" w:hAnsi="宋体" w:eastAsia="宋体" w:cs="宋体"/>
          <w:sz w:val="21"/>
          <w:szCs w:val="21"/>
          <w:highlight w:val="none"/>
          <w:u w:val="none"/>
          <w:lang w:val="en-US" w:eastAsia="zh-CN"/>
        </w:rPr>
        <w:t>的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u w:val="none"/>
          <w:lang w:val="en-US" w:eastAsia="zh-CN"/>
        </w:rPr>
        <w:t>项目建设期</w:t>
      </w: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均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为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u w:val="none"/>
          <w:lang w:val="en-US" w:eastAsia="zh-CN"/>
        </w:rPr>
        <w:t>：接到采购人通知之日起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zh-CN"/>
        </w:rPr>
        <w:t>30个日历天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u w:val="none"/>
          <w:lang w:val="en-US" w:eastAsia="zh-CN"/>
        </w:rPr>
        <w:t>内完成相关设施设备的安装及调试。</w:t>
      </w:r>
    </w:p>
    <w:p w14:paraId="668B46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</w:p>
    <w:p w14:paraId="1F659C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8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本项目（不接受)联合体投标。</w:t>
      </w:r>
    </w:p>
    <w:p w14:paraId="28205E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jc w:val="both"/>
        <w:textAlignment w:val="auto"/>
        <w:outlineLvl w:val="1"/>
        <w:rPr>
          <w:rFonts w:hint="eastAsia" w:ascii="宋体" w:hAnsi="宋体" w:eastAsia="宋体" w:cs="宋体"/>
          <w:b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sz w:val="21"/>
          <w:szCs w:val="21"/>
          <w:highlight w:val="none"/>
        </w:rPr>
        <w:t>二、申请人的资格要求：</w:t>
      </w:r>
    </w:p>
    <w:p w14:paraId="74E95C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1.满足《中华人民共和国政府采购法》第二十二条规定；</w:t>
      </w:r>
    </w:p>
    <w:p w14:paraId="48CF91F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 xml:space="preserve">（1）具有独立承担民事责任的能力； </w:t>
      </w:r>
    </w:p>
    <w:p w14:paraId="7589D7A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 xml:space="preserve">（2）具有良好的商业信誉和健全的财务会计制度； </w:t>
      </w:r>
    </w:p>
    <w:p w14:paraId="7884BF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 xml:space="preserve">（3）具有履行合同所必需的设备和专业技术能力； </w:t>
      </w:r>
    </w:p>
    <w:p w14:paraId="53B7F5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 xml:space="preserve">（4）有依法缴纳税收和社会保障资金的良好记录； </w:t>
      </w:r>
    </w:p>
    <w:p w14:paraId="61B210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（5）参加政府采购活动前三年内，在经营活动中没有重大违法记录；</w:t>
      </w:r>
    </w:p>
    <w:p w14:paraId="71CBE8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（6）法律、行政法规规定的其他条件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；</w:t>
      </w:r>
    </w:p>
    <w:p w14:paraId="00B551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供应商参加政府采购活动未被列入“信用中国”网站(www.creditchina.gov.cn)失信被执行人、重大税收违法失信主体、政府采购严重违法失信行为记录名单和“中国政府采购”网站（www.ccgp.gov.cn）政府采购严重违法失信行为记录名单等；</w:t>
      </w:r>
    </w:p>
    <w:p w14:paraId="39A839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3.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单位负责人为同一人或者存在直接控股、管理关系的不同供应商，不得参加本项目同一合同项下的政府采购活动。为本采购项目提供整体设计、规范编制或者项目管理、监理、检测等服务的，不得再参加本项目的其他招标采购活动。</w:t>
      </w:r>
    </w:p>
    <w:p w14:paraId="14AAF2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.本项目的特定资格要求：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无。</w:t>
      </w:r>
    </w:p>
    <w:p w14:paraId="764FFA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jc w:val="both"/>
        <w:textAlignment w:val="auto"/>
        <w:outlineLvl w:val="1"/>
        <w:rPr>
          <w:rFonts w:hint="eastAsia" w:ascii="宋体" w:hAnsi="宋体" w:eastAsia="宋体" w:cs="宋体"/>
          <w:b/>
          <w:sz w:val="21"/>
          <w:szCs w:val="21"/>
          <w:highlight w:val="none"/>
        </w:rPr>
      </w:pPr>
      <w:bookmarkStart w:id="2" w:name="_Toc119594477"/>
      <w:r>
        <w:rPr>
          <w:rFonts w:hint="eastAsia" w:ascii="宋体" w:hAnsi="宋体" w:eastAsia="宋体" w:cs="宋体"/>
          <w:b/>
          <w:sz w:val="21"/>
          <w:szCs w:val="21"/>
          <w:highlight w:val="none"/>
        </w:rPr>
        <w:t>三、获取</w:t>
      </w:r>
      <w:bookmarkEnd w:id="2"/>
      <w:r>
        <w:rPr>
          <w:rFonts w:hint="eastAsia" w:ascii="宋体" w:hAnsi="宋体" w:eastAsia="宋体" w:cs="宋体"/>
          <w:b/>
          <w:sz w:val="21"/>
          <w:szCs w:val="21"/>
          <w:highlight w:val="none"/>
        </w:rPr>
        <w:t>采购文件</w:t>
      </w:r>
    </w:p>
    <w:p w14:paraId="2A65260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1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时间：2026年7月7日至2026年7月15日，每天上午9:00至11:30，下午14:30至17:00（北京时间，法定节假日除外）</w:t>
      </w:r>
    </w:p>
    <w:p w14:paraId="5AB7102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2.地点：网上或现场</w:t>
      </w:r>
    </w:p>
    <w:p w14:paraId="5AEE2CA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3.方式：符合资格的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供应商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应当在获取时间内，通过以下方式获取招标文件。</w:t>
      </w:r>
    </w:p>
    <w:p w14:paraId="7ED5CD1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方式一：线下（武汉市武昌区中南一路64号（省燃料公司）1栋办公楼6楼）</w:t>
      </w:r>
    </w:p>
    <w:p w14:paraId="4D8DC08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①法定代表人自己领取的，凭法定代表人身份证明书及法定代表人身份证领取</w:t>
      </w:r>
    </w:p>
    <w:p w14:paraId="5F3A6DB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②法定代表人委托他人领取的，凭法定代表人授权书及受托人身份证领取</w:t>
      </w:r>
    </w:p>
    <w:p w14:paraId="01A84F8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③获取文件信息登记表（格式见附件）</w:t>
      </w:r>
    </w:p>
    <w:p w14:paraId="22F563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以上材料均需加盖公章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，</w:t>
      </w: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  <w:t>按包件分别提交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。</w:t>
      </w:r>
    </w:p>
    <w:p w14:paraId="1A2A6A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方式二：线上</w:t>
      </w:r>
    </w:p>
    <w:p w14:paraId="1EAAD69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①法定代表人自己领取的，凭法定代表人身份证明书及法定代表人身份证领取</w:t>
      </w:r>
    </w:p>
    <w:p w14:paraId="2ED566E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②法定代表人委托他人领取的，凭法定代表人授权书及受托人身份证领取</w:t>
      </w:r>
    </w:p>
    <w:p w14:paraId="592F13C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③获取文件信息登记表（格式见附件）</w:t>
      </w:r>
    </w:p>
    <w:p w14:paraId="752EE2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将加盖公章的以上资料扫描件发送至xinlonghe2022@126.com邮箱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，</w:t>
      </w: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  <w:t>按包件分别提交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。</w:t>
      </w:r>
    </w:p>
    <w:p w14:paraId="3CAF71E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4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售价：磋商文件每包售价500元/包，售后不退。</w:t>
      </w:r>
    </w:p>
    <w:p w14:paraId="1380B5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jc w:val="both"/>
        <w:textAlignment w:val="auto"/>
        <w:outlineLvl w:val="1"/>
        <w:rPr>
          <w:rFonts w:hint="eastAsia" w:ascii="宋体" w:hAnsi="宋体" w:eastAsia="宋体" w:cs="宋体"/>
          <w:b/>
          <w:sz w:val="21"/>
          <w:szCs w:val="21"/>
          <w:highlight w:val="none"/>
        </w:rPr>
      </w:pPr>
      <w:bookmarkStart w:id="3" w:name="_Toc119594478"/>
      <w:r>
        <w:rPr>
          <w:rFonts w:hint="eastAsia" w:ascii="宋体" w:hAnsi="宋体" w:eastAsia="宋体" w:cs="宋体"/>
          <w:b/>
          <w:sz w:val="21"/>
          <w:szCs w:val="21"/>
          <w:highlight w:val="none"/>
        </w:rPr>
        <w:t>四、响应文件提交</w:t>
      </w:r>
    </w:p>
    <w:p w14:paraId="63BB068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截止时间：2026年7月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22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日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点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30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分（北京时间）</w:t>
      </w:r>
    </w:p>
    <w:p w14:paraId="7BE3E9E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地点：武汉市武昌区中南一路64号（省燃料公司）1栋办公楼6楼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开标室</w:t>
      </w:r>
    </w:p>
    <w:p w14:paraId="521218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jc w:val="both"/>
        <w:textAlignment w:val="auto"/>
        <w:outlineLvl w:val="1"/>
        <w:rPr>
          <w:rFonts w:hint="eastAsia" w:ascii="宋体" w:hAnsi="宋体" w:eastAsia="宋体" w:cs="宋体"/>
          <w:b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sz w:val="21"/>
          <w:szCs w:val="21"/>
          <w:highlight w:val="none"/>
        </w:rPr>
        <w:t>五、开启</w:t>
      </w:r>
    </w:p>
    <w:bookmarkEnd w:id="3"/>
    <w:p w14:paraId="03B4CAE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时间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2026年7月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22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日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点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30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分（北京时间）</w:t>
      </w:r>
    </w:p>
    <w:p w14:paraId="129412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地点：武汉市武昌区中南一路64号（省燃料公司）1栋办公楼6楼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评标室</w:t>
      </w:r>
    </w:p>
    <w:p w14:paraId="4AF6FA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jc w:val="both"/>
        <w:textAlignment w:val="auto"/>
        <w:outlineLvl w:val="1"/>
        <w:rPr>
          <w:rFonts w:hint="eastAsia" w:ascii="宋体" w:hAnsi="宋体" w:eastAsia="宋体" w:cs="宋体"/>
          <w:b/>
          <w:sz w:val="21"/>
          <w:szCs w:val="21"/>
          <w:highlight w:val="none"/>
        </w:rPr>
      </w:pPr>
      <w:bookmarkStart w:id="4" w:name="_Toc119594479"/>
      <w:r>
        <w:rPr>
          <w:rFonts w:hint="eastAsia" w:ascii="宋体" w:hAnsi="宋体" w:eastAsia="宋体" w:cs="宋体"/>
          <w:b/>
          <w:sz w:val="21"/>
          <w:szCs w:val="21"/>
          <w:highlight w:val="none"/>
        </w:rPr>
        <w:t>六、公告期限</w:t>
      </w:r>
      <w:bookmarkEnd w:id="4"/>
    </w:p>
    <w:p w14:paraId="7FE1BAD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自本公告发布之日起3个工作日。</w:t>
      </w:r>
    </w:p>
    <w:p w14:paraId="74C2A5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jc w:val="both"/>
        <w:textAlignment w:val="auto"/>
        <w:outlineLvl w:val="1"/>
        <w:rPr>
          <w:rFonts w:hint="eastAsia" w:ascii="宋体" w:hAnsi="宋体" w:eastAsia="宋体" w:cs="宋体"/>
          <w:b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sz w:val="21"/>
          <w:szCs w:val="21"/>
          <w:highlight w:val="none"/>
        </w:rPr>
        <w:t>七、</w:t>
      </w:r>
      <w:r>
        <w:rPr>
          <w:rFonts w:hint="eastAsia" w:ascii="宋体" w:hAnsi="宋体" w:eastAsia="宋体" w:cs="宋体"/>
          <w:b/>
          <w:sz w:val="21"/>
          <w:szCs w:val="21"/>
          <w:highlight w:val="none"/>
          <w:lang w:val="zh-CN"/>
        </w:rPr>
        <w:t>其他补充事宜</w:t>
      </w:r>
    </w:p>
    <w:p w14:paraId="73DAC4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1.公告发布媒体：</w:t>
      </w:r>
    </w:p>
    <w:p w14:paraId="0C2B2D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(1)武汉理工大学采购与招标管理办公室（http://cgyztb.whut.edu.cn/）</w:t>
      </w:r>
    </w:p>
    <w:p w14:paraId="3D0577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(2)武汉鑫隆和招标代理有限公司（http：//www.whxlh.cn/）</w:t>
      </w:r>
    </w:p>
    <w:p w14:paraId="483A3C7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zh-CN" w:eastAsia="zh-CN"/>
        </w:rPr>
        <w:t>对多包采购的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约定：供应商可报名多个包件，也可中取多个包件。</w:t>
      </w:r>
    </w:p>
    <w:p w14:paraId="5997B3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jc w:val="both"/>
        <w:textAlignment w:val="auto"/>
        <w:outlineLvl w:val="1"/>
        <w:rPr>
          <w:rFonts w:hint="eastAsia" w:ascii="宋体" w:hAnsi="宋体" w:eastAsia="宋体" w:cs="宋体"/>
          <w:b/>
          <w:sz w:val="21"/>
          <w:szCs w:val="21"/>
          <w:highlight w:val="none"/>
          <w:lang w:val="zh-CN"/>
        </w:rPr>
      </w:pPr>
      <w:r>
        <w:rPr>
          <w:rFonts w:hint="eastAsia" w:ascii="宋体" w:hAnsi="宋体" w:eastAsia="宋体" w:cs="宋体"/>
          <w:b/>
          <w:sz w:val="21"/>
          <w:szCs w:val="21"/>
          <w:highlight w:val="none"/>
        </w:rPr>
        <w:t>八、</w:t>
      </w:r>
      <w:r>
        <w:rPr>
          <w:rFonts w:hint="eastAsia" w:ascii="宋体" w:hAnsi="宋体" w:eastAsia="宋体" w:cs="宋体"/>
          <w:b/>
          <w:sz w:val="21"/>
          <w:szCs w:val="21"/>
          <w:highlight w:val="none"/>
          <w:lang w:val="zh-CN"/>
        </w:rPr>
        <w:t>对本次采购提出询问，请按以下方式联系</w:t>
      </w:r>
    </w:p>
    <w:p w14:paraId="572F20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1.采购人信息</w:t>
      </w:r>
    </w:p>
    <w:p w14:paraId="4629A0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名    称：武汉理工大学</w:t>
      </w:r>
    </w:p>
    <w:p w14:paraId="60412F1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地    址：洪山区珞狮南路122号</w:t>
      </w:r>
    </w:p>
    <w:p w14:paraId="2530739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default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联系方式：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027-87658173</w:t>
      </w:r>
    </w:p>
    <w:p w14:paraId="6693F80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2.采购代理机构信息</w:t>
      </w:r>
    </w:p>
    <w:p w14:paraId="1261D4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名    称：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fldChar w:fldCharType="begin"/>
      </w:r>
      <w:r>
        <w:rPr>
          <w:rFonts w:hint="eastAsia" w:ascii="宋体" w:hAnsi="宋体" w:eastAsia="宋体" w:cs="宋体"/>
          <w:sz w:val="21"/>
          <w:szCs w:val="21"/>
          <w:highlight w:val="none"/>
        </w:rPr>
        <w:instrText xml:space="preserve"> DOCVARIABLE 招标机构名称 </w:instrText>
      </w:r>
      <w:r>
        <w:rPr>
          <w:rFonts w:hint="eastAsia" w:ascii="宋体" w:hAnsi="宋体" w:eastAsia="宋体" w:cs="宋体"/>
          <w:sz w:val="21"/>
          <w:szCs w:val="21"/>
          <w:highlight w:val="none"/>
        </w:rPr>
        <w:fldChar w:fldCharType="separate"/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武汉鑫隆和招标代理有限公司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fldChar w:fldCharType="end"/>
      </w:r>
    </w:p>
    <w:p w14:paraId="1BED406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地    址：武汉市武昌区中南一路64号（省燃料公司）1栋办公楼6楼</w:t>
      </w:r>
    </w:p>
    <w:p w14:paraId="6B1FB94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联系方式：027-87718878</w:t>
      </w:r>
    </w:p>
    <w:p w14:paraId="22E1760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3.项目联系方式</w:t>
      </w:r>
    </w:p>
    <w:p w14:paraId="32C9689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default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项目联系人：李想、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王姝媛、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雷俊腾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、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孔令鹏</w:t>
      </w:r>
    </w:p>
    <w:p w14:paraId="66385CA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firstLine="420" w:firstLineChars="200"/>
        <w:jc w:val="both"/>
        <w:textAlignment w:val="auto"/>
        <w:rPr>
          <w:rFonts w:hint="default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电      话：027-87718878</w:t>
      </w:r>
    </w:p>
    <w:p w14:paraId="632F9703">
      <w:pPr>
        <w:rPr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FD3C82"/>
    <w:rsid w:val="137A57A0"/>
    <w:rsid w:val="170D692B"/>
    <w:rsid w:val="262E6657"/>
    <w:rsid w:val="42E163F2"/>
    <w:rsid w:val="47620599"/>
    <w:rsid w:val="4DFD3C82"/>
    <w:rsid w:val="4E1F4272"/>
    <w:rsid w:val="53A96AB8"/>
    <w:rsid w:val="5797474A"/>
    <w:rsid w:val="58705DF6"/>
    <w:rsid w:val="64833355"/>
    <w:rsid w:val="6DE50BDD"/>
    <w:rsid w:val="7B0A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</w:pPr>
    <w:rPr>
      <w:rFonts w:ascii="Times New Roman" w:hAnsi="Times New Roman"/>
      <w:kern w:val="2"/>
      <w:sz w:val="18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1740</Words>
  <Characters>1969</Characters>
  <Lines>0</Lines>
  <Paragraphs>0</Paragraphs>
  <TotalTime>0</TotalTime>
  <ScaleCrop>false</ScaleCrop>
  <LinksUpToDate>false</LinksUpToDate>
  <CharactersWithSpaces>2037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2026-07-01T08:34:00Z</dcterms:created>
  <dc:creator>猫咪肚肚</dc:creator>
  <cp:lastModifiedBy>猫咪肚肚</cp:lastModifiedBy>
  <dcterms:modified xsi:type="dcterms:W3CDTF">2026-07-06T07:42:19Z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E7D87F75C25F49C884BF527A493A5D46_11</vt:lpwstr>
  </property>
  <property fmtid="{D5CDD505-2E9C-101B-9397-08002B2CF9AE}" pid="4" name="KSOTemplateDocerSaveRecord">
    <vt:lpwstr>eyJoZGlkIjoiYWQ2ZGI2Yzk1YWYxNjBhZjVlY2RkMzhiZWEzZjk0YjAiLCJ1c2VySWQiOiI0NDE2Nzg3NDgifQ==</vt:lpwstr>
  </property>
</Properties>
</file>