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A83F2A">
      <w:pPr>
        <w:pStyle w:val="3"/>
        <w:bidi w:val="0"/>
        <w:jc w:val="center"/>
        <w:rPr>
          <w:rFonts w:hint="default"/>
          <w:lang w:val="en-US" w:eastAsia="zh-CN"/>
        </w:rPr>
      </w:pPr>
      <w:r>
        <w:rPr>
          <w:rFonts w:hint="eastAsia"/>
          <w:lang w:val="en-US" w:eastAsia="zh-CN"/>
        </w:rPr>
        <w:t>项目基本情况及相关要求</w:t>
      </w:r>
    </w:p>
    <w:p w14:paraId="471EDF2F">
      <w:pPr>
        <w:pStyle w:val="2"/>
        <w:widowControl w:val="0"/>
        <w:tabs>
          <w:tab w:val="left" w:pos="5617"/>
        </w:tabs>
        <w:kinsoku/>
        <w:adjustRightInd/>
        <w:snapToGrid/>
        <w:spacing w:beforeLines="0" w:after="0" w:afterLines="0" w:afterAutospacing="0" w:line="360" w:lineRule="auto"/>
        <w:ind w:left="0" w:leftChars="0" w:firstLine="0" w:firstLineChars="0"/>
        <w:jc w:val="left"/>
        <w:textAlignment w:val="auto"/>
        <w:rPr>
          <w:rFonts w:hint="eastAsia" w:asciiTheme="majorEastAsia" w:hAnsiTheme="majorEastAsia" w:eastAsiaTheme="majorEastAsia" w:cstheme="majorEastAsia"/>
          <w:snapToGrid/>
          <w:color w:val="auto"/>
          <w:sz w:val="28"/>
          <w:szCs w:val="28"/>
          <w:lang w:val="zh-CN" w:bidi="zh-CN"/>
        </w:rPr>
      </w:pPr>
      <w:r>
        <w:rPr>
          <w:rFonts w:hint="eastAsia" w:asciiTheme="majorEastAsia" w:hAnsiTheme="majorEastAsia" w:eastAsiaTheme="majorEastAsia" w:cstheme="majorEastAsia"/>
          <w:snapToGrid/>
          <w:color w:val="auto"/>
          <w:sz w:val="28"/>
          <w:szCs w:val="28"/>
          <w:lang w:val="zh-CN" w:bidi="zh-CN"/>
        </w:rPr>
        <w:t>1．招标条件</w:t>
      </w:r>
    </w:p>
    <w:p w14:paraId="204BF972">
      <w:pPr>
        <w:bidi w:val="0"/>
        <w:rPr>
          <w:rFonts w:hint="eastAsia" w:asciiTheme="majorEastAsia" w:hAnsiTheme="majorEastAsia" w:eastAsiaTheme="majorEastAsia" w:cstheme="majorEastAsia"/>
          <w:b w:val="0"/>
          <w:bCs w:val="0"/>
          <w:sz w:val="24"/>
          <w:szCs w:val="24"/>
          <w:u w:val="none"/>
          <w:lang w:eastAsia="zh-CN"/>
        </w:rPr>
      </w:pPr>
      <w:r>
        <w:rPr>
          <w:rFonts w:hint="eastAsia" w:asciiTheme="majorEastAsia" w:hAnsiTheme="majorEastAsia" w:eastAsiaTheme="majorEastAsia" w:cstheme="majorEastAsia"/>
          <w:b w:val="0"/>
          <w:bCs w:val="0"/>
          <w:sz w:val="24"/>
          <w:szCs w:val="24"/>
        </w:rPr>
        <w:t>本招标项目</w:t>
      </w:r>
      <w:r>
        <w:rPr>
          <w:rFonts w:hint="eastAsia" w:asciiTheme="majorEastAsia" w:hAnsiTheme="majorEastAsia" w:eastAsiaTheme="majorEastAsia" w:cstheme="majorEastAsia"/>
          <w:b w:val="0"/>
          <w:bCs w:val="0"/>
          <w:sz w:val="24"/>
          <w:szCs w:val="24"/>
          <w:u w:val="single"/>
          <w:lang w:eastAsia="zh-CN"/>
        </w:rPr>
        <w:t>武汉理工大学协同创新一站式学生社区项目</w:t>
      </w:r>
      <w:r>
        <w:rPr>
          <w:rFonts w:hint="eastAsia" w:asciiTheme="majorEastAsia" w:hAnsiTheme="majorEastAsia" w:eastAsiaTheme="majorEastAsia" w:cstheme="majorEastAsia"/>
          <w:b w:val="0"/>
          <w:bCs w:val="0"/>
          <w:sz w:val="24"/>
          <w:szCs w:val="24"/>
        </w:rPr>
        <w:t>(项目名称)已由</w:t>
      </w:r>
      <w:r>
        <w:rPr>
          <w:rFonts w:hint="eastAsia" w:asciiTheme="majorEastAsia" w:hAnsiTheme="majorEastAsia" w:eastAsiaTheme="majorEastAsia" w:cstheme="majorEastAsia"/>
          <w:b w:val="0"/>
          <w:bCs w:val="0"/>
          <w:sz w:val="24"/>
          <w:szCs w:val="24"/>
          <w:u w:val="single"/>
          <w:lang w:eastAsia="zh-CN"/>
        </w:rPr>
        <w:t>中华人民共和国教育部</w:t>
      </w:r>
      <w:r>
        <w:rPr>
          <w:rFonts w:hint="eastAsia" w:asciiTheme="majorEastAsia" w:hAnsiTheme="majorEastAsia" w:eastAsiaTheme="majorEastAsia" w:cstheme="majorEastAsia"/>
          <w:b w:val="0"/>
          <w:bCs w:val="0"/>
          <w:sz w:val="24"/>
          <w:szCs w:val="24"/>
        </w:rPr>
        <w:t>(项目审批、核准或备案机关名称)以</w:t>
      </w:r>
      <w:r>
        <w:rPr>
          <w:rFonts w:hint="eastAsia" w:asciiTheme="majorEastAsia" w:hAnsiTheme="majorEastAsia" w:eastAsiaTheme="majorEastAsia" w:cstheme="majorEastAsia"/>
          <w:b w:val="0"/>
          <w:bCs w:val="0"/>
          <w:sz w:val="24"/>
          <w:szCs w:val="24"/>
          <w:u w:val="single"/>
          <w:lang w:eastAsia="zh-CN"/>
        </w:rPr>
        <w:t>《</w:t>
      </w:r>
      <w:r>
        <w:rPr>
          <w:rFonts w:hint="eastAsia" w:asciiTheme="majorEastAsia" w:hAnsiTheme="majorEastAsia" w:eastAsiaTheme="majorEastAsia" w:cstheme="majorEastAsia"/>
          <w:b w:val="0"/>
          <w:bCs w:val="0"/>
          <w:sz w:val="24"/>
          <w:szCs w:val="24"/>
          <w:u w:val="single"/>
        </w:rPr>
        <w:t>教育部关于武汉理工大学协同创新一站式学生社区项目初步设计及概算的批复</w:t>
      </w:r>
      <w:r>
        <w:rPr>
          <w:rFonts w:hint="eastAsia" w:asciiTheme="majorEastAsia" w:hAnsiTheme="majorEastAsia" w:eastAsiaTheme="majorEastAsia" w:cstheme="majorEastAsia"/>
          <w:b w:val="0"/>
          <w:bCs w:val="0"/>
          <w:sz w:val="24"/>
          <w:szCs w:val="24"/>
          <w:u w:val="single"/>
          <w:lang w:eastAsia="zh-CN"/>
        </w:rPr>
        <w:t>》教发函〔202</w:t>
      </w:r>
      <w:r>
        <w:rPr>
          <w:rFonts w:hint="eastAsia" w:asciiTheme="majorEastAsia" w:hAnsiTheme="majorEastAsia" w:eastAsiaTheme="majorEastAsia" w:cstheme="majorEastAsia"/>
          <w:b w:val="0"/>
          <w:bCs w:val="0"/>
          <w:sz w:val="24"/>
          <w:szCs w:val="24"/>
          <w:u w:val="single"/>
          <w:lang w:val="en-US" w:eastAsia="zh-CN"/>
        </w:rPr>
        <w:t>6</w:t>
      </w:r>
      <w:r>
        <w:rPr>
          <w:rFonts w:hint="eastAsia" w:asciiTheme="majorEastAsia" w:hAnsiTheme="majorEastAsia" w:eastAsiaTheme="majorEastAsia" w:cstheme="majorEastAsia"/>
          <w:b w:val="0"/>
          <w:bCs w:val="0"/>
          <w:sz w:val="24"/>
          <w:szCs w:val="24"/>
          <w:u w:val="single"/>
          <w:lang w:eastAsia="zh-CN"/>
        </w:rPr>
        <w:t>〕</w:t>
      </w:r>
      <w:r>
        <w:rPr>
          <w:rFonts w:hint="eastAsia" w:asciiTheme="majorEastAsia" w:hAnsiTheme="majorEastAsia" w:eastAsiaTheme="majorEastAsia" w:cstheme="majorEastAsia"/>
          <w:b w:val="0"/>
          <w:bCs w:val="0"/>
          <w:sz w:val="24"/>
          <w:szCs w:val="24"/>
          <w:u w:val="single"/>
          <w:lang w:val="en-US" w:eastAsia="zh-CN"/>
        </w:rPr>
        <w:t>398</w:t>
      </w:r>
      <w:r>
        <w:rPr>
          <w:rFonts w:hint="eastAsia" w:asciiTheme="majorEastAsia" w:hAnsiTheme="majorEastAsia" w:eastAsiaTheme="majorEastAsia" w:cstheme="majorEastAsia"/>
          <w:b w:val="0"/>
          <w:bCs w:val="0"/>
          <w:sz w:val="24"/>
          <w:szCs w:val="24"/>
          <w:u w:val="single"/>
          <w:lang w:eastAsia="zh-CN"/>
        </w:rPr>
        <w:t>号</w:t>
      </w:r>
      <w:r>
        <w:rPr>
          <w:rFonts w:hint="eastAsia" w:asciiTheme="majorEastAsia" w:hAnsiTheme="majorEastAsia" w:eastAsiaTheme="majorEastAsia" w:cstheme="majorEastAsia"/>
          <w:b w:val="0"/>
          <w:bCs w:val="0"/>
          <w:sz w:val="24"/>
          <w:szCs w:val="24"/>
        </w:rPr>
        <w:t>(批文名称及编号)批准建设，项目业主为</w:t>
      </w:r>
      <w:r>
        <w:rPr>
          <w:rFonts w:hint="eastAsia" w:asciiTheme="majorEastAsia" w:hAnsiTheme="majorEastAsia" w:eastAsiaTheme="majorEastAsia" w:cstheme="majorEastAsia"/>
          <w:b w:val="0"/>
          <w:bCs w:val="0"/>
          <w:sz w:val="24"/>
          <w:szCs w:val="24"/>
          <w:u w:val="single"/>
          <w:lang w:eastAsia="zh-CN"/>
        </w:rPr>
        <w:t>武汉理工大学</w:t>
      </w:r>
      <w:r>
        <w:rPr>
          <w:rFonts w:hint="eastAsia" w:asciiTheme="majorEastAsia" w:hAnsiTheme="majorEastAsia" w:eastAsiaTheme="majorEastAsia" w:cstheme="majorEastAsia"/>
          <w:b w:val="0"/>
          <w:bCs w:val="0"/>
          <w:sz w:val="24"/>
          <w:szCs w:val="24"/>
        </w:rPr>
        <w:t>，建设资金来自</w:t>
      </w:r>
      <w:r>
        <w:rPr>
          <w:rFonts w:hint="eastAsia" w:asciiTheme="majorEastAsia" w:hAnsiTheme="majorEastAsia" w:eastAsiaTheme="majorEastAsia" w:cstheme="majorEastAsia"/>
          <w:b w:val="0"/>
          <w:bCs w:val="0"/>
          <w:sz w:val="24"/>
          <w:szCs w:val="24"/>
          <w:u w:val="single"/>
        </w:rPr>
        <w:t>中央投资和学校自筹</w:t>
      </w:r>
      <w:r>
        <w:rPr>
          <w:rFonts w:hint="eastAsia" w:asciiTheme="majorEastAsia" w:hAnsiTheme="majorEastAsia" w:eastAsiaTheme="majorEastAsia" w:cstheme="majorEastAsia"/>
          <w:b w:val="0"/>
          <w:bCs w:val="0"/>
          <w:sz w:val="24"/>
          <w:szCs w:val="24"/>
        </w:rPr>
        <w:t>(资金来源)，项目出资比例为</w:t>
      </w:r>
      <w:r>
        <w:rPr>
          <w:rFonts w:hint="eastAsia" w:asciiTheme="majorEastAsia" w:hAnsiTheme="majorEastAsia" w:eastAsiaTheme="majorEastAsia" w:cstheme="majorEastAsia"/>
          <w:b w:val="0"/>
          <w:bCs w:val="0"/>
          <w:color w:val="FF0000"/>
          <w:sz w:val="24"/>
          <w:szCs w:val="24"/>
          <w:highlight w:val="none"/>
          <w:u w:val="single"/>
          <w:lang w:val="en-US" w:eastAsia="zh-CN"/>
        </w:rPr>
        <w:t>100%</w:t>
      </w:r>
      <w:r>
        <w:rPr>
          <w:rFonts w:hint="eastAsia" w:asciiTheme="majorEastAsia" w:hAnsiTheme="majorEastAsia" w:eastAsiaTheme="majorEastAsia" w:cstheme="majorEastAsia"/>
          <w:b w:val="0"/>
          <w:bCs w:val="0"/>
          <w:sz w:val="24"/>
          <w:szCs w:val="24"/>
        </w:rPr>
        <w:t>，合同估算价：</w:t>
      </w:r>
      <w:r>
        <w:rPr>
          <w:rFonts w:hint="eastAsia" w:asciiTheme="majorEastAsia" w:hAnsiTheme="majorEastAsia" w:eastAsiaTheme="majorEastAsia" w:cstheme="majorEastAsia"/>
          <w:b w:val="0"/>
          <w:bCs w:val="0"/>
          <w:sz w:val="24"/>
          <w:szCs w:val="24"/>
          <w:u w:val="single"/>
        </w:rPr>
        <w:t>57728.597万元</w:t>
      </w:r>
      <w:r>
        <w:rPr>
          <w:rFonts w:hint="eastAsia" w:asciiTheme="majorEastAsia" w:hAnsiTheme="majorEastAsia" w:eastAsiaTheme="majorEastAsia" w:cstheme="majorEastAsia"/>
          <w:b w:val="0"/>
          <w:bCs w:val="0"/>
          <w:sz w:val="24"/>
          <w:szCs w:val="24"/>
          <w:lang w:eastAsia="zh-CN"/>
        </w:rPr>
        <w:t>，</w:t>
      </w:r>
      <w:r>
        <w:rPr>
          <w:rFonts w:hint="eastAsia" w:asciiTheme="majorEastAsia" w:hAnsiTheme="majorEastAsia" w:eastAsiaTheme="majorEastAsia" w:cstheme="majorEastAsia"/>
          <w:b w:val="0"/>
          <w:bCs w:val="0"/>
          <w:sz w:val="24"/>
          <w:szCs w:val="24"/>
        </w:rPr>
        <w:t>招标人为</w:t>
      </w:r>
      <w:r>
        <w:rPr>
          <w:rFonts w:hint="eastAsia" w:asciiTheme="majorEastAsia" w:hAnsiTheme="majorEastAsia" w:eastAsiaTheme="majorEastAsia" w:cstheme="majorEastAsia"/>
          <w:b w:val="0"/>
          <w:bCs w:val="0"/>
          <w:sz w:val="24"/>
          <w:szCs w:val="24"/>
          <w:u w:val="single"/>
          <w:lang w:eastAsia="zh-CN"/>
        </w:rPr>
        <w:t>武汉理工大学</w:t>
      </w:r>
      <w:r>
        <w:rPr>
          <w:rFonts w:hint="eastAsia" w:asciiTheme="majorEastAsia" w:hAnsiTheme="majorEastAsia" w:eastAsiaTheme="majorEastAsia" w:cstheme="majorEastAsia"/>
          <w:b w:val="0"/>
          <w:bCs w:val="0"/>
          <w:sz w:val="24"/>
          <w:szCs w:val="24"/>
          <w:u w:val="none"/>
          <w:lang w:eastAsia="zh-CN"/>
        </w:rPr>
        <w:t>。</w:t>
      </w:r>
    </w:p>
    <w:p w14:paraId="643CBEBE">
      <w:pPr>
        <w:pStyle w:val="3"/>
        <w:spacing w:before="0" w:after="0" w:line="400" w:lineRule="exact"/>
        <w:ind w:left="0" w:leftChars="0" w:firstLine="0" w:firstLineChars="0"/>
        <w:rPr>
          <w:rFonts w:hint="eastAsia" w:asciiTheme="majorEastAsia" w:hAnsiTheme="majorEastAsia" w:eastAsiaTheme="majorEastAsia" w:cstheme="majorEastAsia"/>
          <w:b/>
          <w:snapToGrid/>
          <w:color w:val="auto"/>
          <w:kern w:val="44"/>
          <w:sz w:val="28"/>
          <w:szCs w:val="28"/>
          <w:lang w:val="zh-CN" w:eastAsia="zh-CN" w:bidi="zh-CN"/>
        </w:rPr>
      </w:pPr>
      <w:bookmarkStart w:id="0" w:name="_Toc353095892"/>
      <w:bookmarkStart w:id="1" w:name="_Toc165317597"/>
      <w:r>
        <w:rPr>
          <w:rFonts w:hint="eastAsia" w:asciiTheme="majorEastAsia" w:hAnsiTheme="majorEastAsia" w:eastAsiaTheme="majorEastAsia" w:cstheme="majorEastAsia"/>
          <w:b/>
          <w:snapToGrid/>
          <w:color w:val="auto"/>
          <w:kern w:val="44"/>
          <w:sz w:val="28"/>
          <w:szCs w:val="28"/>
          <w:lang w:val="zh-CN" w:eastAsia="zh-CN" w:bidi="zh-CN"/>
        </w:rPr>
        <w:t>2．项目概况与招标内容</w:t>
      </w:r>
      <w:bookmarkEnd w:id="0"/>
      <w:bookmarkEnd w:id="1"/>
    </w:p>
    <w:p w14:paraId="49752BB5">
      <w:pPr>
        <w:spacing w:line="480" w:lineRule="exact"/>
        <w:ind w:firstLine="480" w:firstLineChars="200"/>
        <w:rPr>
          <w:rFonts w:hint="eastAsia"/>
          <w:szCs w:val="21"/>
        </w:rPr>
      </w:pPr>
      <w:r>
        <w:rPr>
          <w:szCs w:val="21"/>
        </w:rPr>
        <w:t>2.1</w:t>
      </w:r>
      <w:r>
        <w:rPr>
          <w:rFonts w:hint="eastAsia"/>
          <w:szCs w:val="21"/>
        </w:rPr>
        <w:t>项目概况</w:t>
      </w:r>
    </w:p>
    <w:p w14:paraId="0845BBC4">
      <w:pPr>
        <w:spacing w:line="480" w:lineRule="exact"/>
        <w:rPr>
          <w:rFonts w:hint="eastAsia"/>
          <w:szCs w:val="21"/>
          <w:u w:val="single"/>
        </w:rPr>
      </w:pPr>
      <w:r>
        <w:rPr>
          <w:rFonts w:hint="eastAsia"/>
          <w:szCs w:val="21"/>
        </w:rPr>
        <w:t>建设地点：</w:t>
      </w:r>
      <w:r>
        <w:rPr>
          <w:rFonts w:hint="eastAsia"/>
          <w:szCs w:val="21"/>
          <w:u w:val="single"/>
          <w:lang w:eastAsia="zh-CN"/>
        </w:rPr>
        <w:t>武汉理工大学南湖校区</w:t>
      </w:r>
      <w:r>
        <w:rPr>
          <w:rFonts w:hint="eastAsia"/>
          <w:szCs w:val="21"/>
        </w:rPr>
        <w:t>。</w:t>
      </w:r>
    </w:p>
    <w:p w14:paraId="399159DC">
      <w:pPr>
        <w:pStyle w:val="5"/>
        <w:rPr>
          <w:rFonts w:hint="eastAsia"/>
          <w:szCs w:val="21"/>
        </w:rPr>
      </w:pPr>
      <w:r>
        <w:rPr>
          <w:rFonts w:hint="eastAsia"/>
          <w:szCs w:val="21"/>
        </w:rPr>
        <w:t>建设规模：</w:t>
      </w:r>
      <w:r>
        <w:rPr>
          <w:rFonts w:hint="eastAsia"/>
          <w:szCs w:val="21"/>
          <w:u w:val="single"/>
        </w:rPr>
        <w:t>武汉理工大学协同创新一站式学生社区项目用地面积35426.99平方米；项目总建筑面积为103488.44平方米；其中地上建筑面积91272.89平方米；地下建筑面积12215.55平方米；计容建筑面积90535.75平方米，容积率2.76；建筑占地面积9063.39平方米，建筑密度27.65%</w:t>
      </w:r>
      <w:r>
        <w:rPr>
          <w:rFonts w:hint="eastAsia"/>
          <w:szCs w:val="21"/>
        </w:rPr>
        <w:t>。</w:t>
      </w:r>
    </w:p>
    <w:p w14:paraId="2F6392BF">
      <w:pPr>
        <w:spacing w:line="480" w:lineRule="exact"/>
        <w:ind w:firstLine="480" w:firstLineChars="200"/>
        <w:rPr>
          <w:rFonts w:hint="eastAsia"/>
          <w:szCs w:val="21"/>
        </w:rPr>
      </w:pPr>
      <w:r>
        <w:rPr>
          <w:szCs w:val="21"/>
        </w:rPr>
        <w:t>2.</w:t>
      </w:r>
      <w:r>
        <w:rPr>
          <w:rFonts w:hint="eastAsia"/>
          <w:szCs w:val="21"/>
        </w:rPr>
        <w:t>2招标范围</w:t>
      </w:r>
    </w:p>
    <w:p w14:paraId="66EA9BD6">
      <w:pPr>
        <w:spacing w:line="480" w:lineRule="exact"/>
        <w:rPr>
          <w:rFonts w:hint="eastAsia"/>
          <w:szCs w:val="21"/>
        </w:rPr>
      </w:pPr>
      <w:r>
        <w:rPr>
          <w:rFonts w:hint="eastAsia"/>
          <w:szCs w:val="21"/>
        </w:rPr>
        <w:t>招标范围：</w:t>
      </w:r>
      <w:r>
        <w:rPr>
          <w:rFonts w:hint="eastAsia"/>
          <w:color w:val="auto"/>
          <w:szCs w:val="21"/>
          <w:highlight w:val="none"/>
          <w:u w:val="single"/>
        </w:rPr>
        <w:t>此次招标范围为设计采购施工工程总承包（EPC）。包括本项目建筑红线内设计、采购、施工、验收、移交、质保期间维修等工作，并对工程的质量、安全、工期、造价、建设程序等全面负责。具体包括但不限于：1）EPC设计工作：根据发包人提供的有关要求（总平面图、地形图、发包人要求等）、初步设计图纸和地质勘察报告，完成该项目所需的所有工程设计（红线范围内单体设计、总平、管综、市政及不限于红线范围的周边室外配套等设计）。包括：1)建筑、结构、给排水、暖通、电气；2)建筑节能及可再生能源、</w:t>
      </w:r>
      <w:r>
        <w:rPr>
          <w:rFonts w:hint="eastAsia"/>
          <w:color w:val="auto"/>
          <w:szCs w:val="21"/>
          <w:highlight w:val="none"/>
          <w:u w:val="single"/>
          <w:lang w:eastAsia="zh-CN"/>
        </w:rPr>
        <w:t>节能</w:t>
      </w:r>
      <w:r>
        <w:rPr>
          <w:rFonts w:hint="eastAsia"/>
          <w:color w:val="auto"/>
          <w:szCs w:val="21"/>
          <w:highlight w:val="none"/>
          <w:u w:val="single"/>
        </w:rPr>
        <w:t>环保、绿色建筑、人防、消防、装配式建筑、海绵城市、抗震、幕墙、基坑、智能化、室内装修等专项设计；3)BIM正向设计（土建及管线综合等）及维护应用，BIM建模内容包括建筑模型、结构模型、机电模型、综合模型</w:t>
      </w:r>
      <w:r>
        <w:rPr>
          <w:rFonts w:hint="eastAsia"/>
          <w:color w:val="auto"/>
          <w:szCs w:val="21"/>
          <w:highlight w:val="none"/>
          <w:u w:val="single"/>
          <w:lang w:eastAsia="zh-CN"/>
        </w:rPr>
        <w:t>；</w:t>
      </w:r>
      <w:r>
        <w:rPr>
          <w:rFonts w:hint="eastAsia"/>
          <w:color w:val="auto"/>
          <w:szCs w:val="21"/>
          <w:highlight w:val="none"/>
          <w:u w:val="single"/>
        </w:rPr>
        <w:t>4）施工图预算；5）负责按国家相关规定办理本项目所需的施工图纸审查工作（含发包人审查），并取得施工图审查合格通知书；负责施工现场的设计服务工作；2）采购工作：负责承包范围内所需设备材料的采购（含招标）、安装、保管、调试等工作；3）施工工作：协助发包人办理施工许可证，负责承包范围内的临时工程建设、工程总承包施工，具体工作内容详见初步设计图纸及内容清单；4）竣工验收工作：配合完成承包范围内所有工程的分部分项验收、专项验收、竣工验收、交付验收、办理竣工备案证等工作，确保质量合格，配合发包人完成交付使用前所需的运行指导、培训、移交等工作；负责完成竣工图并配合资料存档备案；5）工程施工相关管理及维保工作，包括但不限于：全面承担专业分包的总包管理责任，其他相关参建单位的配合管理，负责协助发包人办理所需的建设相关手续（如市政管网接入、电力、天然气、消防等工作）。除以上全部主要工作外，按合同约定的其他所有工作</w:t>
      </w:r>
      <w:r>
        <w:rPr>
          <w:rFonts w:hint="eastAsia"/>
          <w:szCs w:val="21"/>
        </w:rPr>
        <w:t>。</w:t>
      </w:r>
    </w:p>
    <w:p w14:paraId="3BFFD424">
      <w:pPr>
        <w:pStyle w:val="5"/>
        <w:rPr>
          <w:rFonts w:hint="eastAsia"/>
          <w:szCs w:val="21"/>
        </w:rPr>
      </w:pPr>
      <w:r>
        <w:rPr>
          <w:rFonts w:hint="eastAsia"/>
          <w:szCs w:val="21"/>
        </w:rPr>
        <w:t>标段划分：</w:t>
      </w:r>
      <w:r>
        <w:rPr>
          <w:rFonts w:hint="eastAsia"/>
          <w:color w:val="auto"/>
          <w:szCs w:val="21"/>
          <w:highlight w:val="none"/>
          <w:u w:val="single"/>
        </w:rPr>
        <w:t>1个标段</w:t>
      </w:r>
      <w:r>
        <w:rPr>
          <w:rFonts w:hint="eastAsia"/>
          <w:szCs w:val="21"/>
        </w:rPr>
        <w:t>。</w:t>
      </w:r>
    </w:p>
    <w:p w14:paraId="1343EF27">
      <w:pPr>
        <w:pStyle w:val="5"/>
        <w:rPr>
          <w:rFonts w:hint="eastAsia"/>
          <w:szCs w:val="21"/>
        </w:rPr>
      </w:pPr>
      <w:r>
        <w:rPr>
          <w:color w:val="FF0000"/>
          <w:szCs w:val="21"/>
          <w:highlight w:val="none"/>
        </w:rPr>
        <w:t>2.</w:t>
      </w:r>
      <w:r>
        <w:rPr>
          <w:rFonts w:hint="eastAsia"/>
          <w:color w:val="FF0000"/>
          <w:szCs w:val="21"/>
          <w:highlight w:val="none"/>
        </w:rPr>
        <w:t>3其他：</w:t>
      </w:r>
      <w:r>
        <w:rPr>
          <w:rFonts w:hint="eastAsia"/>
          <w:color w:val="FF0000"/>
          <w:szCs w:val="21"/>
          <w:highlight w:val="none"/>
          <w:u w:val="single"/>
        </w:rPr>
        <w:t>总工期：</w:t>
      </w:r>
      <w:r>
        <w:rPr>
          <w:rFonts w:hint="eastAsia"/>
          <w:color w:val="FF0000"/>
          <w:szCs w:val="21"/>
          <w:highlight w:val="none"/>
          <w:u w:val="single"/>
          <w:lang w:val="en-US" w:eastAsia="zh-CN"/>
        </w:rPr>
        <w:t>365</w:t>
      </w:r>
      <w:r>
        <w:rPr>
          <w:rFonts w:hint="eastAsia"/>
          <w:color w:val="FF0000"/>
          <w:szCs w:val="21"/>
          <w:highlight w:val="none"/>
          <w:u w:val="single"/>
        </w:rPr>
        <w:t>日历天，其中，设计工期：</w:t>
      </w:r>
      <w:r>
        <w:rPr>
          <w:rFonts w:hint="eastAsia"/>
          <w:color w:val="FF0000"/>
          <w:szCs w:val="21"/>
          <w:highlight w:val="none"/>
          <w:u w:val="single"/>
          <w:lang w:val="en-US" w:eastAsia="zh-CN"/>
        </w:rPr>
        <w:t>60</w:t>
      </w:r>
      <w:r>
        <w:rPr>
          <w:rFonts w:hint="eastAsia"/>
          <w:color w:val="FF0000"/>
          <w:szCs w:val="21"/>
          <w:highlight w:val="none"/>
          <w:u w:val="single"/>
        </w:rPr>
        <w:t>日历天；工程施工阶段：</w:t>
      </w:r>
      <w:r>
        <w:rPr>
          <w:rFonts w:hint="eastAsia"/>
          <w:color w:val="FF0000"/>
          <w:szCs w:val="21"/>
          <w:highlight w:val="none"/>
          <w:u w:val="single"/>
          <w:lang w:val="en-US" w:eastAsia="zh-CN"/>
        </w:rPr>
        <w:t>305</w:t>
      </w:r>
      <w:r>
        <w:rPr>
          <w:rFonts w:hint="eastAsia"/>
          <w:color w:val="FF0000"/>
          <w:szCs w:val="21"/>
          <w:highlight w:val="none"/>
          <w:u w:val="single"/>
        </w:rPr>
        <w:t>日历天。质保期：工程整体质保两年，防水部分质保五年</w:t>
      </w:r>
      <w:r>
        <w:rPr>
          <w:rFonts w:hint="eastAsia"/>
          <w:color w:val="FF0000"/>
          <w:szCs w:val="21"/>
          <w:highlight w:val="none"/>
        </w:rPr>
        <w:t>。</w:t>
      </w:r>
    </w:p>
    <w:p w14:paraId="7B0DF285">
      <w:pPr>
        <w:rPr>
          <w:rFonts w:hint="eastAsia" w:ascii="Arial" w:hAnsi="Arial" w:eastAsia="黑体" w:cstheme="minorBidi"/>
          <w:b w:val="0"/>
          <w:kern w:val="2"/>
          <w:sz w:val="28"/>
          <w:szCs w:val="24"/>
          <w:lang w:val="en-US" w:eastAsia="zh-CN" w:bidi="ar-SA"/>
        </w:rPr>
      </w:pPr>
      <w:bookmarkStart w:id="2" w:name="_Toc467365434"/>
      <w:bookmarkStart w:id="3" w:name="_Toc412661731"/>
      <w:bookmarkStart w:id="4" w:name="_Toc165317647"/>
      <w:r>
        <w:rPr>
          <w:rFonts w:hint="eastAsia" w:ascii="Arial" w:hAnsi="Arial" w:eastAsia="黑体" w:cstheme="minorBidi"/>
          <w:b w:val="0"/>
          <w:kern w:val="2"/>
          <w:sz w:val="28"/>
          <w:szCs w:val="24"/>
          <w:lang w:val="en-US" w:eastAsia="zh-CN" w:bidi="ar-SA"/>
        </w:rPr>
        <w:br w:type="page"/>
      </w:r>
    </w:p>
    <w:bookmarkEnd w:id="2"/>
    <w:bookmarkEnd w:id="3"/>
    <w:bookmarkEnd w:id="4"/>
    <w:p w14:paraId="37DDF5BA">
      <w:pPr>
        <w:pStyle w:val="3"/>
        <w:numPr>
          <w:ilvl w:val="0"/>
          <w:numId w:val="0"/>
        </w:numPr>
        <w:ind w:left="420" w:leftChars="0" w:hanging="420" w:firstLineChars="0"/>
        <w:rPr>
          <w:rFonts w:hint="eastAsia" w:ascii="Arial" w:hAnsi="Arial" w:eastAsia="黑体" w:cstheme="minorBidi"/>
          <w:b w:val="0"/>
          <w:kern w:val="2"/>
          <w:sz w:val="28"/>
          <w:szCs w:val="24"/>
          <w:lang w:val="en-US" w:eastAsia="zh-CN" w:bidi="ar-SA"/>
        </w:rPr>
      </w:pPr>
      <w:bookmarkStart w:id="7" w:name="_GoBack"/>
      <w:bookmarkEnd w:id="7"/>
      <w:bookmarkStart w:id="5" w:name="_Toc156490323"/>
      <w:bookmarkStart w:id="6" w:name="_Toc163493627"/>
      <w:r>
        <w:rPr>
          <w:rFonts w:hint="eastAsia" w:ascii="Arial" w:hAnsi="Arial" w:eastAsia="黑体" w:cstheme="minorBidi"/>
          <w:b w:val="0"/>
          <w:kern w:val="2"/>
          <w:sz w:val="28"/>
          <w:szCs w:val="24"/>
          <w:lang w:val="en-US" w:eastAsia="zh-CN" w:bidi="ar-SA"/>
        </w:rPr>
        <w:t>附录二、执行的相关标准、规范</w:t>
      </w:r>
      <w:bookmarkEnd w:id="5"/>
      <w:bookmarkEnd w:id="6"/>
    </w:p>
    <w:tbl>
      <w:tblPr>
        <w:tblStyle w:val="7"/>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4622"/>
        <w:gridCol w:w="2916"/>
      </w:tblGrid>
      <w:tr w14:paraId="2E933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shd w:val="clear" w:color="auto" w:fill="auto"/>
            <w:noWrap/>
            <w:vAlign w:val="center"/>
          </w:tcPr>
          <w:p w14:paraId="085C38A7">
            <w:pPr>
              <w:pStyle w:val="1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2806" w:type="pct"/>
            <w:shd w:val="clear" w:color="auto" w:fill="auto"/>
            <w:vAlign w:val="center"/>
          </w:tcPr>
          <w:p w14:paraId="54F6034F">
            <w:pPr>
              <w:pStyle w:val="1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1770" w:type="pct"/>
            <w:shd w:val="clear" w:color="auto" w:fill="auto"/>
            <w:noWrap/>
            <w:vAlign w:val="center"/>
          </w:tcPr>
          <w:p w14:paraId="7CE9C0B7">
            <w:pPr>
              <w:pStyle w:val="1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标号或文号</w:t>
            </w:r>
          </w:p>
        </w:tc>
      </w:tr>
      <w:tr w14:paraId="21118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shd w:val="clear" w:color="auto" w:fill="auto"/>
            <w:noWrap/>
            <w:vAlign w:val="center"/>
          </w:tcPr>
          <w:p w14:paraId="60A17640">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806" w:type="pct"/>
            <w:shd w:val="clear" w:color="auto" w:fill="auto"/>
            <w:vAlign w:val="center"/>
          </w:tcPr>
          <w:p w14:paraId="2D424EB7">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《中华人民共和国建筑法》</w:t>
            </w:r>
          </w:p>
        </w:tc>
        <w:tc>
          <w:tcPr>
            <w:tcW w:w="1770" w:type="pct"/>
            <w:shd w:val="clear" w:color="auto" w:fill="auto"/>
            <w:noWrap/>
            <w:vAlign w:val="center"/>
          </w:tcPr>
          <w:p w14:paraId="63D297AC">
            <w:pPr>
              <w:pStyle w:val="12"/>
              <w:jc w:val="center"/>
              <w:rPr>
                <w:rFonts w:hint="eastAsia" w:ascii="宋体" w:hAnsi="宋体" w:eastAsia="宋体" w:cs="宋体"/>
                <w:color w:val="auto"/>
                <w:sz w:val="24"/>
                <w:szCs w:val="24"/>
                <w:highlight w:val="none"/>
              </w:rPr>
            </w:pPr>
          </w:p>
        </w:tc>
      </w:tr>
      <w:tr w14:paraId="0E271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shd w:val="clear" w:color="auto" w:fill="auto"/>
            <w:noWrap/>
            <w:vAlign w:val="center"/>
          </w:tcPr>
          <w:p w14:paraId="6EC0FBF3">
            <w:pPr>
              <w:pStyle w:val="12"/>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2</w:t>
            </w:r>
          </w:p>
        </w:tc>
        <w:tc>
          <w:tcPr>
            <w:tcW w:w="2806" w:type="pct"/>
            <w:shd w:val="clear" w:color="auto" w:fill="auto"/>
            <w:vAlign w:val="center"/>
          </w:tcPr>
          <w:p w14:paraId="595002AF">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《中华人民共和国工程建设标准强制性条款</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房屋建筑部分2009年版》</w:t>
            </w:r>
          </w:p>
        </w:tc>
        <w:tc>
          <w:tcPr>
            <w:tcW w:w="1770" w:type="pct"/>
            <w:shd w:val="clear" w:color="auto" w:fill="auto"/>
            <w:noWrap/>
            <w:vAlign w:val="center"/>
          </w:tcPr>
          <w:p w14:paraId="475C54F5">
            <w:pPr>
              <w:pStyle w:val="12"/>
              <w:jc w:val="center"/>
              <w:rPr>
                <w:rFonts w:hint="eastAsia" w:ascii="宋体" w:hAnsi="宋体" w:eastAsia="宋体" w:cs="宋体"/>
                <w:color w:val="auto"/>
                <w:sz w:val="24"/>
                <w:szCs w:val="24"/>
                <w:highlight w:val="none"/>
              </w:rPr>
            </w:pPr>
          </w:p>
        </w:tc>
      </w:tr>
      <w:tr w14:paraId="630F7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shd w:val="clear" w:color="auto" w:fill="auto"/>
            <w:noWrap/>
            <w:vAlign w:val="center"/>
          </w:tcPr>
          <w:p w14:paraId="25CD077D">
            <w:pPr>
              <w:pStyle w:val="12"/>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3</w:t>
            </w:r>
          </w:p>
        </w:tc>
        <w:tc>
          <w:tcPr>
            <w:tcW w:w="2806" w:type="pct"/>
            <w:shd w:val="clear" w:color="auto" w:fill="auto"/>
            <w:vAlign w:val="center"/>
          </w:tcPr>
          <w:p w14:paraId="41AE411B">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《房屋建筑制图统一标准》</w:t>
            </w:r>
          </w:p>
        </w:tc>
        <w:tc>
          <w:tcPr>
            <w:tcW w:w="1770" w:type="pct"/>
            <w:shd w:val="clear" w:color="auto" w:fill="auto"/>
            <w:noWrap/>
            <w:vAlign w:val="center"/>
          </w:tcPr>
          <w:p w14:paraId="70B6DF18">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（GB/T50001—2010）</w:t>
            </w:r>
          </w:p>
        </w:tc>
      </w:tr>
      <w:tr w14:paraId="07BF0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shd w:val="clear" w:color="auto" w:fill="auto"/>
            <w:noWrap/>
            <w:vAlign w:val="center"/>
          </w:tcPr>
          <w:p w14:paraId="43B43111">
            <w:pPr>
              <w:pStyle w:val="12"/>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4</w:t>
            </w:r>
          </w:p>
        </w:tc>
        <w:tc>
          <w:tcPr>
            <w:tcW w:w="2806" w:type="pct"/>
            <w:shd w:val="clear" w:color="auto" w:fill="auto"/>
            <w:vAlign w:val="center"/>
          </w:tcPr>
          <w:p w14:paraId="033A9C04">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《建筑制图标准》</w:t>
            </w:r>
          </w:p>
        </w:tc>
        <w:tc>
          <w:tcPr>
            <w:tcW w:w="1770" w:type="pct"/>
            <w:shd w:val="clear" w:color="auto" w:fill="auto"/>
            <w:noWrap/>
            <w:vAlign w:val="center"/>
          </w:tcPr>
          <w:p w14:paraId="1FC71B41">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（GB/T50104—2010）</w:t>
            </w:r>
          </w:p>
        </w:tc>
      </w:tr>
      <w:tr w14:paraId="7B1AB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shd w:val="clear" w:color="auto" w:fill="auto"/>
            <w:noWrap/>
            <w:vAlign w:val="center"/>
          </w:tcPr>
          <w:p w14:paraId="39BA2E09">
            <w:pPr>
              <w:pStyle w:val="12"/>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5</w:t>
            </w:r>
          </w:p>
        </w:tc>
        <w:tc>
          <w:tcPr>
            <w:tcW w:w="2806" w:type="pct"/>
            <w:shd w:val="clear" w:color="auto" w:fill="auto"/>
            <w:vAlign w:val="center"/>
          </w:tcPr>
          <w:p w14:paraId="3684ECA2">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《建筑设计防火规范》</w:t>
            </w:r>
          </w:p>
        </w:tc>
        <w:tc>
          <w:tcPr>
            <w:tcW w:w="1770" w:type="pct"/>
            <w:shd w:val="clear" w:color="auto" w:fill="auto"/>
            <w:noWrap/>
            <w:vAlign w:val="center"/>
          </w:tcPr>
          <w:p w14:paraId="2476C2C4">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（GB50016—2006年版）</w:t>
            </w:r>
          </w:p>
        </w:tc>
      </w:tr>
      <w:tr w14:paraId="19085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shd w:val="clear" w:color="auto" w:fill="auto"/>
            <w:noWrap/>
            <w:vAlign w:val="center"/>
          </w:tcPr>
          <w:p w14:paraId="4B0A86CB">
            <w:pPr>
              <w:pStyle w:val="12"/>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2806" w:type="pct"/>
            <w:shd w:val="clear" w:color="auto" w:fill="auto"/>
            <w:vAlign w:val="center"/>
          </w:tcPr>
          <w:p w14:paraId="4FE1E457">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《建筑装饰装修工程质量验收规范》</w:t>
            </w:r>
          </w:p>
        </w:tc>
        <w:tc>
          <w:tcPr>
            <w:tcW w:w="1770" w:type="pct"/>
            <w:shd w:val="clear" w:color="auto" w:fill="auto"/>
            <w:noWrap/>
            <w:vAlign w:val="center"/>
          </w:tcPr>
          <w:p w14:paraId="1195376E">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GB50210</w:t>
            </w:r>
          </w:p>
        </w:tc>
      </w:tr>
      <w:tr w14:paraId="1CD36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shd w:val="clear" w:color="auto" w:fill="auto"/>
            <w:noWrap/>
            <w:vAlign w:val="center"/>
          </w:tcPr>
          <w:p w14:paraId="2704C2BF">
            <w:pPr>
              <w:pStyle w:val="12"/>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2806" w:type="pct"/>
            <w:shd w:val="clear" w:color="auto" w:fill="auto"/>
            <w:vAlign w:val="center"/>
          </w:tcPr>
          <w:p w14:paraId="171F591A">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《建筑给水排水设计标准》</w:t>
            </w:r>
          </w:p>
        </w:tc>
        <w:tc>
          <w:tcPr>
            <w:tcW w:w="1770" w:type="pct"/>
            <w:shd w:val="clear" w:color="auto" w:fill="auto"/>
            <w:noWrap/>
            <w:vAlign w:val="center"/>
          </w:tcPr>
          <w:p w14:paraId="0AE9C1B8">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GB50015-2019</w:t>
            </w:r>
          </w:p>
        </w:tc>
      </w:tr>
      <w:tr w14:paraId="4747D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shd w:val="clear" w:color="auto" w:fill="auto"/>
            <w:noWrap/>
            <w:vAlign w:val="center"/>
          </w:tcPr>
          <w:p w14:paraId="4FEF2975">
            <w:pPr>
              <w:pStyle w:val="12"/>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2806" w:type="pct"/>
            <w:shd w:val="clear" w:color="auto" w:fill="auto"/>
            <w:vAlign w:val="center"/>
          </w:tcPr>
          <w:p w14:paraId="2DAAF7A7">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《民用建筑电气设计标准》</w:t>
            </w:r>
          </w:p>
        </w:tc>
        <w:tc>
          <w:tcPr>
            <w:tcW w:w="1770" w:type="pct"/>
            <w:shd w:val="clear" w:color="auto" w:fill="auto"/>
            <w:noWrap/>
            <w:vAlign w:val="center"/>
          </w:tcPr>
          <w:p w14:paraId="612FE313">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GB51348-2019</w:t>
            </w:r>
          </w:p>
        </w:tc>
      </w:tr>
      <w:tr w14:paraId="4CEF6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shd w:val="clear" w:color="auto" w:fill="auto"/>
            <w:noWrap/>
            <w:vAlign w:val="center"/>
          </w:tcPr>
          <w:p w14:paraId="20E4DA38">
            <w:pPr>
              <w:pStyle w:val="12"/>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2806" w:type="pct"/>
            <w:shd w:val="clear" w:color="auto" w:fill="auto"/>
            <w:vAlign w:val="center"/>
          </w:tcPr>
          <w:p w14:paraId="70EBA1BC">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《建筑设计防火规范》</w:t>
            </w:r>
          </w:p>
        </w:tc>
        <w:tc>
          <w:tcPr>
            <w:tcW w:w="1770" w:type="pct"/>
            <w:shd w:val="clear" w:color="auto" w:fill="auto"/>
            <w:noWrap/>
            <w:vAlign w:val="center"/>
          </w:tcPr>
          <w:p w14:paraId="464D24B3">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GB50016-2014(2018年版)</w:t>
            </w:r>
          </w:p>
        </w:tc>
      </w:tr>
      <w:tr w14:paraId="3BAAF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shd w:val="clear" w:color="auto" w:fill="auto"/>
            <w:noWrap/>
            <w:vAlign w:val="center"/>
          </w:tcPr>
          <w:p w14:paraId="6CA84F8A">
            <w:pPr>
              <w:pStyle w:val="12"/>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2806" w:type="pct"/>
            <w:shd w:val="clear" w:color="auto" w:fill="auto"/>
            <w:vAlign w:val="center"/>
          </w:tcPr>
          <w:p w14:paraId="7F916861">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《供配电系统设计规范》</w:t>
            </w:r>
          </w:p>
        </w:tc>
        <w:tc>
          <w:tcPr>
            <w:tcW w:w="1770" w:type="pct"/>
            <w:shd w:val="clear" w:color="auto" w:fill="auto"/>
            <w:noWrap/>
            <w:vAlign w:val="center"/>
          </w:tcPr>
          <w:p w14:paraId="4BD0AA32">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GB50052-2009</w:t>
            </w:r>
          </w:p>
        </w:tc>
      </w:tr>
      <w:tr w14:paraId="5D354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shd w:val="clear" w:color="auto" w:fill="auto"/>
            <w:noWrap/>
            <w:vAlign w:val="center"/>
          </w:tcPr>
          <w:p w14:paraId="56AA31EB">
            <w:pPr>
              <w:pStyle w:val="12"/>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2806" w:type="pct"/>
            <w:shd w:val="clear" w:color="auto" w:fill="auto"/>
            <w:vAlign w:val="center"/>
          </w:tcPr>
          <w:p w14:paraId="07143D4A">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《低压配电设计规范》</w:t>
            </w:r>
          </w:p>
        </w:tc>
        <w:tc>
          <w:tcPr>
            <w:tcW w:w="1770" w:type="pct"/>
            <w:shd w:val="clear" w:color="auto" w:fill="auto"/>
            <w:noWrap/>
            <w:vAlign w:val="center"/>
          </w:tcPr>
          <w:p w14:paraId="677DE698">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GB50054-2011</w:t>
            </w:r>
          </w:p>
        </w:tc>
      </w:tr>
      <w:tr w14:paraId="6F6BD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shd w:val="clear" w:color="auto" w:fill="auto"/>
            <w:noWrap/>
            <w:vAlign w:val="center"/>
          </w:tcPr>
          <w:p w14:paraId="4EB54354">
            <w:pPr>
              <w:pStyle w:val="12"/>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2806" w:type="pct"/>
            <w:shd w:val="clear" w:color="auto" w:fill="auto"/>
            <w:vAlign w:val="center"/>
          </w:tcPr>
          <w:p w14:paraId="31939498">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《通用用电设备配电设计规范》</w:t>
            </w:r>
          </w:p>
        </w:tc>
        <w:tc>
          <w:tcPr>
            <w:tcW w:w="1770" w:type="pct"/>
            <w:shd w:val="clear" w:color="auto" w:fill="auto"/>
            <w:noWrap/>
            <w:vAlign w:val="center"/>
          </w:tcPr>
          <w:p w14:paraId="706386A6">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GB50055-2011</w:t>
            </w:r>
          </w:p>
        </w:tc>
      </w:tr>
      <w:tr w14:paraId="6AADC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shd w:val="clear" w:color="auto" w:fill="auto"/>
            <w:noWrap/>
            <w:vAlign w:val="center"/>
          </w:tcPr>
          <w:p w14:paraId="71EE0BC7">
            <w:pPr>
              <w:pStyle w:val="12"/>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2806" w:type="pct"/>
            <w:shd w:val="clear" w:color="auto" w:fill="auto"/>
            <w:vAlign w:val="center"/>
          </w:tcPr>
          <w:p w14:paraId="17673267">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《智能建筑设计标准》</w:t>
            </w:r>
          </w:p>
        </w:tc>
        <w:tc>
          <w:tcPr>
            <w:tcW w:w="1770" w:type="pct"/>
            <w:shd w:val="clear" w:color="auto" w:fill="auto"/>
            <w:noWrap/>
            <w:vAlign w:val="center"/>
          </w:tcPr>
          <w:p w14:paraId="3392F315">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GB50314-2015</w:t>
            </w:r>
          </w:p>
        </w:tc>
      </w:tr>
      <w:tr w14:paraId="3519D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shd w:val="clear" w:color="auto" w:fill="auto"/>
            <w:noWrap/>
            <w:vAlign w:val="center"/>
          </w:tcPr>
          <w:p w14:paraId="4F318493">
            <w:pPr>
              <w:pStyle w:val="12"/>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2806" w:type="pct"/>
            <w:shd w:val="clear" w:color="auto" w:fill="auto"/>
            <w:vAlign w:val="center"/>
          </w:tcPr>
          <w:p w14:paraId="4BFE064F">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《民用建筑电气设计标准》</w:t>
            </w:r>
          </w:p>
        </w:tc>
        <w:tc>
          <w:tcPr>
            <w:tcW w:w="1770" w:type="pct"/>
            <w:shd w:val="clear" w:color="auto" w:fill="auto"/>
            <w:noWrap/>
            <w:vAlign w:val="center"/>
          </w:tcPr>
          <w:p w14:paraId="386404D9">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GB51348-2019</w:t>
            </w:r>
          </w:p>
        </w:tc>
      </w:tr>
      <w:tr w14:paraId="6881A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pct"/>
            <w:shd w:val="clear" w:color="auto" w:fill="auto"/>
            <w:noWrap/>
            <w:vAlign w:val="center"/>
          </w:tcPr>
          <w:p w14:paraId="10BE7600">
            <w:pPr>
              <w:pStyle w:val="12"/>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2806" w:type="pct"/>
            <w:shd w:val="clear" w:color="auto" w:fill="auto"/>
            <w:vAlign w:val="center"/>
          </w:tcPr>
          <w:p w14:paraId="45E579E6">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《综合布线系统工程设计规范》</w:t>
            </w:r>
          </w:p>
        </w:tc>
        <w:tc>
          <w:tcPr>
            <w:tcW w:w="1770" w:type="pct"/>
            <w:shd w:val="clear" w:color="auto" w:fill="auto"/>
            <w:noWrap/>
            <w:vAlign w:val="center"/>
          </w:tcPr>
          <w:p w14:paraId="7C3181E8">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GB50311-2016</w:t>
            </w:r>
          </w:p>
        </w:tc>
      </w:tr>
    </w:tbl>
    <w:p w14:paraId="4B499CCA">
      <w:pPr>
        <w:ind w:left="0" w:leftChars="0" w:firstLine="0" w:firstLineChars="0"/>
        <w:rPr>
          <w:rFonts w:hint="default"/>
          <w:lang w:val="en-US" w:eastAsia="zh-CN"/>
        </w:rPr>
      </w:pPr>
      <w:r>
        <w:rPr>
          <w:rFonts w:hint="eastAsia" w:ascii="宋体" w:hAnsi="宋体" w:eastAsia="宋体" w:cs="宋体"/>
          <w:b w:val="0"/>
          <w:bCs w:val="0"/>
          <w:color w:val="auto"/>
          <w:kern w:val="2"/>
          <w:sz w:val="24"/>
          <w:szCs w:val="24"/>
          <w:highlight w:val="none"/>
          <w:lang w:val="en-US" w:eastAsia="zh-CN" w:bidi="ar-SA"/>
        </w:rPr>
        <w:t>上述技术标准和规范如有不足之处或未能达到国际最新标准时，供应商应使系统的设计、施工及选用的设备和材料符合最新版本的国际和国家标准、规范，并提供所采用的国际和国家标准、规范以及所采用版本的有关技术资料。</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80"/>
      </w:pPr>
      <w:r>
        <w:separator/>
      </w:r>
    </w:p>
  </w:footnote>
  <w:footnote w:type="continuationSeparator" w:id="1">
    <w:p>
      <w:pPr>
        <w:spacing w:before="0" w:after="0"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680548"/>
    <w:rsid w:val="6DD75FB4"/>
    <w:rsid w:val="78365079"/>
    <w:rsid w:val="7B680548"/>
    <w:rsid w:val="7FCA16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before="50" w:beforeLines="50" w:after="50" w:afterLines="50" w:line="360" w:lineRule="auto"/>
      <w:ind w:firstLine="643" w:firstLineChars="200"/>
      <w:jc w:val="left"/>
    </w:pPr>
    <w:rPr>
      <w:rFonts w:asciiTheme="minorAscii" w:hAnsiTheme="minorAscii" w:eastAsiaTheme="minorEastAsia" w:cstheme="minorBidi"/>
      <w:kern w:val="2"/>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qFormat/>
    <w:uiPriority w:val="0"/>
    <w:pPr>
      <w:keepNext/>
      <w:keepLines/>
      <w:spacing w:before="120" w:after="120" w:line="400" w:lineRule="exact"/>
      <w:outlineLvl w:val="2"/>
    </w:pPr>
    <w:rPr>
      <w:rFonts w:eastAsia="黑体"/>
      <w:bCs/>
      <w:sz w:val="24"/>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pPr>
      <w:spacing w:after="120" w:afterLines="0" w:afterAutospacing="0"/>
    </w:pPr>
  </w:style>
  <w:style w:type="paragraph" w:styleId="6">
    <w:name w:val="toc 1"/>
    <w:basedOn w:val="1"/>
    <w:next w:val="1"/>
    <w:qFormat/>
    <w:uiPriority w:val="39"/>
    <w:pPr>
      <w:tabs>
        <w:tab w:val="right" w:leader="dot" w:pos="9062"/>
      </w:tabs>
      <w:spacing w:before="120" w:after="120"/>
    </w:pPr>
    <w:rPr>
      <w:rFonts w:ascii="宋体" w:hAnsi="宋体"/>
      <w:b/>
      <w:bCs/>
      <w:caps/>
      <w:sz w:val="24"/>
      <w:szCs w:val="36"/>
    </w:rPr>
  </w:style>
  <w:style w:type="character" w:styleId="9">
    <w:name w:val="Hyperlink"/>
    <w:qFormat/>
    <w:uiPriority w:val="99"/>
    <w:rPr>
      <w:color w:val="0000FF"/>
      <w:u w:val="single"/>
    </w:rPr>
  </w:style>
  <w:style w:type="paragraph" w:customStyle="1" w:styleId="10">
    <w:name w:val="样式 标题 3 + (中文) 黑体 小四 非加粗 段前: 7.8 磅 段后: 0 磅 行距: 固定值 20 磅"/>
    <w:basedOn w:val="4"/>
    <w:qFormat/>
    <w:uiPriority w:val="0"/>
    <w:pPr>
      <w:spacing w:before="0" w:after="0" w:line="400" w:lineRule="exact"/>
    </w:pPr>
    <w:rPr>
      <w:rFonts w:cs="宋体"/>
      <w:bCs w:val="0"/>
      <w:szCs w:val="20"/>
    </w:rPr>
  </w:style>
  <w:style w:type="paragraph" w:customStyle="1" w:styleId="11">
    <w:name w:val="正文缩进2"/>
    <w:basedOn w:val="1"/>
    <w:qFormat/>
    <w:uiPriority w:val="0"/>
    <w:pPr>
      <w:wordWrap w:val="0"/>
      <w:ind w:firstLine="200" w:firstLineChars="200"/>
    </w:pPr>
  </w:style>
  <w:style w:type="paragraph" w:styleId="12">
    <w:name w:val="No Spacing"/>
    <w:qFormat/>
    <w:uiPriority w:val="1"/>
    <w:pPr>
      <w:widowControl w:val="0"/>
    </w:pPr>
    <w:rPr>
      <w:rFonts w:ascii="宋体" w:hAnsi="宋体" w:eastAsia="宋体"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5450</Words>
  <Characters>5882</Characters>
  <Lines>0</Lines>
  <Paragraphs>0</Paragraphs>
  <TotalTime>9</TotalTime>
  <ScaleCrop>false</ScaleCrop>
  <LinksUpToDate>false</LinksUpToDate>
  <CharactersWithSpaces>5882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2026-09-07T09:49:00Z</dcterms:created>
  <dc:creator>邓先森</dc:creator>
  <cp:lastModifiedBy>邓先森</cp:lastModifiedBy>
  <dcterms:modified xsi:type="dcterms:W3CDTF">2026-09-08T02:03:30Z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67B4BB89C3B2477CAF0740263FB96AF7_13</vt:lpwstr>
  </property>
  <property fmtid="{D5CDD505-2E9C-101B-9397-08002B2CF9AE}" pid="4" name="KSOTemplateDocerSaveRecord">
    <vt:lpwstr>eyJoZGlkIjoiZmZkMzVkNGU3NjEwMDJiNmE5OTZiZmE2MDExN2YxMWQiLCJ1c2VySWQiOiIyNTkwMDIyMDIifQ==</vt:lpwstr>
  </property>
</Properties>
</file>