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8DBB5">
      <w:pPr>
        <w:jc w:val="center"/>
        <w:rPr>
          <w:rFonts w:hint="eastAsia"/>
          <w:b/>
          <w:bCs/>
          <w:sz w:val="40"/>
          <w:szCs w:val="48"/>
          <w:lang w:val="en-US" w:eastAsia="zh-CN"/>
        </w:rPr>
      </w:pPr>
      <w:r>
        <w:rPr>
          <w:rFonts w:hint="eastAsia"/>
          <w:b/>
          <w:bCs/>
          <w:sz w:val="40"/>
          <w:szCs w:val="48"/>
          <w:lang w:val="en-US" w:eastAsia="zh-CN"/>
        </w:rPr>
        <w:t>采购需求</w:t>
      </w:r>
    </w:p>
    <w:p w14:paraId="3F8E7681">
      <w:pPr>
        <w:numPr>
          <w:ilvl w:val="0"/>
          <w:numId w:val="6"/>
        </w:numPr>
        <w:rPr>
          <w:rFonts w:hint="eastAsia"/>
          <w:b/>
          <w:bCs/>
          <w:sz w:val="28"/>
          <w:szCs w:val="36"/>
          <w:lang w:val="en-US" w:eastAsia="zh-CN"/>
        </w:rPr>
      </w:pPr>
      <w:r>
        <w:rPr>
          <w:rFonts w:hint="eastAsia"/>
          <w:b/>
          <w:bCs/>
          <w:sz w:val="28"/>
          <w:szCs w:val="36"/>
          <w:lang w:val="en-US" w:eastAsia="zh-CN"/>
        </w:rPr>
        <w:t>采购清单及技术指标</w:t>
      </w:r>
    </w:p>
    <w:tbl>
      <w:tblPr>
        <w:tblStyle w:val="5"/>
        <w:tblW w:w="51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802"/>
        <w:gridCol w:w="776"/>
        <w:gridCol w:w="897"/>
        <w:gridCol w:w="4544"/>
      </w:tblGrid>
      <w:tr w14:paraId="138F7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1526BF06">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jc w:val="both"/>
              <w:textAlignment w:val="auto"/>
              <w:rPr>
                <w:rFonts w:hint="eastAsia" w:ascii="宋体" w:hAnsi="宋体" w:eastAsia="宋体" w:cs="宋体"/>
                <w:sz w:val="32"/>
                <w:szCs w:val="32"/>
                <w:lang w:eastAsia="zh-CN"/>
              </w:rPr>
            </w:pPr>
            <w:r>
              <w:rPr>
                <w:rFonts w:hint="eastAsia" w:ascii="宋体" w:hAnsi="宋体" w:eastAsia="宋体" w:cs="宋体"/>
                <w:b/>
                <w:sz w:val="24"/>
                <w:szCs w:val="24"/>
                <w:lang w:eastAsia="zh-CN"/>
              </w:rPr>
              <w:t>序号</w:t>
            </w:r>
          </w:p>
        </w:tc>
        <w:tc>
          <w:tcPr>
            <w:tcW w:w="1029" w:type="pct"/>
            <w:vAlign w:val="center"/>
          </w:tcPr>
          <w:p w14:paraId="49E1C3DE">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货物名称</w:t>
            </w:r>
          </w:p>
        </w:tc>
        <w:tc>
          <w:tcPr>
            <w:tcW w:w="443" w:type="pct"/>
            <w:vAlign w:val="center"/>
          </w:tcPr>
          <w:p w14:paraId="14C109D2">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数量</w:t>
            </w:r>
          </w:p>
        </w:tc>
        <w:tc>
          <w:tcPr>
            <w:tcW w:w="512" w:type="pct"/>
            <w:vAlign w:val="center"/>
          </w:tcPr>
          <w:p w14:paraId="53EAB6D1">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单位</w:t>
            </w:r>
          </w:p>
        </w:tc>
        <w:tc>
          <w:tcPr>
            <w:tcW w:w="2594" w:type="pct"/>
            <w:vAlign w:val="center"/>
          </w:tcPr>
          <w:p w14:paraId="4F53144A">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2" w:firstLineChars="200"/>
              <w:jc w:val="center"/>
              <w:textAlignment w:val="auto"/>
              <w:rPr>
                <w:rFonts w:hint="eastAsia" w:ascii="宋体" w:hAnsi="宋体" w:eastAsia="宋体" w:cs="宋体"/>
                <w:b/>
                <w:sz w:val="24"/>
                <w:szCs w:val="24"/>
              </w:rPr>
            </w:pPr>
            <w:r>
              <w:rPr>
                <w:rFonts w:hint="eastAsia" w:ascii="宋体" w:hAnsi="宋体" w:eastAsia="宋体" w:cs="宋体"/>
                <w:b/>
                <w:sz w:val="24"/>
                <w:szCs w:val="24"/>
              </w:rPr>
              <w:t>性能参数及技术指标</w:t>
            </w:r>
          </w:p>
        </w:tc>
      </w:tr>
      <w:tr w14:paraId="7EFC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467AE18F">
            <w:pPr>
              <w:keepNext w:val="0"/>
              <w:keepLines w:val="0"/>
              <w:widowControl/>
              <w:suppressLineNumbers w:val="0"/>
              <w:jc w:val="center"/>
              <w:textAlignment w:val="center"/>
              <w:rPr>
                <w:rFonts w:hint="eastAsia" w:ascii="宋体" w:hAnsi="宋体" w:eastAsia="宋体" w:cs="宋体"/>
                <w:b/>
                <w:sz w:val="32"/>
                <w:szCs w:val="32"/>
                <w:lang w:eastAsia="zh-CN"/>
              </w:rPr>
            </w:pPr>
            <w:r>
              <w:rPr>
                <w:rFonts w:hint="eastAsia" w:ascii="宋体" w:hAnsi="宋体" w:eastAsia="宋体" w:cs="宋体"/>
                <w:i w:val="0"/>
                <w:iCs w:val="0"/>
                <w:color w:val="000000"/>
                <w:kern w:val="0"/>
                <w:sz w:val="22"/>
                <w:szCs w:val="22"/>
                <w:u w:val="none"/>
                <w:lang w:val="en-US" w:eastAsia="zh-CN" w:bidi="ar"/>
              </w:rPr>
              <w:t>1</w:t>
            </w:r>
          </w:p>
        </w:tc>
        <w:tc>
          <w:tcPr>
            <w:tcW w:w="1029" w:type="pct"/>
            <w:vAlign w:val="center"/>
          </w:tcPr>
          <w:p w14:paraId="51E4D28B">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86寸智慧黑板</w:t>
            </w:r>
          </w:p>
        </w:tc>
        <w:tc>
          <w:tcPr>
            <w:tcW w:w="776" w:type="dxa"/>
            <w:vAlign w:val="center"/>
          </w:tcPr>
          <w:p w14:paraId="71A49F42">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6</w:t>
            </w:r>
          </w:p>
        </w:tc>
        <w:tc>
          <w:tcPr>
            <w:tcW w:w="897" w:type="dxa"/>
            <w:vAlign w:val="center"/>
          </w:tcPr>
          <w:p w14:paraId="3EB0F9F7">
            <w:pPr>
              <w:keepNext w:val="0"/>
              <w:keepLines w:val="0"/>
              <w:widowControl/>
              <w:suppressLineNumbers w:val="0"/>
              <w:jc w:val="center"/>
              <w:textAlignment w:val="center"/>
              <w:rPr>
                <w:rFonts w:hint="eastAsia" w:ascii="宋体" w:hAnsi="宋体" w:eastAsia="宋体" w:cs="宋体"/>
                <w:b/>
                <w:sz w:val="32"/>
                <w:szCs w:val="32"/>
              </w:rPr>
            </w:pPr>
            <w:r>
              <w:rPr>
                <w:rFonts w:hint="default" w:ascii="Microsoft YaHei Regular" w:hAnsi="Microsoft YaHei Regular" w:eastAsia="Microsoft YaHei Regular" w:cs="Microsoft YaHei Regular"/>
                <w:i w:val="0"/>
                <w:iCs w:val="0"/>
                <w:color w:val="000000"/>
                <w:kern w:val="0"/>
                <w:sz w:val="20"/>
                <w:szCs w:val="20"/>
                <w:u w:val="none"/>
                <w:lang w:val="en-US" w:eastAsia="zh-CN" w:bidi="ar"/>
              </w:rPr>
              <w:t>台</w:t>
            </w:r>
          </w:p>
        </w:tc>
        <w:tc>
          <w:tcPr>
            <w:tcW w:w="4544" w:type="dxa"/>
            <w:vAlign w:val="center"/>
          </w:tcPr>
          <w:p w14:paraId="7EAB62E0">
            <w:pPr>
              <w:keepNext w:val="0"/>
              <w:keepLines w:val="0"/>
              <w:widowControl/>
              <w:suppressLineNumbers w:val="0"/>
              <w:jc w:val="left"/>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1、整机采用全金属外壳，三拼接平面一体化设计，屏幕采用86英寸液晶显示器，外观尺寸：宽≥4200mm，高≥1200mm，厚≤115mm。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2、侧置输入接口具备2路HDMI、1路RS232（RJ45形态）、1路USB接口；侧置输出接口具备1路音频输出、1路触控USB输出；前置输入接口3路USB接口（包含1路Type-C、2路USB）。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3、▲整机嵌入式系统版本≥Android 15，CPU≥8核，主频≥1.6GHz，内存≥2GB，存储空间≥32GB。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4、▲整机设备内置2.2声道扬声器，位于设备上边框，顶置朝前发声，12W高音扬声器2个，上朝向30W中低音扬声器2个，最大功率≥84W。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5、▲整机内置非独立外扩展的8阵列麦克风，拾音角度≥180°，可用于对教室环境音频进行采集，拾音距离≥12m。内置麦克风声源定位算法，声源定位精度≤5度，可以识别回答问题的学生方位。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6、▲整机内置全视角背光增光膜，通过增光膜对背光光源进行均光，整机屏幕中心亮度三分之一的亮度观看视角≥130°，满足GB40070关于亮度可视角≥120°要求。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7、▲整机内置全视角背光增光膜，通过增光膜对背光光源进行均光，在屏幕中心亮度≥350cd/㎡下，增加屏幕两侧亮度，使得整机水平方向法线60度视角下，实际屏幕的观看有效亮度≥110cd/㎡。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9、整机PC通道及安卓通道各具备一颗WiFi6无线芯片，PC和安卓通道均可通过大屏发送WiFi6热点以及连接WiFi6的路由器。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10、▲整机上边框内置非独立式摄像头，摄像头数量≥5个，其中至少四个摄像头像素值均≥1300 万，支持拍摄有效像素数≥5200万的照片，支持拍摄8192×2772分辨率的视频。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11、整机Windows通道支持文件传输应用，支持通过扫码、超声、wifi直连三种方式与手机进行握手连接，实现文件传输功能。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12、不低于Intel酷睿i5系列，内存不低于8G，固态硬盘不低于256GB，M.2接口（支持NVME协议和SATA3.0协议），集成声卡。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13、采用按压式卡扣，无需工具即可快速拆卸电脑模块。PC模块可抽拉式插入整机，可实现无单独接线的拔插。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14、具有独立非外拓展的视频输出接口：≥1路HDMI。USB接口：至少具备3个USB3.0接口，3个USB2.0接口。具有一个RJ45接口。支持1个3.5mm MIC in音频接口。</w:t>
            </w:r>
          </w:p>
        </w:tc>
      </w:tr>
      <w:tr w14:paraId="175B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774FCE25">
            <w:pPr>
              <w:keepNext w:val="0"/>
              <w:keepLines w:val="0"/>
              <w:widowControl/>
              <w:suppressLineNumbers w:val="0"/>
              <w:jc w:val="center"/>
              <w:textAlignment w:val="center"/>
              <w:rPr>
                <w:rFonts w:hint="eastAsia" w:ascii="宋体" w:hAnsi="宋体" w:eastAsia="宋体" w:cs="宋体"/>
                <w:b/>
                <w:sz w:val="32"/>
                <w:szCs w:val="32"/>
                <w:lang w:eastAsia="zh-CN"/>
              </w:rPr>
            </w:pPr>
            <w:r>
              <w:rPr>
                <w:rFonts w:hint="eastAsia" w:ascii="宋体" w:hAnsi="宋体" w:eastAsia="宋体" w:cs="宋体"/>
                <w:i w:val="0"/>
                <w:iCs w:val="0"/>
                <w:color w:val="000000"/>
                <w:kern w:val="0"/>
                <w:sz w:val="22"/>
                <w:szCs w:val="22"/>
                <w:u w:val="none"/>
                <w:lang w:val="en-US" w:eastAsia="zh-CN" w:bidi="ar"/>
              </w:rPr>
              <w:t>2</w:t>
            </w:r>
          </w:p>
        </w:tc>
        <w:tc>
          <w:tcPr>
            <w:tcW w:w="1029" w:type="pct"/>
            <w:vAlign w:val="center"/>
          </w:tcPr>
          <w:p w14:paraId="79E82328">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视频展台</w:t>
            </w:r>
          </w:p>
        </w:tc>
        <w:tc>
          <w:tcPr>
            <w:tcW w:w="776" w:type="dxa"/>
            <w:vAlign w:val="center"/>
          </w:tcPr>
          <w:p w14:paraId="6EEF4E63">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6</w:t>
            </w:r>
          </w:p>
        </w:tc>
        <w:tc>
          <w:tcPr>
            <w:tcW w:w="897" w:type="dxa"/>
            <w:vAlign w:val="center"/>
          </w:tcPr>
          <w:p w14:paraId="550CEF9C">
            <w:pPr>
              <w:keepNext w:val="0"/>
              <w:keepLines w:val="0"/>
              <w:widowControl/>
              <w:suppressLineNumbers w:val="0"/>
              <w:jc w:val="center"/>
              <w:textAlignment w:val="center"/>
              <w:rPr>
                <w:rFonts w:hint="eastAsia" w:ascii="宋体" w:hAnsi="宋体" w:eastAsia="宋体" w:cs="宋体"/>
                <w:b/>
                <w:sz w:val="32"/>
                <w:szCs w:val="32"/>
              </w:rPr>
            </w:pPr>
            <w:r>
              <w:rPr>
                <w:rFonts w:hint="default" w:ascii="Microsoft YaHei Regular" w:hAnsi="Microsoft YaHei Regular" w:eastAsia="Microsoft YaHei Regular" w:cs="Microsoft YaHei Regular"/>
                <w:i w:val="0"/>
                <w:iCs w:val="0"/>
                <w:color w:val="000000"/>
                <w:kern w:val="0"/>
                <w:sz w:val="20"/>
                <w:szCs w:val="20"/>
                <w:u w:val="none"/>
                <w:lang w:val="en-US" w:eastAsia="zh-CN" w:bidi="ar"/>
              </w:rPr>
              <w:t>台</w:t>
            </w:r>
          </w:p>
        </w:tc>
        <w:tc>
          <w:tcPr>
            <w:tcW w:w="4544" w:type="dxa"/>
            <w:vAlign w:val="center"/>
          </w:tcPr>
          <w:p w14:paraId="39AB9831">
            <w:pPr>
              <w:keepNext w:val="0"/>
              <w:keepLines w:val="0"/>
              <w:widowControl/>
              <w:suppressLineNumbers w:val="0"/>
              <w:jc w:val="left"/>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1、壁挂式安装，无锐角无利边设计，托板采用单板结构，托板平整无接缝，且托板及挂墙部分具有金属加强 ，展开后托板尺寸≥A4面积，托板可承重≥3kg ，托板可收起，采用磁吸吸附式机构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★2、采用一体式非活动悬臂设计，打开托板一个动作即可启动展台，实现画面拍摄和数据传输。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3、支持视频矫正功能，拍摄输出实时画面无梯形畸变，展台主体区画面为标准矩形效果。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4、采用USB接口，单根USB线实现供电、高清数据传输需求。展台背面支持数据线缠绕设计，可防止数据线松动脱落，并支持左右下三个方向出线。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5、摄像头可拍摄不少于1300万像素数的照片，摄像头支持自动对焦，可拍摄A4画幅，显示视频输出像素最大可支持3120×4208像素数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6、支持实时降噪功能，可开关控制。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7、支持通过双击屏幕画面任意位置，即时改变对焦位置,可对立体物体的局部进行对焦。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8、展台按键采用触摸按键，可实现灯光调节、拍照截图、画面缩小、画面放大功能，同时也支持在展台软件上进行同样的操作。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9、支持3档LED补光，可进行亮度补充。</w:t>
            </w:r>
          </w:p>
        </w:tc>
      </w:tr>
      <w:tr w14:paraId="36B21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7DBDEFAC">
            <w:pPr>
              <w:keepNext w:val="0"/>
              <w:keepLines w:val="0"/>
              <w:widowControl/>
              <w:suppressLineNumbers w:val="0"/>
              <w:jc w:val="center"/>
              <w:textAlignment w:val="center"/>
              <w:rPr>
                <w:rFonts w:hint="eastAsia" w:ascii="宋体" w:hAnsi="宋体" w:eastAsia="宋体" w:cs="宋体"/>
                <w:b/>
                <w:sz w:val="32"/>
                <w:szCs w:val="32"/>
                <w:lang w:eastAsia="zh-CN"/>
              </w:rPr>
            </w:pPr>
            <w:r>
              <w:rPr>
                <w:rFonts w:hint="eastAsia" w:ascii="宋体" w:hAnsi="宋体" w:eastAsia="宋体" w:cs="宋体"/>
                <w:i w:val="0"/>
                <w:iCs w:val="0"/>
                <w:color w:val="000000"/>
                <w:kern w:val="0"/>
                <w:sz w:val="22"/>
                <w:szCs w:val="22"/>
                <w:u w:val="none"/>
                <w:lang w:val="en-US" w:eastAsia="zh-CN" w:bidi="ar"/>
              </w:rPr>
              <w:t>3</w:t>
            </w:r>
          </w:p>
        </w:tc>
        <w:tc>
          <w:tcPr>
            <w:tcW w:w="1029" w:type="pct"/>
            <w:vAlign w:val="center"/>
          </w:tcPr>
          <w:p w14:paraId="3AF48C5F">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教学支撑软件</w:t>
            </w:r>
          </w:p>
        </w:tc>
        <w:tc>
          <w:tcPr>
            <w:tcW w:w="776" w:type="dxa"/>
            <w:vAlign w:val="center"/>
          </w:tcPr>
          <w:p w14:paraId="39F00826">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6</w:t>
            </w:r>
          </w:p>
        </w:tc>
        <w:tc>
          <w:tcPr>
            <w:tcW w:w="897" w:type="dxa"/>
            <w:vAlign w:val="center"/>
          </w:tcPr>
          <w:p w14:paraId="67F9CAC6">
            <w:pPr>
              <w:keepNext w:val="0"/>
              <w:keepLines w:val="0"/>
              <w:widowControl/>
              <w:suppressLineNumbers w:val="0"/>
              <w:jc w:val="center"/>
              <w:textAlignment w:val="center"/>
              <w:rPr>
                <w:rFonts w:hint="eastAsia" w:ascii="宋体" w:hAnsi="宋体" w:eastAsia="宋体" w:cs="宋体"/>
                <w:b/>
                <w:sz w:val="32"/>
                <w:szCs w:val="32"/>
              </w:rPr>
            </w:pPr>
            <w:r>
              <w:rPr>
                <w:rFonts w:hint="default" w:ascii="Microsoft YaHei Regular" w:hAnsi="Microsoft YaHei Regular" w:eastAsia="Microsoft YaHei Regular" w:cs="Microsoft YaHei Regular"/>
                <w:i w:val="0"/>
                <w:iCs w:val="0"/>
                <w:color w:val="000000"/>
                <w:kern w:val="0"/>
                <w:sz w:val="20"/>
                <w:szCs w:val="20"/>
                <w:u w:val="none"/>
                <w:lang w:val="en-US" w:eastAsia="zh-CN" w:bidi="ar"/>
              </w:rPr>
              <w:t>个</w:t>
            </w:r>
          </w:p>
        </w:tc>
        <w:tc>
          <w:tcPr>
            <w:tcW w:w="4544" w:type="dxa"/>
            <w:vAlign w:val="center"/>
          </w:tcPr>
          <w:p w14:paraId="26E98994">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备授课软件（pc端）：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★1.支持为每位教师提供可扩展至100TB的云存储空间，教师可在个人云空间上传存 储互动课件、云教案和其他教学资源。</w:t>
            </w:r>
          </w:p>
          <w:p w14:paraId="7E4882FA">
            <w:pPr>
              <w:keepNext w:val="0"/>
              <w:keepLines w:val="0"/>
              <w:widowControl/>
              <w:numPr>
                <w:ilvl w:val="0"/>
                <w:numId w:val="0"/>
              </w:numPr>
              <w:suppressLineNumbers w:val="0"/>
              <w:jc w:val="left"/>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2.教学软件须为使用方全体教师配备个人账号，形成一体的信息化教学账号体系；根据教师账号信息将教师云空间匹配至对应学校、学科校本资源库。支持通过数字账号、微信二维码、硬件密钥方式登录教师个人账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互动教学课件支持定向精准分享：分享者可将互动课件、课件组精准推送至指定接收方账号云空间，接收方可在云空间接收并打开分享课件。互动课件支持开放式云分享，分享者可将互动课件、课件组以公开或加密的web链接和二维码形式进行分享，分享链接可设置访问有效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4.提供互动式教学课件资源，包含学科教 育各学段各地区教材版本不少于 88 个；包含学科教育各学段教材版本全部教 学章节、专题教育多个主题教育、特殊 教育三大分类不少于 160000 份的交互动课件。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 AI助手：在备课场景中支持搜索课件库课件资源， 具有不少于 15 万份的课件资源， 支持整份课件或按照课件页插入课件中。支持按照教学环节筛选对应课件页一键插入课件中，可导入新课、作者简介。支持按照元素类型思维导图、课堂 活动选取需要的部分补充课件缺失的部分。 支持在查看部分课件的同时查看对应整份课件，了解作者整体教学思路。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支持将互动课件导出为 pptx 、pdf、H5 或 web 链接。导出的课件支持在多终端  (包含 windows 、Macos 、iOS 、安卓、 国产化系统) 进行二次编辑。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 AI互动：具有课堂互动活动智能生成填写功能，包括但不限于选词填空、判断对错和趣味选择三大课堂活动。输入文本后可以一键解析，自动将文本内容结构化填充至题干和正确选项，完成课堂活动的制作。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8.AI智能英语工具：软件内置的AI智能语义分析模块，可对输入的英文文本的拼写、句型、语法进行错误检查，并支持一键纠错。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9.AI音标助手：支持浏览和插入国际音标表，可直接点击发音，支持已整表和单个音标卡片插入。支持智能将字母、单词、句子转写为音标，并可一键插入到备课课件中形成文本</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党建微课视频：提供100节党建微课视频，包含革命篇、建设篇、改革篇、复兴篇4个篇章。微课内容可在线点播，下载至课件播放。微课视频支持视频关键帧打点标记，播放过程中可一键跳转至标记位置，同时支持一键对视频内容进行截图插入课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11.具备AI学科工具，包括但不限于：语文、数学、英语、化学、物理、地理、美术、藏语等工具。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12.AI试题：支持多种格式的试题批量上传，包括但不限于下述.doc、.docx、.png、.jpeg、.jpg等格式，并可自动转换为电子试题，便于老师优质试题的收集使用和作业布置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13.AI手写识别：支持将手绘形状、中英文、公式转换为规范几何图形和文字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★14.支持实现信息化集体备课，包括但不限于下述功能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a、发起集备：支持选择教案、课件、胶囊资源上传发起集备研讨， 支持设置多重访问权限，通过手机号搜索即可邀请外校老师，可用于跨校教研场景。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b、进入集备：支持搜索集备名称/老师 昵称、或按照学科/学段/年级/教材章节、我参与的/我发起的几个维度进行筛 选查看，支持电脑端进入集备页面。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c、集备研讨：参备人可通过评论区发 表观点，可对他人评论的观点进行点赞，评论消息支持实时提醒， 支持图片 的上传。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d、在线批注：参备人在可在线对教案 进行随文式批注，追加批注， 回复以及 查看实时批注消息。支持对课件进行打点式批注，可通过批注定位研讨内容，完成协同备课。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e、稿件编辑：完成研讨后，主备人可直接进入编辑页面编辑课件/教案，发布新稿件后，备课组进入下一轮研讨，更新稿件后会给参备老师同步教研动态。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f、稿件对比：可对集备中多稿的课件/教案/胶囊进行内容的横向对比，支持批注研讨过程数据对比回溯；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g、获取稿件：参备成员可以随时获取和下载每一稿中的集备稿件到云课件，进行编辑或引用。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h、完成集备：完成研讨后，可生成集体备课报告，集备终稿会自动上传到校本资源库，主备人可自定义上传目录，参备人可前往校本资源库获取集备终稿。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i、生成报告：支持生成集备报告，报告生成后，参备人可查看具体报告内容和下载报告。报告内包含集备信息、数据统计、研讨记录的具体内容。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j、视频研讨：支持在线发起多人视频 研讨， 研讨过程中可邀请校内外老师共 同参与， 会议主持人可对会议进行参会 人员的管理，包括邀请发言/开启禁言，共享屏幕等操作， 系统自动录制视频研 讨全过程， 会议结束后可自动形成视频 回放记录。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k、支持语音及视频会议记录，为音视频回放自动生成字幕， 对音 视频研讨过程中的关键词和对话进行 智能提炼， 支持倍速播放， 回溯研讨内容。</w:t>
            </w:r>
            <w:bookmarkStart w:id="0" w:name="_GoBack"/>
            <w:bookmarkEnd w:id="0"/>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15.为保证硬软件的使用兼容性，教学软件制造商需在软件开发和应用方面具有一定能力，软硬件须为同一制造商。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16.平台可接入国家级公共服务体系平台，并通过该平台枢纽环境进行体系内的资源服务及应用推广。</w:t>
            </w:r>
          </w:p>
        </w:tc>
      </w:tr>
      <w:tr w14:paraId="3142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571DC2A8">
            <w:pPr>
              <w:keepNext w:val="0"/>
              <w:keepLines w:val="0"/>
              <w:widowControl/>
              <w:suppressLineNumbers w:val="0"/>
              <w:jc w:val="center"/>
              <w:textAlignment w:val="center"/>
              <w:rPr>
                <w:rFonts w:hint="eastAsia" w:ascii="宋体" w:hAnsi="宋体" w:eastAsia="宋体" w:cs="宋体"/>
                <w:b/>
                <w:sz w:val="32"/>
                <w:szCs w:val="32"/>
                <w:lang w:eastAsia="zh-CN"/>
              </w:rPr>
            </w:pPr>
            <w:r>
              <w:rPr>
                <w:rFonts w:hint="eastAsia" w:ascii="宋体" w:hAnsi="宋体" w:eastAsia="宋体" w:cs="宋体"/>
                <w:i w:val="0"/>
                <w:iCs w:val="0"/>
                <w:color w:val="000000"/>
                <w:kern w:val="0"/>
                <w:sz w:val="22"/>
                <w:szCs w:val="22"/>
                <w:u w:val="none"/>
                <w:lang w:val="en-US" w:eastAsia="zh-CN" w:bidi="ar"/>
              </w:rPr>
              <w:t>4</w:t>
            </w:r>
          </w:p>
        </w:tc>
        <w:tc>
          <w:tcPr>
            <w:tcW w:w="1029" w:type="pct"/>
            <w:vAlign w:val="center"/>
          </w:tcPr>
          <w:p w14:paraId="09317DE3">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集中管理运维系统</w:t>
            </w:r>
          </w:p>
        </w:tc>
        <w:tc>
          <w:tcPr>
            <w:tcW w:w="776" w:type="dxa"/>
            <w:vAlign w:val="center"/>
          </w:tcPr>
          <w:p w14:paraId="1FBE7282">
            <w:pPr>
              <w:keepNext w:val="0"/>
              <w:keepLines w:val="0"/>
              <w:widowControl/>
              <w:suppressLineNumbers w:val="0"/>
              <w:jc w:val="center"/>
              <w:textAlignment w:val="center"/>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6</w:t>
            </w:r>
          </w:p>
        </w:tc>
        <w:tc>
          <w:tcPr>
            <w:tcW w:w="897" w:type="dxa"/>
            <w:vAlign w:val="center"/>
          </w:tcPr>
          <w:p w14:paraId="6ED49E7E">
            <w:pPr>
              <w:keepNext w:val="0"/>
              <w:keepLines w:val="0"/>
              <w:widowControl/>
              <w:suppressLineNumbers w:val="0"/>
              <w:jc w:val="center"/>
              <w:textAlignment w:val="center"/>
              <w:rPr>
                <w:rFonts w:hint="eastAsia" w:ascii="宋体" w:hAnsi="宋体" w:eastAsia="宋体" w:cs="宋体"/>
                <w:b/>
                <w:sz w:val="32"/>
                <w:szCs w:val="32"/>
              </w:rPr>
            </w:pPr>
            <w:r>
              <w:rPr>
                <w:rFonts w:hint="default" w:ascii="Microsoft YaHei Regular" w:hAnsi="Microsoft YaHei Regular" w:eastAsia="Microsoft YaHei Regular" w:cs="Microsoft YaHei Regular"/>
                <w:i w:val="0"/>
                <w:iCs w:val="0"/>
                <w:color w:val="000000"/>
                <w:kern w:val="0"/>
                <w:sz w:val="20"/>
                <w:szCs w:val="20"/>
                <w:u w:val="none"/>
                <w:lang w:val="en-US" w:eastAsia="zh-CN" w:bidi="ar"/>
              </w:rPr>
              <w:t>点</w:t>
            </w:r>
          </w:p>
        </w:tc>
        <w:tc>
          <w:tcPr>
            <w:tcW w:w="4544" w:type="dxa"/>
            <w:vAlign w:val="top"/>
          </w:tcPr>
          <w:p w14:paraId="0062C78C">
            <w:pPr>
              <w:keepNext w:val="0"/>
              <w:keepLines w:val="0"/>
              <w:widowControl/>
              <w:suppressLineNumbers w:val="0"/>
              <w:jc w:val="left"/>
              <w:textAlignment w:val="top"/>
              <w:rPr>
                <w:rFonts w:hint="eastAsia" w:ascii="宋体" w:hAnsi="宋体" w:eastAsia="宋体" w:cs="宋体"/>
                <w:b/>
                <w:sz w:val="32"/>
                <w:szCs w:val="32"/>
              </w:rPr>
            </w:pPr>
            <w:r>
              <w:rPr>
                <w:rFonts w:hint="eastAsia" w:ascii="宋体" w:hAnsi="宋体" w:eastAsia="宋体" w:cs="宋体"/>
                <w:i w:val="0"/>
                <w:iCs w:val="0"/>
                <w:color w:val="000000"/>
                <w:kern w:val="0"/>
                <w:sz w:val="22"/>
                <w:szCs w:val="22"/>
                <w:u w:val="none"/>
                <w:lang w:val="en-US" w:eastAsia="zh-CN" w:bidi="ar"/>
              </w:rPr>
              <w:t>1. 专属工作台：支持设置显隐组件来定制专属工作台。支持通过设备总览组件快捷查看学校所有设备实时状态及达标情况。支持通过设备巡视组件实时了解教室和设备的情况。支持通过设备使用情况组件了解设备活跃分布及长时间未使用的设备情况，设置智能策略来对设备进行管控；支持通过软件使用情况组件掌握学校教师常用的教学软件，快速拦截风险应用；支持通过老师使用情况了解教师对信息化设备的使用率；支持通过网站访问情况了解设备上使用的常用网址，并可快速设置黑名单来禁止设备上的违规访问行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设备治理建议：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设备巡视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设备巡视：支持同时查看不少于20个教室的实时摄像头画面、设备屏幕画面；支持在一个显示界面同时查看单个教室内所有屏幕、所有摄像头的实时画面，以及所有麦克风的声音，其中摄像头画面可直接使用班班通自带摄像头；支持批量将学校已有网络摄像头导入系统内，同场地下的班班通设备会主动和网络摄像头建立连接，巡视时可调用网络摄像头查看教室实时画面；单台设备巡视时，支持远程发送文本消息、语音消息，支持记录备注、听课评价；支持巡视日志功能，可以回溯管理员的巡视历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个性化巡视：支持自定义巡视水印类型、水印内容及水印颜色等设置，设置水印后，巡视过程中的摄像头画面和设备屏幕画面都会增加水印信息；支持自定义过滤摄像头、麦克风。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掌上看班：支持管理者开启掌上看班服务，开启/关闭掌上看班的管控功能；拥有掌上看班权限的老师可在移动端或PC客户端实时巡班，并进行基础远程管控。支持管理者为普通老师直接分配、普通老师自行申请后由管理者在平台审核开通的2种方式管理掌上看班的班级权限，所有权限调整均配备操作日志；支持通过教师、设备维度查看拥有掌上看班的权限明细，并支持快速调整权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点播巡视：支持根据班级课程表，自动获取正在上课或者即将上课的科目、老师列表，快速定位老师所在教室，实时远程听课；支持听课过程中针对本节课的教学过程进行评价，支持创建和使用多个评课表，并将评价记录于巡视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安全管控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批量磁盘清理：支持远程批量清理设备磁盘；支持清理指定磁盘的指定文件夹；支持清理系统盘备份、缓存、日志等文件；支持迁移系统盘视频、图片、音乐、文档文件；支持格式化非系统盘磁盘。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冰点还原及穿透：支持远程向已冰冻的设备发送指令、安装软件，在设备正常关机时触发穿透动作，穿透完成后，设备即可使用已安装软件、执行已接收指令，且穿透过程中无需人为解冻。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弹窗拦截：支持一键开启拦截能力；支持查看已上报的所有疑似风险窗口和上报次数，并支持拦截某个应用所有窗口、某个具体窗口；支持将某个应用、某个具体窗口加入白名单，不对软件进行拦截。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流量监管：支持查看校内当日班班通设备流量使用的具体情况、带宽利用率；支持对设备进行限速设置。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 网址过滤：支持设置网址访问黑名单、白名单，限制所有设备的网址访问。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 AI画面监测：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数据治理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设备概览：支持通过不少于五大维度，科学合理监测评估基建设备的稳定性；支持通过网络达标情况了解设备是否常态化联网；支持通过硬件达标情况了解设备使用年限、CPU/内存/磁盘等硬件的配置，通过流畅度情况了解设备CPU占用/温度、内存占用、系统盘容量占用的情况；支持通过安全达标情况了解设备启用安全防护服务的情况；支持通过设备应用情况来了解设备、教师在教学中的使用情况，包含：使用率、软件使用情况、网址访问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设备盘点：支持快速筛选全校所有设备各项指标的达标率，快速定位和识别问题设备；支持单设备查看详情，掌握设备的基础参数，以及各项指标的明细数据；支持快速导出全校所有设备的网络状态、硬件参数、流畅度、安全防护服务开启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个性化配置：支持管理者配置学校设备总览页需展示的组件内容、顺序；支持学校设置符合本校管理需要的设备使用率、网络/硬件/流畅度/安全达标率。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基建优化建议：支持解读设备运行数据，提供基建优化建议；支持根据网络带宽利用率分析网络稳定性并提供优化方案；支持根据硬件参数及流畅度达标情况分析设备运行稳定性并提供优化方案；支持根据安全服务开启情况分析设备运行风险并提供优化方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素养提升建议：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校园宣传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 海量资源：系统内置图片宣传资源、视频宣传资源、海报模板，可直接选择进行发布，宣传内容包含但不限于劳动教育、卫生健康、心理健康教育、安全教育、理想信念教育、生态文明教育、名校介绍、党建文化主题内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节目自定义：节目单支持添加自定义页面，自定义页面支持设置页面播放时长，支持颜色填充、背景图库、图片填充三种方式设置页面背景，支持添加文本、网页、倒计日、时间等通用组件，支持添加课表、值日生、评比等业务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多终端播放：支持面向班班通设备、班牌设备、校园屏显设备发送节目单指令；支持实时预览内容，支持设置按照每周循环播放、指定日期播放、自定义日期播放3种节目播放机制；支持播完即结束、指定时间循环播两种循环模式；支持同时添加不少于5个不同的播放周期，进行定时播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 节目单管理：支持通过后台进行所有节目的统一管理，可以查看节目发布设备及其在设备上的发布状态，可以对节目进行一键播放与暂停；支持草稿箱功能，未发布的节目可以保存至草稿箱。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时事转播：支持实时强制转播时事新闻，设备执行播放任务过程中可由学校老师扫码验证身份后退出本次转播服务执行；支持新闻网页地址、纯视频文件2种转播方式；支持立即、定时、周循环3种循环模式；支持指定设备定向发布内容；支持查看执行结果和计划列表。</w:t>
            </w:r>
          </w:p>
        </w:tc>
      </w:tr>
      <w:tr w14:paraId="73DD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0" w:type="pct"/>
            <w:vAlign w:val="center"/>
          </w:tcPr>
          <w:p w14:paraId="43C1BB7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029" w:type="pct"/>
            <w:vAlign w:val="center"/>
          </w:tcPr>
          <w:p w14:paraId="68D0664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配套施工服务</w:t>
            </w:r>
          </w:p>
        </w:tc>
        <w:tc>
          <w:tcPr>
            <w:tcW w:w="776" w:type="dxa"/>
            <w:vAlign w:val="center"/>
          </w:tcPr>
          <w:p w14:paraId="3F2200D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897" w:type="dxa"/>
            <w:vAlign w:val="center"/>
          </w:tcPr>
          <w:p w14:paraId="69E5D1AC">
            <w:pPr>
              <w:keepNext w:val="0"/>
              <w:keepLines w:val="0"/>
              <w:widowControl/>
              <w:suppressLineNumbers w:val="0"/>
              <w:jc w:val="center"/>
              <w:textAlignment w:val="center"/>
              <w:rPr>
                <w:rFonts w:hint="default" w:ascii="Microsoft YaHei Regular" w:hAnsi="Microsoft YaHei Regular" w:eastAsia="Microsoft YaHei Regular" w:cs="Microsoft YaHei Regular"/>
                <w:i w:val="0"/>
                <w:iCs w:val="0"/>
                <w:color w:val="000000"/>
                <w:kern w:val="0"/>
                <w:sz w:val="20"/>
                <w:szCs w:val="20"/>
                <w:u w:val="none"/>
                <w:lang w:val="en-US" w:eastAsia="zh-CN" w:bidi="ar"/>
              </w:rPr>
            </w:pPr>
            <w:r>
              <w:rPr>
                <w:rFonts w:hint="eastAsia" w:ascii="Microsoft YaHei Regular" w:hAnsi="Microsoft YaHei Regular" w:eastAsia="Microsoft YaHei Regular" w:cs="Microsoft YaHei Regular"/>
                <w:i w:val="0"/>
                <w:iCs w:val="0"/>
                <w:color w:val="000000"/>
                <w:kern w:val="0"/>
                <w:sz w:val="20"/>
                <w:szCs w:val="20"/>
                <w:u w:val="none"/>
                <w:lang w:val="en-US" w:eastAsia="zh-CN" w:bidi="ar"/>
              </w:rPr>
              <w:t>项</w:t>
            </w:r>
          </w:p>
        </w:tc>
        <w:tc>
          <w:tcPr>
            <w:tcW w:w="4544" w:type="dxa"/>
            <w:vAlign w:val="top"/>
          </w:tcPr>
          <w:p w14:paraId="3DB39983">
            <w:pPr>
              <w:keepNext w:val="0"/>
              <w:keepLines w:val="0"/>
              <w:widowControl/>
              <w:numPr>
                <w:ilvl w:val="0"/>
                <w:numId w:val="8"/>
              </w:numPr>
              <w:suppressLineNumbers w:val="0"/>
              <w:jc w:val="left"/>
              <w:textAlignment w:val="top"/>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包含新设备的安装与调试</w:t>
            </w:r>
          </w:p>
          <w:p w14:paraId="15C0098E">
            <w:pPr>
              <w:keepNext w:val="0"/>
              <w:keepLines w:val="0"/>
              <w:widowControl/>
              <w:numPr>
                <w:ilvl w:val="0"/>
                <w:numId w:val="8"/>
              </w:numPr>
              <w:suppressLineNumbers w:val="0"/>
              <w:jc w:val="left"/>
              <w:textAlignment w:val="top"/>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旧设备的拆除及移到指定地点（一次）</w:t>
            </w:r>
          </w:p>
        </w:tc>
      </w:tr>
    </w:tbl>
    <w:p w14:paraId="6C6434C4">
      <w:pPr>
        <w:numPr>
          <w:ilvl w:val="0"/>
          <w:numId w:val="0"/>
        </w:numPr>
        <w:rPr>
          <w:rFonts w:hint="default"/>
          <w:b/>
          <w:bCs/>
          <w:sz w:val="28"/>
          <w:szCs w:val="36"/>
          <w:lang w:val="en-US" w:eastAsia="zh-CN"/>
        </w:rPr>
      </w:pPr>
    </w:p>
    <w:p w14:paraId="3353F951">
      <w:pPr>
        <w:numPr>
          <w:ilvl w:val="0"/>
          <w:numId w:val="6"/>
        </w:numPr>
        <w:rPr>
          <w:rFonts w:hint="default"/>
          <w:b/>
          <w:bCs/>
          <w:sz w:val="28"/>
          <w:szCs w:val="36"/>
          <w:lang w:val="en-US" w:eastAsia="zh-CN"/>
        </w:rPr>
      </w:pPr>
      <w:r>
        <w:rPr>
          <w:rFonts w:hint="eastAsia"/>
          <w:b/>
          <w:bCs/>
          <w:sz w:val="28"/>
          <w:szCs w:val="36"/>
          <w:lang w:val="en-US" w:eastAsia="zh-CN"/>
        </w:rPr>
        <w:t>商务要求</w:t>
      </w:r>
    </w:p>
    <w:p w14:paraId="71BDFE1B">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1.质保期：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不少于</w:t>
      </w:r>
      <w:r>
        <w:rPr>
          <w:rFonts w:hint="eastAsia" w:ascii="宋体" w:hAnsi="宋体" w:eastAsia="宋体" w:cs="宋体"/>
          <w:sz w:val="24"/>
          <w:szCs w:val="24"/>
          <w:u w:val="single"/>
          <w:lang w:val="en-US" w:eastAsia="zh-CN"/>
        </w:rPr>
        <w:t>1年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3EE23DEF">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报价</w:t>
      </w:r>
      <w:r>
        <w:rPr>
          <w:rFonts w:hint="eastAsia" w:ascii="宋体" w:hAnsi="宋体" w:eastAsia="宋体" w:cs="宋体"/>
          <w:sz w:val="24"/>
          <w:szCs w:val="24"/>
        </w:rPr>
        <w:t>方式：</w:t>
      </w:r>
      <w:r>
        <w:rPr>
          <w:rFonts w:hint="eastAsia" w:ascii="宋体" w:hAnsi="宋体" w:eastAsia="宋体" w:cs="宋体"/>
          <w:sz w:val="24"/>
          <w:szCs w:val="24"/>
          <w:u w:val="single"/>
          <w:lang w:eastAsia="zh-CN"/>
        </w:rPr>
        <w:t>一次性包干报价，报价需包含耗材、运输、安装调试、相关保险、税金等</w:t>
      </w:r>
    </w:p>
    <w:p w14:paraId="2B1ECCB9">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.付款方式：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验收合格后支付全款</w:t>
      </w:r>
    </w:p>
    <w:p w14:paraId="64137282">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lang w:val="en-US" w:eastAsia="zh-CN"/>
        </w:rPr>
        <w:t>4</w:t>
      </w:r>
      <w:r>
        <w:rPr>
          <w:rFonts w:hint="eastAsia" w:ascii="宋体" w:hAnsi="宋体" w:eastAsia="宋体" w:cs="宋体"/>
          <w:sz w:val="24"/>
          <w:szCs w:val="24"/>
        </w:rPr>
        <w:t>.交货期：</w:t>
      </w:r>
      <w:r>
        <w:rPr>
          <w:rFonts w:hint="eastAsia" w:ascii="宋体" w:hAnsi="宋体" w:eastAsia="宋体" w:cs="宋体"/>
          <w:sz w:val="24"/>
          <w:szCs w:val="24"/>
          <w:u w:val="single"/>
          <w:lang w:val="en-US" w:eastAsia="zh-CN"/>
        </w:rPr>
        <w:t xml:space="preserve">   30日   </w:t>
      </w:r>
    </w:p>
    <w:p w14:paraId="51D49DCE">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firstLine="480" w:firstLineChars="200"/>
        <w:textAlignment w:val="auto"/>
        <w:rPr>
          <w:rFonts w:hint="eastAsia" w:ascii="宋体" w:hAnsi="宋体" w:eastAsia="宋体" w:cs="宋体"/>
          <w:b/>
          <w:bCs/>
          <w:sz w:val="22"/>
          <w:szCs w:val="28"/>
          <w:lang w:val="en-US" w:eastAsia="zh-CN"/>
        </w:rPr>
      </w:pPr>
      <w:r>
        <w:rPr>
          <w:rFonts w:hint="eastAsia" w:ascii="宋体" w:hAnsi="宋体" w:eastAsia="宋体" w:cs="宋体"/>
          <w:sz w:val="24"/>
          <w:szCs w:val="24"/>
        </w:rPr>
        <w:t>5.交货地点：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武汉理工大学</w:t>
      </w:r>
      <w:r>
        <w:rPr>
          <w:rFonts w:hint="eastAsia" w:ascii="宋体" w:hAnsi="宋体" w:eastAsia="宋体" w:cs="宋体"/>
          <w:sz w:val="24"/>
          <w:szCs w:val="24"/>
          <w:u w:val="single"/>
          <w:lang w:val="en-US" w:eastAsia="zh-CN"/>
        </w:rPr>
        <w:t>附属小学指定地点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8628F0"/>
    <w:multiLevelType w:val="singleLevel"/>
    <w:tmpl w:val="908628F0"/>
    <w:lvl w:ilvl="0" w:tentative="0">
      <w:start w:val="1"/>
      <w:numFmt w:val="chineseCounting"/>
      <w:suff w:val="nothing"/>
      <w:lvlText w:val="%1、"/>
      <w:lvlJc w:val="left"/>
      <w:rPr>
        <w:rFonts w:hint="eastAsia"/>
      </w:rPr>
    </w:lvl>
  </w:abstractNum>
  <w:abstractNum w:abstractNumId="1">
    <w:nsid w:val="A7A944ED"/>
    <w:multiLevelType w:val="singleLevel"/>
    <w:tmpl w:val="A7A944ED"/>
    <w:lvl w:ilvl="0" w:tentative="0">
      <w:start w:val="1"/>
      <w:numFmt w:val="decimal"/>
      <w:lvlText w:val="%1."/>
      <w:lvlJc w:val="left"/>
      <w:pPr>
        <w:tabs>
          <w:tab w:val="left" w:pos="312"/>
        </w:tabs>
      </w:pPr>
    </w:lvl>
  </w:abstractNum>
  <w:abstractNum w:abstractNumId="2">
    <w:nsid w:val="D2FA7BD6"/>
    <w:multiLevelType w:val="multilevel"/>
    <w:tmpl w:val="D2FA7BD6"/>
    <w:lvl w:ilvl="0" w:tentative="0">
      <w:start w:val="1"/>
      <w:numFmt w:val="decimal"/>
      <w:pStyle w:val="3"/>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D94763A2"/>
    <w:multiLevelType w:val="multilevel"/>
    <w:tmpl w:val="D94763A2"/>
    <w:lvl w:ilvl="0" w:tentative="0">
      <w:start w:val="1"/>
      <w:numFmt w:val="decimal"/>
      <w:pStyle w:val="9"/>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2A473ABA"/>
    <w:multiLevelType w:val="singleLevel"/>
    <w:tmpl w:val="2A473ABA"/>
    <w:lvl w:ilvl="0" w:tentative="0">
      <w:start w:val="1"/>
      <w:numFmt w:val="decimal"/>
      <w:lvlText w:val="%1."/>
      <w:lvlJc w:val="left"/>
      <w:pPr>
        <w:tabs>
          <w:tab w:val="left" w:pos="312"/>
        </w:tabs>
      </w:pPr>
    </w:lvl>
  </w:abstractNum>
  <w:abstractNum w:abstractNumId="5">
    <w:nsid w:val="3B23EC15"/>
    <w:multiLevelType w:val="multilevel"/>
    <w:tmpl w:val="3B23EC15"/>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pStyle w:val="2"/>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58691D42"/>
    <w:multiLevelType w:val="multilevel"/>
    <w:tmpl w:val="58691D42"/>
    <w:lvl w:ilvl="0" w:tentative="0">
      <w:start w:val="1"/>
      <w:numFmt w:val="decimal"/>
      <w:pStyle w:val="4"/>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5F98F067"/>
    <w:multiLevelType w:val="multilevel"/>
    <w:tmpl w:val="5F98F067"/>
    <w:lvl w:ilvl="0" w:tentative="0">
      <w:start w:val="1"/>
      <w:numFmt w:val="decimal"/>
      <w:pStyle w:val="8"/>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6"/>
  </w:num>
  <w:num w:numId="3">
    <w:abstractNumId w:val="5"/>
  </w:num>
  <w:num w:numId="4">
    <w:abstractNumId w:val="7"/>
  </w:num>
  <w:num w:numId="5">
    <w:abstractNumId w:val="3"/>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B1282"/>
    <w:rsid w:val="16D20321"/>
    <w:rsid w:val="1AC76DF0"/>
    <w:rsid w:val="38332956"/>
    <w:rsid w:val="466B4392"/>
    <w:rsid w:val="46D2222D"/>
    <w:rsid w:val="46D32994"/>
    <w:rsid w:val="6975552A"/>
    <w:rsid w:val="75FF7605"/>
    <w:rsid w:val="7DF67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rFonts w:eastAsia="宋体" w:asciiTheme="minorAscii" w:hAnsiTheme="minorAscii"/>
      <w:b/>
      <w:kern w:val="44"/>
      <w:sz w:val="32"/>
    </w:rPr>
  </w:style>
  <w:style w:type="paragraph" w:styleId="4">
    <w:name w:val="heading 2"/>
    <w:basedOn w:val="1"/>
    <w:next w:val="1"/>
    <w:semiHidden/>
    <w:unhideWhenUsed/>
    <w:qFormat/>
    <w:uiPriority w:val="0"/>
    <w:pPr>
      <w:keepNext/>
      <w:keepLines/>
      <w:numPr>
        <w:ilvl w:val="0"/>
        <w:numId w:val="2"/>
      </w:numPr>
      <w:spacing w:before="260" w:beforeLines="0" w:beforeAutospacing="0" w:after="260" w:afterLines="0" w:afterAutospacing="0" w:line="413" w:lineRule="auto"/>
      <w:outlineLvl w:val="1"/>
    </w:pPr>
    <w:rPr>
      <w:rFonts w:ascii="Arial" w:hAnsi="Arial" w:eastAsia="宋体"/>
      <w:b/>
      <w:sz w:val="28"/>
    </w:rPr>
  </w:style>
  <w:style w:type="paragraph" w:styleId="2">
    <w:name w:val="heading 3"/>
    <w:basedOn w:val="1"/>
    <w:next w:val="1"/>
    <w:semiHidden/>
    <w:unhideWhenUsed/>
    <w:qFormat/>
    <w:uiPriority w:val="0"/>
    <w:pPr>
      <w:keepNext/>
      <w:keepLines/>
      <w:numPr>
        <w:ilvl w:val="2"/>
        <w:numId w:val="3"/>
      </w:numPr>
      <w:spacing w:before="260" w:beforeLines="0" w:beforeAutospacing="0" w:after="260" w:afterLines="0" w:afterAutospacing="0" w:line="240" w:lineRule="auto"/>
      <w:ind w:firstLine="0" w:firstLineChars="0"/>
      <w:outlineLvl w:val="2"/>
    </w:pPr>
    <w:rPr>
      <w:rFonts w:eastAsia="宋体" w:asciiTheme="minorAscii" w:hAnsiTheme="minorAscii"/>
      <w:b/>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7">
    <w:name w:val="样式2"/>
    <w:basedOn w:val="1"/>
    <w:next w:val="1"/>
    <w:qFormat/>
    <w:uiPriority w:val="0"/>
    <w:pPr>
      <w:spacing w:beforeAutospacing="1" w:afterAutospacing="1"/>
      <w:jc w:val="left"/>
      <w:outlineLvl w:val="0"/>
    </w:pPr>
    <w:rPr>
      <w:rFonts w:hint="eastAsia" w:ascii="宋体" w:hAnsi="宋体" w:eastAsia="宋体" w:cs="宋体"/>
      <w:b/>
      <w:bCs/>
      <w:kern w:val="44"/>
      <w:sz w:val="24"/>
      <w:szCs w:val="48"/>
      <w:lang w:bidi="ar"/>
    </w:rPr>
  </w:style>
  <w:style w:type="paragraph" w:customStyle="1" w:styleId="8">
    <w:name w:val="样式7"/>
    <w:basedOn w:val="1"/>
    <w:next w:val="1"/>
    <w:qFormat/>
    <w:uiPriority w:val="0"/>
    <w:pPr>
      <w:keepNext/>
      <w:keepLines/>
      <w:numPr>
        <w:ilvl w:val="0"/>
        <w:numId w:val="4"/>
      </w:numPr>
      <w:spacing w:before="260" w:beforeLines="0" w:after="260" w:afterLines="0" w:line="413" w:lineRule="auto"/>
      <w:outlineLvl w:val="1"/>
    </w:pPr>
    <w:rPr>
      <w:rFonts w:hint="eastAsia" w:ascii="Arial" w:hAnsi="Arial" w:eastAsia="黑体"/>
      <w:b/>
      <w:sz w:val="32"/>
    </w:rPr>
  </w:style>
  <w:style w:type="paragraph" w:customStyle="1" w:styleId="9">
    <w:name w:val="样式8"/>
    <w:basedOn w:val="1"/>
    <w:next w:val="1"/>
    <w:uiPriority w:val="0"/>
    <w:pPr>
      <w:keepNext/>
      <w:keepLines/>
      <w:numPr>
        <w:ilvl w:val="0"/>
        <w:numId w:val="5"/>
      </w:numPr>
      <w:spacing w:before="340" w:beforeLines="0" w:after="330" w:afterLines="0" w:line="576" w:lineRule="auto"/>
      <w:outlineLvl w:val="0"/>
    </w:pPr>
    <w:rPr>
      <w:rFonts w:hint="default" w:asciiTheme="minorAscii" w:hAnsiTheme="minorAscii"/>
      <w:b/>
      <w:kern w:val="44"/>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5955</Words>
  <Characters>6286</Characters>
  <Lines>0</Lines>
  <Paragraphs>0</Paragraphs>
  <TotalTime>16</TotalTime>
  <ScaleCrop>false</ScaleCrop>
  <LinksUpToDate>false</LinksUpToDate>
  <CharactersWithSpaces>6379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2023-07-31T03:10:00Z</dcterms:created>
  <dc:creator>Administrator</dc:creator>
  <cp:lastModifiedBy>熊蕾</cp:lastModifiedBy>
  <dcterms:modified xsi:type="dcterms:W3CDTF">2026-07-02T08:49:51Z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879E8BC6481A4D49A3563D857701DACA_12</vt:lpwstr>
  </property>
  <property fmtid="{D5CDD505-2E9C-101B-9397-08002B2CF9AE}" pid="4" name="KSOTemplateDocerSaveRecord">
    <vt:lpwstr>eyJoZGlkIjoiZDkwMzI3YjAxYTRlOGE5ZGJmYWJmMWY5YzhjNjJhN2EiLCJ1c2VySWQiOiIzMzQyMTg0NjIifQ==</vt:lpwstr>
  </property>
</Properties>
</file>