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65E50B">
      <w:pPr>
        <w:spacing w:line="240" w:lineRule="exact"/>
        <w:jc w:val="left"/>
        <w:rPr>
          <w:rFonts w:ascii="宋体" w:hAnsi="宋体"/>
          <w:b/>
          <w:sz w:val="32"/>
        </w:rPr>
      </w:pPr>
      <w:r>
        <w:rPr>
          <w:rFonts w:hint="eastAsia" w:ascii="宋体" w:hAnsi="宋体"/>
          <w:b/>
          <w:sz w:val="32"/>
        </w:rPr>
        <w:drawing>
          <wp:anchor distT="0" distB="0" distL="114300" distR="114300" simplePos="0" relativeHeight="251665408" behindDoc="0" locked="0" layoutInCell="1" allowOverlap="1">
            <wp:simplePos x="0" y="0"/>
            <wp:positionH relativeFrom="margin">
              <wp:align>right</wp:align>
            </wp:positionH>
            <wp:positionV relativeFrom="paragraph">
              <wp:posOffset>8890</wp:posOffset>
            </wp:positionV>
            <wp:extent cx="1804035" cy="779145"/>
            <wp:effectExtent l="0" t="0" r="5715" b="1905"/>
            <wp:wrapNone/>
            <wp:docPr id="117242797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427978" name="图片 3"/>
                    <pic:cNvPicPr>
                      <a:picLocks noChangeAspect="1" noChangeArrowheads="1"/>
                    </pic:cNvPicPr>
                  </pic:nvPicPr>
                  <pic:blipFill>
                    <a:blip r:embed="rId10" cstate="print"/>
                    <a:srcRect/>
                    <a:stretch>
                      <a:fillRect/>
                    </a:stretch>
                  </pic:blipFill>
                  <pic:spPr>
                    <a:xfrm>
                      <a:off x="0" y="0"/>
                      <a:ext cx="1804035" cy="779145"/>
                    </a:xfrm>
                    <a:prstGeom prst="rect">
                      <a:avLst/>
                    </a:prstGeom>
                    <a:noFill/>
                    <a:ln w="9525">
                      <a:noFill/>
                      <a:miter lim="800000"/>
                      <a:headEnd/>
                      <a:tailEnd/>
                    </a:ln>
                  </pic:spPr>
                </pic:pic>
              </a:graphicData>
            </a:graphic>
          </wp:anchor>
        </w:drawing>
      </w:r>
    </w:p>
    <w:p w14:paraId="6210D3FA">
      <w:pPr>
        <w:spacing w:line="240" w:lineRule="exact"/>
        <w:jc w:val="left"/>
        <w:rPr>
          <w:rFonts w:ascii="宋体" w:hAnsi="宋体"/>
          <w:b/>
          <w:sz w:val="32"/>
        </w:rPr>
      </w:pPr>
    </w:p>
    <w:p w14:paraId="3AA0F6C3">
      <w:pPr>
        <w:spacing w:line="240" w:lineRule="exact"/>
        <w:jc w:val="left"/>
        <w:rPr>
          <w:rFonts w:ascii="宋体" w:hAnsi="宋体"/>
          <w:b/>
          <w:sz w:val="32"/>
        </w:rPr>
      </w:pPr>
    </w:p>
    <w:p w14:paraId="4C27619E">
      <w:pPr>
        <w:spacing w:line="240" w:lineRule="exact"/>
        <w:jc w:val="left"/>
        <w:rPr>
          <w:rFonts w:ascii="宋体" w:hAnsi="宋体"/>
          <w:b/>
          <w:sz w:val="32"/>
        </w:rPr>
      </w:pPr>
    </w:p>
    <w:p w14:paraId="1DD8CEE1">
      <w:pPr>
        <w:spacing w:line="240" w:lineRule="exact"/>
        <w:jc w:val="left"/>
        <w:rPr>
          <w:rFonts w:ascii="宋体" w:hAnsi="宋体"/>
          <w:b/>
          <w:sz w:val="32"/>
        </w:rPr>
      </w:pPr>
    </w:p>
    <w:p w14:paraId="21855778">
      <w:pPr>
        <w:spacing w:line="240" w:lineRule="exact"/>
        <w:jc w:val="left"/>
        <w:rPr>
          <w:rFonts w:ascii="宋体" w:hAnsi="宋体"/>
          <w:b/>
          <w:sz w:val="32"/>
        </w:rPr>
      </w:pPr>
    </w:p>
    <w:p w14:paraId="1379663F">
      <w:pPr>
        <w:spacing w:line="240" w:lineRule="exact"/>
        <w:jc w:val="left"/>
        <w:rPr>
          <w:rFonts w:ascii="宋体" w:hAnsi="宋体"/>
          <w:b/>
          <w:sz w:val="32"/>
        </w:rPr>
      </w:pPr>
    </w:p>
    <w:p w14:paraId="33543596">
      <w:pPr>
        <w:spacing w:line="240" w:lineRule="exact"/>
        <w:jc w:val="left"/>
        <w:rPr>
          <w:rFonts w:ascii="宋体" w:hAnsi="宋体"/>
          <w:b/>
          <w:sz w:val="32"/>
        </w:rPr>
      </w:pPr>
    </w:p>
    <w:p w14:paraId="409885E5">
      <w:pPr>
        <w:spacing w:line="360" w:lineRule="auto"/>
        <w:jc w:val="center"/>
        <w:rPr>
          <w:rFonts w:ascii="宋体" w:hAnsi="宋体"/>
          <w:b/>
          <w:sz w:val="120"/>
          <w:szCs w:val="120"/>
        </w:rPr>
      </w:pPr>
      <w:r>
        <w:rPr>
          <w:rFonts w:hint="eastAsia" w:ascii="宋体" w:hAnsi="宋体"/>
          <w:b/>
          <w:sz w:val="120"/>
          <w:szCs w:val="120"/>
        </w:rPr>
        <w:t>公开招标文件</w:t>
      </w:r>
    </w:p>
    <w:p w14:paraId="36558A31">
      <w:pPr>
        <w:pStyle w:val="13"/>
        <w:tabs>
          <w:tab w:val="left" w:pos="703"/>
        </w:tabs>
        <w:spacing w:line="360" w:lineRule="auto"/>
        <w:jc w:val="center"/>
        <w:rPr>
          <w:rFonts w:ascii="Calibri" w:hAnsi="Calibri"/>
          <w:b/>
          <w:sz w:val="32"/>
          <w:szCs w:val="32"/>
        </w:rPr>
      </w:pPr>
    </w:p>
    <w:p w14:paraId="0AA35824">
      <w:pPr>
        <w:pStyle w:val="13"/>
        <w:tabs>
          <w:tab w:val="left" w:pos="703"/>
        </w:tabs>
        <w:spacing w:line="360" w:lineRule="auto"/>
        <w:rPr>
          <w:rFonts w:ascii="Calibri" w:hAnsi="Calibri"/>
          <w:b/>
          <w:color w:val="FF0000"/>
          <w:sz w:val="28"/>
        </w:rPr>
      </w:pPr>
    </w:p>
    <w:p w14:paraId="3779047E">
      <w:pPr>
        <w:pStyle w:val="13"/>
        <w:tabs>
          <w:tab w:val="left" w:pos="703"/>
        </w:tabs>
        <w:spacing w:line="360" w:lineRule="auto"/>
        <w:rPr>
          <w:rFonts w:ascii="Calibri" w:hAnsi="Calibri"/>
          <w:b/>
          <w:color w:val="FF0000"/>
          <w:sz w:val="28"/>
        </w:rPr>
      </w:pPr>
    </w:p>
    <w:p w14:paraId="38AE1E14">
      <w:pPr>
        <w:pStyle w:val="13"/>
        <w:tabs>
          <w:tab w:val="left" w:pos="703"/>
        </w:tabs>
        <w:spacing w:line="360" w:lineRule="auto"/>
        <w:rPr>
          <w:rFonts w:ascii="Calibri" w:hAnsi="Calibri"/>
          <w:b/>
          <w:color w:val="FF0000"/>
          <w:sz w:val="28"/>
        </w:rPr>
      </w:pPr>
    </w:p>
    <w:p w14:paraId="0AC4C9F9">
      <w:pPr>
        <w:pStyle w:val="13"/>
        <w:tabs>
          <w:tab w:val="left" w:pos="703"/>
        </w:tabs>
        <w:spacing w:line="360" w:lineRule="auto"/>
        <w:rPr>
          <w:rFonts w:hAnsi="宋体"/>
          <w:b/>
          <w:sz w:val="28"/>
        </w:rPr>
      </w:pPr>
      <w:r>
        <w:rPr>
          <w:rFonts w:hint="eastAsia" w:hAnsi="宋体"/>
          <w:b/>
          <w:sz w:val="28"/>
        </w:rPr>
        <w:t>项目编号：WUTH2026050032（WHHZ-20265181-H265181）</w:t>
      </w:r>
    </w:p>
    <w:p w14:paraId="3A850DBB">
      <w:pPr>
        <w:pStyle w:val="13"/>
        <w:tabs>
          <w:tab w:val="left" w:pos="703"/>
        </w:tabs>
        <w:spacing w:line="360" w:lineRule="auto"/>
        <w:rPr>
          <w:rFonts w:hAnsi="宋体"/>
          <w:b/>
          <w:sz w:val="24"/>
        </w:rPr>
      </w:pPr>
      <w:r>
        <w:rPr>
          <w:rFonts w:hint="eastAsia" w:hAnsi="宋体"/>
          <w:b/>
          <w:sz w:val="28"/>
        </w:rPr>
        <w:t xml:space="preserve">项目名称：武汉理工大学法学知识产权虚拟仿真教学实训平台 </w:t>
      </w:r>
    </w:p>
    <w:p w14:paraId="1D6C8239">
      <w:pPr>
        <w:pStyle w:val="13"/>
        <w:tabs>
          <w:tab w:val="left" w:pos="703"/>
        </w:tabs>
        <w:spacing w:line="360" w:lineRule="auto"/>
        <w:rPr>
          <w:rFonts w:hAnsi="宋体"/>
          <w:b/>
          <w:sz w:val="24"/>
        </w:rPr>
      </w:pPr>
    </w:p>
    <w:p w14:paraId="66CC7C87">
      <w:pPr>
        <w:pStyle w:val="13"/>
        <w:tabs>
          <w:tab w:val="left" w:pos="703"/>
        </w:tabs>
        <w:spacing w:line="360" w:lineRule="auto"/>
        <w:rPr>
          <w:rFonts w:hAnsi="宋体"/>
          <w:b/>
          <w:sz w:val="24"/>
        </w:rPr>
      </w:pPr>
    </w:p>
    <w:p w14:paraId="4DD22D3F">
      <w:pPr>
        <w:pStyle w:val="13"/>
        <w:tabs>
          <w:tab w:val="left" w:pos="703"/>
        </w:tabs>
        <w:spacing w:line="360" w:lineRule="auto"/>
        <w:rPr>
          <w:rFonts w:hAnsi="宋体"/>
          <w:b/>
          <w:sz w:val="24"/>
        </w:rPr>
      </w:pPr>
    </w:p>
    <w:p w14:paraId="131E9A70">
      <w:pPr>
        <w:pStyle w:val="13"/>
        <w:tabs>
          <w:tab w:val="left" w:pos="703"/>
        </w:tabs>
        <w:spacing w:line="360" w:lineRule="auto"/>
        <w:rPr>
          <w:rFonts w:hAnsi="宋体"/>
          <w:b/>
          <w:sz w:val="24"/>
        </w:rPr>
      </w:pPr>
    </w:p>
    <w:p w14:paraId="18177848">
      <w:pPr>
        <w:pStyle w:val="13"/>
        <w:tabs>
          <w:tab w:val="left" w:pos="703"/>
        </w:tabs>
        <w:spacing w:line="360" w:lineRule="auto"/>
        <w:rPr>
          <w:rFonts w:hAnsi="宋体"/>
          <w:b/>
          <w:sz w:val="24"/>
        </w:rPr>
      </w:pPr>
    </w:p>
    <w:p w14:paraId="576E2178">
      <w:pPr>
        <w:pStyle w:val="13"/>
        <w:tabs>
          <w:tab w:val="left" w:pos="703"/>
        </w:tabs>
        <w:spacing w:line="360" w:lineRule="auto"/>
        <w:rPr>
          <w:rFonts w:hAnsi="宋体"/>
          <w:b/>
          <w:sz w:val="24"/>
        </w:rPr>
      </w:pPr>
    </w:p>
    <w:tbl>
      <w:tblPr>
        <w:tblStyle w:val="26"/>
        <w:tblW w:w="7540" w:type="dxa"/>
        <w:jc w:val="center"/>
        <w:tblLayout w:type="fixed"/>
        <w:tblCellMar>
          <w:top w:w="0" w:type="dxa"/>
          <w:left w:w="108" w:type="dxa"/>
          <w:bottom w:w="0" w:type="dxa"/>
          <w:right w:w="108" w:type="dxa"/>
        </w:tblCellMar>
      </w:tblPr>
      <w:tblGrid>
        <w:gridCol w:w="7540"/>
      </w:tblGrid>
      <w:tr w14:paraId="1E8F7DCC">
        <w:tblPrEx>
          <w:tblCellMar>
            <w:top w:w="0" w:type="dxa"/>
            <w:left w:w="108" w:type="dxa"/>
            <w:bottom w:w="0" w:type="dxa"/>
            <w:right w:w="108" w:type="dxa"/>
          </w:tblCellMar>
        </w:tblPrEx>
        <w:trPr>
          <w:trHeight w:val="854" w:hRule="atLeast"/>
          <w:jc w:val="center"/>
        </w:trPr>
        <w:tc>
          <w:tcPr>
            <w:tcW w:w="7540" w:type="dxa"/>
            <w:vAlign w:val="center"/>
          </w:tcPr>
          <w:p w14:paraId="3706E517">
            <w:pPr>
              <w:spacing w:before="120" w:after="120"/>
              <w:jc w:val="left"/>
              <w:rPr>
                <w:b/>
                <w:sz w:val="28"/>
                <w:szCs w:val="28"/>
                <w:lang w:val="zh-CN"/>
              </w:rPr>
            </w:pPr>
            <w:r>
              <w:rPr>
                <w:rFonts w:hint="eastAsia"/>
                <w:b/>
                <w:sz w:val="28"/>
                <w:szCs w:val="28"/>
                <w:lang w:val="zh-CN"/>
              </w:rPr>
              <w:t>采购人：武汉理工大学</w:t>
            </w:r>
          </w:p>
        </w:tc>
      </w:tr>
      <w:tr w14:paraId="186D1242">
        <w:tblPrEx>
          <w:tblCellMar>
            <w:top w:w="0" w:type="dxa"/>
            <w:left w:w="108" w:type="dxa"/>
            <w:bottom w:w="0" w:type="dxa"/>
            <w:right w:w="108" w:type="dxa"/>
          </w:tblCellMar>
        </w:tblPrEx>
        <w:trPr>
          <w:trHeight w:val="854" w:hRule="atLeast"/>
          <w:jc w:val="center"/>
        </w:trPr>
        <w:tc>
          <w:tcPr>
            <w:tcW w:w="7540" w:type="dxa"/>
            <w:vAlign w:val="center"/>
          </w:tcPr>
          <w:p w14:paraId="01D9B7CE">
            <w:pPr>
              <w:spacing w:before="120" w:after="120"/>
              <w:jc w:val="left"/>
              <w:rPr>
                <w:b/>
                <w:sz w:val="28"/>
                <w:szCs w:val="28"/>
                <w:lang w:val="zh-CN"/>
              </w:rPr>
            </w:pPr>
            <w:r>
              <w:rPr>
                <w:rFonts w:hint="eastAsia"/>
                <w:b/>
                <w:sz w:val="28"/>
                <w:szCs w:val="28"/>
                <w:lang w:val="zh-CN"/>
              </w:rPr>
              <w:t>代理机构：武汉汇哲招标代理有限公司</w:t>
            </w:r>
          </w:p>
        </w:tc>
      </w:tr>
      <w:tr w14:paraId="731F7478">
        <w:tblPrEx>
          <w:tblCellMar>
            <w:top w:w="0" w:type="dxa"/>
            <w:left w:w="108" w:type="dxa"/>
            <w:bottom w:w="0" w:type="dxa"/>
            <w:right w:w="108" w:type="dxa"/>
          </w:tblCellMar>
        </w:tblPrEx>
        <w:trPr>
          <w:trHeight w:val="854" w:hRule="atLeast"/>
          <w:jc w:val="center"/>
        </w:trPr>
        <w:tc>
          <w:tcPr>
            <w:tcW w:w="7540" w:type="dxa"/>
            <w:vAlign w:val="center"/>
          </w:tcPr>
          <w:p w14:paraId="2B623F34">
            <w:pPr>
              <w:spacing w:before="120" w:after="120"/>
              <w:jc w:val="left"/>
              <w:rPr>
                <w:b/>
                <w:sz w:val="28"/>
                <w:szCs w:val="28"/>
                <w:lang w:val="zh-CN"/>
              </w:rPr>
            </w:pPr>
            <w:r>
              <w:rPr>
                <w:rFonts w:hint="eastAsia"/>
                <w:b/>
                <w:sz w:val="28"/>
                <w:szCs w:val="28"/>
                <w:lang w:val="zh-CN"/>
              </w:rPr>
              <w:t>编制时间：</w:t>
            </w:r>
            <w:r>
              <w:rPr>
                <w:rFonts w:ascii="宋体" w:hAnsi="宋体"/>
                <w:b/>
                <w:sz w:val="28"/>
                <w:szCs w:val="28"/>
                <w:lang w:val="zh-CN"/>
              </w:rPr>
              <w:t>202</w:t>
            </w:r>
            <w:r>
              <w:rPr>
                <w:rFonts w:hint="eastAsia" w:ascii="宋体" w:hAnsi="宋体"/>
                <w:b/>
                <w:sz w:val="28"/>
                <w:szCs w:val="28"/>
              </w:rPr>
              <w:t>6</w:t>
            </w:r>
            <w:r>
              <w:rPr>
                <w:rFonts w:ascii="宋体" w:hAnsi="宋体"/>
                <w:b/>
                <w:sz w:val="28"/>
                <w:szCs w:val="28"/>
                <w:lang w:val="zh-CN"/>
              </w:rPr>
              <w:t>年</w:t>
            </w:r>
            <w:r>
              <w:rPr>
                <w:rFonts w:ascii="宋体" w:hAnsi="宋体"/>
                <w:b/>
                <w:sz w:val="28"/>
                <w:szCs w:val="28"/>
              </w:rPr>
              <w:t>6</w:t>
            </w:r>
            <w:r>
              <w:rPr>
                <w:rFonts w:hint="eastAsia"/>
                <w:b/>
                <w:sz w:val="28"/>
                <w:szCs w:val="28"/>
                <w:lang w:val="zh-CN"/>
              </w:rPr>
              <w:t>月</w:t>
            </w:r>
          </w:p>
        </w:tc>
      </w:tr>
    </w:tbl>
    <w:p w14:paraId="18C423D8">
      <w:pPr>
        <w:spacing w:before="312" w:beforeLines="100" w:line="276" w:lineRule="auto"/>
        <w:jc w:val="center"/>
        <w:rPr>
          <w:rFonts w:ascii="黑体" w:hAnsi="黑体" w:eastAsia="黑体"/>
          <w:sz w:val="30"/>
          <w:szCs w:val="30"/>
        </w:rPr>
        <w:sectPr>
          <w:type w:val="continuous"/>
          <w:pgSz w:w="11906" w:h="16838"/>
          <w:pgMar w:top="1134" w:right="1191" w:bottom="1134" w:left="1191" w:header="851" w:footer="624" w:gutter="0"/>
          <w:pgNumType w:start="0"/>
          <w:cols w:space="720" w:num="1"/>
          <w:titlePg/>
          <w:docGrid w:type="linesAndChars" w:linePitch="312" w:charSpace="0"/>
        </w:sectPr>
      </w:pPr>
    </w:p>
    <w:p w14:paraId="379FDFE0">
      <w:pPr>
        <w:widowControl/>
        <w:jc w:val="left"/>
        <w:rPr>
          <w:rFonts w:ascii="宋体" w:hAnsi="宋体"/>
          <w:sz w:val="30"/>
          <w:szCs w:val="30"/>
        </w:rPr>
      </w:pPr>
      <w:r>
        <w:rPr>
          <w:rFonts w:ascii="宋体" w:hAnsi="宋体"/>
          <w:sz w:val="30"/>
          <w:szCs w:val="30"/>
        </w:rPr>
        <w:br w:type="page"/>
      </w:r>
    </w:p>
    <w:p w14:paraId="0B5C5604">
      <w:pPr>
        <w:spacing w:before="312" w:beforeLines="100" w:line="276" w:lineRule="auto"/>
        <w:jc w:val="center"/>
        <w:rPr>
          <w:rFonts w:ascii="宋体" w:hAnsi="宋体"/>
          <w:sz w:val="30"/>
          <w:szCs w:val="30"/>
        </w:rPr>
      </w:pPr>
      <w:r>
        <w:rPr>
          <w:rFonts w:hint="eastAsia" w:ascii="宋体" w:hAnsi="宋体"/>
          <w:sz w:val="30"/>
          <w:szCs w:val="30"/>
        </w:rPr>
        <w:t>目   录</w:t>
      </w:r>
    </w:p>
    <w:p w14:paraId="705C8F6C">
      <w:pPr>
        <w:pStyle w:val="19"/>
        <w:rPr>
          <w:rFonts w:ascii="宋体" w:hAnsi="宋体" w:eastAsia="宋体"/>
          <w:b w:val="0"/>
          <w:bCs/>
          <w:iCs w:val="0"/>
          <w:color w:val="auto"/>
          <w:sz w:val="21"/>
          <w:szCs w:val="22"/>
        </w:rPr>
      </w:pPr>
      <w:r>
        <w:rPr>
          <w:rFonts w:hint="eastAsia" w:ascii="宋体" w:hAnsi="宋体" w:eastAsia="宋体"/>
          <w:b w:val="0"/>
          <w:iCs w:val="0"/>
          <w:szCs w:val="21"/>
        </w:rPr>
        <w:fldChar w:fldCharType="begin"/>
      </w:r>
      <w:r>
        <w:rPr>
          <w:rFonts w:hint="eastAsia" w:ascii="宋体" w:hAnsi="宋体" w:eastAsia="宋体"/>
          <w:b w:val="0"/>
          <w:iCs w:val="0"/>
          <w:szCs w:val="21"/>
        </w:rPr>
        <w:instrText xml:space="preserve"> TOC \o "1-2" \h \z \u </w:instrText>
      </w:r>
      <w:r>
        <w:rPr>
          <w:rFonts w:hint="eastAsia" w:ascii="宋体" w:hAnsi="宋体" w:eastAsia="宋体"/>
          <w:b w:val="0"/>
          <w:iCs w:val="0"/>
          <w:szCs w:val="21"/>
        </w:rPr>
        <w:fldChar w:fldCharType="separate"/>
      </w:r>
      <w:r>
        <w:fldChar w:fldCharType="begin"/>
      </w:r>
      <w:r>
        <w:instrText xml:space="preserve"> HYPERLINK \l "_Toc97814994" </w:instrText>
      </w:r>
      <w:r>
        <w:fldChar w:fldCharType="separate"/>
      </w:r>
      <w:r>
        <w:rPr>
          <w:rStyle w:val="33"/>
          <w:rFonts w:ascii="宋体" w:hAnsi="宋体" w:eastAsia="宋体"/>
          <w:b w:val="0"/>
          <w:bCs/>
        </w:rPr>
        <w:t>第一章 招标公告（投标邀请书）</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_Toc97814994 \h </w:instrText>
      </w:r>
      <w:r>
        <w:rPr>
          <w:rFonts w:ascii="宋体" w:hAnsi="宋体" w:eastAsia="宋体"/>
          <w:b w:val="0"/>
          <w:bCs/>
        </w:rPr>
        <w:fldChar w:fldCharType="separate"/>
      </w:r>
      <w:r>
        <w:rPr>
          <w:rFonts w:ascii="宋体" w:hAnsi="宋体" w:eastAsia="宋体"/>
          <w:b w:val="0"/>
          <w:bCs/>
        </w:rPr>
        <w:t>1</w:t>
      </w:r>
      <w:r>
        <w:rPr>
          <w:rFonts w:ascii="宋体" w:hAnsi="宋体" w:eastAsia="宋体"/>
          <w:b w:val="0"/>
          <w:bCs/>
        </w:rPr>
        <w:fldChar w:fldCharType="end"/>
      </w:r>
      <w:r>
        <w:rPr>
          <w:rFonts w:ascii="宋体" w:hAnsi="宋体" w:eastAsia="宋体"/>
          <w:b w:val="0"/>
          <w:bCs/>
        </w:rPr>
        <w:fldChar w:fldCharType="end"/>
      </w:r>
    </w:p>
    <w:p w14:paraId="29F71660">
      <w:pPr>
        <w:pStyle w:val="19"/>
        <w:spacing w:line="240" w:lineRule="auto"/>
        <w:rPr>
          <w:rFonts w:ascii="宋体" w:hAnsi="宋体" w:eastAsia="宋体"/>
          <w:b w:val="0"/>
          <w:bCs/>
          <w:iCs w:val="0"/>
          <w:color w:val="auto"/>
          <w:sz w:val="21"/>
          <w:szCs w:val="22"/>
        </w:rPr>
      </w:pPr>
      <w:r>
        <w:fldChar w:fldCharType="begin"/>
      </w:r>
      <w:r>
        <w:instrText xml:space="preserve"> HYPERLINK \l "_Toc97814995" </w:instrText>
      </w:r>
      <w:r>
        <w:fldChar w:fldCharType="separate"/>
      </w:r>
      <w:r>
        <w:rPr>
          <w:rStyle w:val="33"/>
          <w:rFonts w:ascii="宋体" w:hAnsi="宋体" w:eastAsia="宋体"/>
          <w:b w:val="0"/>
          <w:bCs/>
        </w:rPr>
        <w:t>第二章 投标人须知</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_Toc97814995 \h </w:instrText>
      </w:r>
      <w:r>
        <w:rPr>
          <w:rFonts w:ascii="宋体" w:hAnsi="宋体" w:eastAsia="宋体"/>
          <w:b w:val="0"/>
          <w:bCs/>
        </w:rPr>
        <w:fldChar w:fldCharType="separate"/>
      </w:r>
      <w:r>
        <w:rPr>
          <w:rFonts w:ascii="宋体" w:hAnsi="宋体" w:eastAsia="宋体"/>
          <w:b w:val="0"/>
          <w:bCs/>
        </w:rPr>
        <w:t>4</w:t>
      </w:r>
      <w:r>
        <w:rPr>
          <w:rFonts w:ascii="宋体" w:hAnsi="宋体" w:eastAsia="宋体"/>
          <w:b w:val="0"/>
          <w:bCs/>
        </w:rPr>
        <w:fldChar w:fldCharType="end"/>
      </w:r>
      <w:r>
        <w:rPr>
          <w:rFonts w:ascii="宋体" w:hAnsi="宋体" w:eastAsia="宋体"/>
          <w:b w:val="0"/>
          <w:bCs/>
        </w:rPr>
        <w:fldChar w:fldCharType="end"/>
      </w:r>
    </w:p>
    <w:p w14:paraId="07222956">
      <w:pPr>
        <w:pStyle w:val="21"/>
        <w:spacing w:line="240" w:lineRule="auto"/>
        <w:rPr>
          <w:bCs/>
          <w:iCs w:val="0"/>
          <w:color w:val="auto"/>
          <w:sz w:val="21"/>
        </w:rPr>
      </w:pPr>
      <w:r>
        <w:fldChar w:fldCharType="begin"/>
      </w:r>
      <w:r>
        <w:instrText xml:space="preserve"> HYPERLINK \l "_Toc97814996" </w:instrText>
      </w:r>
      <w:r>
        <w:fldChar w:fldCharType="separate"/>
      </w:r>
      <w:r>
        <w:rPr>
          <w:rStyle w:val="33"/>
          <w:bCs/>
          <w:lang w:val="zh-CN"/>
        </w:rPr>
        <w:t>投标人须知前附表</w:t>
      </w:r>
      <w:r>
        <w:rPr>
          <w:bCs/>
        </w:rPr>
        <w:tab/>
      </w:r>
      <w:r>
        <w:rPr>
          <w:bCs/>
        </w:rPr>
        <w:fldChar w:fldCharType="begin"/>
      </w:r>
      <w:r>
        <w:rPr>
          <w:bCs/>
        </w:rPr>
        <w:instrText xml:space="preserve"> PAGEREF _Toc97814996 \h </w:instrText>
      </w:r>
      <w:r>
        <w:rPr>
          <w:bCs/>
        </w:rPr>
        <w:fldChar w:fldCharType="separate"/>
      </w:r>
      <w:r>
        <w:rPr>
          <w:bCs/>
        </w:rPr>
        <w:t>4</w:t>
      </w:r>
      <w:r>
        <w:rPr>
          <w:bCs/>
        </w:rPr>
        <w:fldChar w:fldCharType="end"/>
      </w:r>
      <w:r>
        <w:rPr>
          <w:bCs/>
        </w:rPr>
        <w:fldChar w:fldCharType="end"/>
      </w:r>
    </w:p>
    <w:p w14:paraId="44986E28">
      <w:pPr>
        <w:pStyle w:val="21"/>
        <w:spacing w:line="240" w:lineRule="auto"/>
        <w:rPr>
          <w:bCs/>
          <w:iCs w:val="0"/>
          <w:color w:val="auto"/>
          <w:sz w:val="21"/>
        </w:rPr>
      </w:pPr>
      <w:r>
        <w:fldChar w:fldCharType="begin"/>
      </w:r>
      <w:r>
        <w:instrText xml:space="preserve"> HYPERLINK \l "_Toc97814997" </w:instrText>
      </w:r>
      <w:r>
        <w:fldChar w:fldCharType="separate"/>
      </w:r>
      <w:r>
        <w:rPr>
          <w:rStyle w:val="33"/>
          <w:bCs/>
          <w:lang w:val="zh-CN"/>
        </w:rPr>
        <w:t>投标人须知</w:t>
      </w:r>
      <w:r>
        <w:rPr>
          <w:bCs/>
        </w:rPr>
        <w:tab/>
      </w:r>
      <w:r>
        <w:rPr>
          <w:bCs/>
        </w:rPr>
        <w:fldChar w:fldCharType="begin"/>
      </w:r>
      <w:r>
        <w:rPr>
          <w:bCs/>
        </w:rPr>
        <w:instrText xml:space="preserve"> PAGEREF _Toc97814997 \h </w:instrText>
      </w:r>
      <w:r>
        <w:rPr>
          <w:bCs/>
        </w:rPr>
        <w:fldChar w:fldCharType="separate"/>
      </w:r>
      <w:r>
        <w:rPr>
          <w:bCs/>
        </w:rPr>
        <w:t>7</w:t>
      </w:r>
      <w:r>
        <w:rPr>
          <w:bCs/>
        </w:rPr>
        <w:fldChar w:fldCharType="end"/>
      </w:r>
      <w:r>
        <w:rPr>
          <w:bCs/>
        </w:rPr>
        <w:fldChar w:fldCharType="end"/>
      </w:r>
    </w:p>
    <w:p w14:paraId="26C6CAED">
      <w:pPr>
        <w:pStyle w:val="21"/>
        <w:spacing w:line="240" w:lineRule="auto"/>
        <w:rPr>
          <w:bCs/>
          <w:iCs w:val="0"/>
          <w:color w:val="auto"/>
          <w:sz w:val="21"/>
        </w:rPr>
      </w:pPr>
      <w:r>
        <w:fldChar w:fldCharType="begin"/>
      </w:r>
      <w:r>
        <w:instrText xml:space="preserve"> HYPERLINK \l "_Toc97814998" </w:instrText>
      </w:r>
      <w:r>
        <w:fldChar w:fldCharType="separate"/>
      </w:r>
      <w:r>
        <w:rPr>
          <w:rStyle w:val="33"/>
          <w:bCs/>
          <w:kern w:val="0"/>
          <w:lang w:val="zh-CN"/>
        </w:rPr>
        <w:t>一、</w:t>
      </w:r>
      <w:r>
        <w:rPr>
          <w:bCs/>
          <w:iCs w:val="0"/>
          <w:color w:val="auto"/>
          <w:sz w:val="21"/>
        </w:rPr>
        <w:tab/>
      </w:r>
      <w:r>
        <w:rPr>
          <w:rStyle w:val="33"/>
          <w:bCs/>
          <w:kern w:val="0"/>
          <w:lang w:val="zh-CN"/>
        </w:rPr>
        <w:t>说明</w:t>
      </w:r>
      <w:r>
        <w:rPr>
          <w:bCs/>
        </w:rPr>
        <w:tab/>
      </w:r>
      <w:r>
        <w:rPr>
          <w:bCs/>
        </w:rPr>
        <w:fldChar w:fldCharType="begin"/>
      </w:r>
      <w:r>
        <w:rPr>
          <w:bCs/>
        </w:rPr>
        <w:instrText xml:space="preserve"> PAGEREF _Toc97814998 \h </w:instrText>
      </w:r>
      <w:r>
        <w:rPr>
          <w:bCs/>
        </w:rPr>
        <w:fldChar w:fldCharType="separate"/>
      </w:r>
      <w:r>
        <w:rPr>
          <w:bCs/>
        </w:rPr>
        <w:t>7</w:t>
      </w:r>
      <w:r>
        <w:rPr>
          <w:bCs/>
        </w:rPr>
        <w:fldChar w:fldCharType="end"/>
      </w:r>
      <w:r>
        <w:rPr>
          <w:bCs/>
        </w:rPr>
        <w:fldChar w:fldCharType="end"/>
      </w:r>
    </w:p>
    <w:p w14:paraId="3363AA22">
      <w:pPr>
        <w:pStyle w:val="21"/>
        <w:spacing w:line="240" w:lineRule="auto"/>
        <w:rPr>
          <w:bCs/>
          <w:iCs w:val="0"/>
          <w:color w:val="auto"/>
          <w:sz w:val="21"/>
        </w:rPr>
      </w:pPr>
      <w:r>
        <w:fldChar w:fldCharType="begin"/>
      </w:r>
      <w:r>
        <w:instrText xml:space="preserve"> HYPERLINK \l "_Toc97814999" </w:instrText>
      </w:r>
      <w:r>
        <w:fldChar w:fldCharType="separate"/>
      </w:r>
      <w:r>
        <w:rPr>
          <w:rStyle w:val="33"/>
          <w:bCs/>
          <w:kern w:val="0"/>
          <w:lang w:val="zh-CN"/>
        </w:rPr>
        <w:t>二、</w:t>
      </w:r>
      <w:r>
        <w:rPr>
          <w:bCs/>
          <w:iCs w:val="0"/>
          <w:color w:val="auto"/>
          <w:sz w:val="21"/>
        </w:rPr>
        <w:tab/>
      </w:r>
      <w:r>
        <w:rPr>
          <w:rStyle w:val="33"/>
          <w:bCs/>
          <w:kern w:val="0"/>
          <w:lang w:val="zh-CN"/>
        </w:rPr>
        <w:t>招标文件</w:t>
      </w:r>
      <w:r>
        <w:rPr>
          <w:bCs/>
        </w:rPr>
        <w:tab/>
      </w:r>
      <w:r>
        <w:rPr>
          <w:bCs/>
        </w:rPr>
        <w:fldChar w:fldCharType="begin"/>
      </w:r>
      <w:r>
        <w:rPr>
          <w:bCs/>
        </w:rPr>
        <w:instrText xml:space="preserve"> PAGEREF _Toc97814999 \h </w:instrText>
      </w:r>
      <w:r>
        <w:rPr>
          <w:bCs/>
        </w:rPr>
        <w:fldChar w:fldCharType="separate"/>
      </w:r>
      <w:r>
        <w:rPr>
          <w:bCs/>
        </w:rPr>
        <w:t>8</w:t>
      </w:r>
      <w:r>
        <w:rPr>
          <w:bCs/>
        </w:rPr>
        <w:fldChar w:fldCharType="end"/>
      </w:r>
      <w:r>
        <w:rPr>
          <w:bCs/>
        </w:rPr>
        <w:fldChar w:fldCharType="end"/>
      </w:r>
    </w:p>
    <w:p w14:paraId="1182B17F">
      <w:pPr>
        <w:pStyle w:val="21"/>
        <w:spacing w:line="240" w:lineRule="auto"/>
        <w:rPr>
          <w:bCs/>
          <w:iCs w:val="0"/>
          <w:color w:val="auto"/>
          <w:sz w:val="21"/>
        </w:rPr>
      </w:pPr>
      <w:r>
        <w:fldChar w:fldCharType="begin"/>
      </w:r>
      <w:r>
        <w:instrText xml:space="preserve"> HYPERLINK \l "_Toc97815000" </w:instrText>
      </w:r>
      <w:r>
        <w:fldChar w:fldCharType="separate"/>
      </w:r>
      <w:r>
        <w:rPr>
          <w:rStyle w:val="33"/>
          <w:bCs/>
          <w:kern w:val="0"/>
          <w:lang w:val="zh-CN"/>
        </w:rPr>
        <w:t>三、</w:t>
      </w:r>
      <w:r>
        <w:rPr>
          <w:bCs/>
          <w:iCs w:val="0"/>
          <w:color w:val="auto"/>
          <w:sz w:val="21"/>
        </w:rPr>
        <w:tab/>
      </w:r>
      <w:r>
        <w:rPr>
          <w:rStyle w:val="33"/>
          <w:bCs/>
          <w:kern w:val="0"/>
          <w:lang w:val="zh-CN"/>
        </w:rPr>
        <w:t>投标文件</w:t>
      </w:r>
      <w:r>
        <w:rPr>
          <w:bCs/>
        </w:rPr>
        <w:tab/>
      </w:r>
      <w:r>
        <w:rPr>
          <w:bCs/>
        </w:rPr>
        <w:fldChar w:fldCharType="begin"/>
      </w:r>
      <w:r>
        <w:rPr>
          <w:bCs/>
        </w:rPr>
        <w:instrText xml:space="preserve"> PAGEREF _Toc97815000 \h </w:instrText>
      </w:r>
      <w:r>
        <w:rPr>
          <w:bCs/>
        </w:rPr>
        <w:fldChar w:fldCharType="separate"/>
      </w:r>
      <w:r>
        <w:rPr>
          <w:bCs/>
        </w:rPr>
        <w:t>9</w:t>
      </w:r>
      <w:r>
        <w:rPr>
          <w:bCs/>
        </w:rPr>
        <w:fldChar w:fldCharType="end"/>
      </w:r>
      <w:r>
        <w:rPr>
          <w:bCs/>
        </w:rPr>
        <w:fldChar w:fldCharType="end"/>
      </w:r>
    </w:p>
    <w:p w14:paraId="5DE01220">
      <w:pPr>
        <w:pStyle w:val="21"/>
        <w:spacing w:line="240" w:lineRule="auto"/>
        <w:rPr>
          <w:bCs/>
          <w:iCs w:val="0"/>
          <w:color w:val="auto"/>
          <w:sz w:val="21"/>
        </w:rPr>
      </w:pPr>
      <w:r>
        <w:fldChar w:fldCharType="begin"/>
      </w:r>
      <w:r>
        <w:instrText xml:space="preserve"> HYPERLINK \l "_Toc97815001" </w:instrText>
      </w:r>
      <w:r>
        <w:fldChar w:fldCharType="separate"/>
      </w:r>
      <w:r>
        <w:rPr>
          <w:rStyle w:val="33"/>
          <w:bCs/>
          <w:kern w:val="0"/>
          <w:lang w:val="zh-CN"/>
        </w:rPr>
        <w:t>四、</w:t>
      </w:r>
      <w:r>
        <w:rPr>
          <w:bCs/>
          <w:iCs w:val="0"/>
          <w:color w:val="auto"/>
          <w:sz w:val="21"/>
        </w:rPr>
        <w:tab/>
      </w:r>
      <w:r>
        <w:rPr>
          <w:rStyle w:val="33"/>
          <w:bCs/>
          <w:kern w:val="0"/>
          <w:lang w:val="zh-CN"/>
        </w:rPr>
        <w:t>开标与评标</w:t>
      </w:r>
      <w:r>
        <w:rPr>
          <w:bCs/>
        </w:rPr>
        <w:tab/>
      </w:r>
      <w:r>
        <w:rPr>
          <w:bCs/>
        </w:rPr>
        <w:fldChar w:fldCharType="begin"/>
      </w:r>
      <w:r>
        <w:rPr>
          <w:bCs/>
        </w:rPr>
        <w:instrText xml:space="preserve"> PAGEREF _Toc97815001 \h </w:instrText>
      </w:r>
      <w:r>
        <w:rPr>
          <w:bCs/>
        </w:rPr>
        <w:fldChar w:fldCharType="separate"/>
      </w:r>
      <w:r>
        <w:rPr>
          <w:bCs/>
        </w:rPr>
        <w:t>12</w:t>
      </w:r>
      <w:r>
        <w:rPr>
          <w:bCs/>
        </w:rPr>
        <w:fldChar w:fldCharType="end"/>
      </w:r>
      <w:r>
        <w:rPr>
          <w:bCs/>
        </w:rPr>
        <w:fldChar w:fldCharType="end"/>
      </w:r>
    </w:p>
    <w:p w14:paraId="78245048">
      <w:pPr>
        <w:pStyle w:val="21"/>
        <w:spacing w:line="240" w:lineRule="auto"/>
        <w:rPr>
          <w:bCs/>
          <w:iCs w:val="0"/>
          <w:color w:val="auto"/>
          <w:sz w:val="21"/>
        </w:rPr>
      </w:pPr>
      <w:r>
        <w:fldChar w:fldCharType="begin"/>
      </w:r>
      <w:r>
        <w:instrText xml:space="preserve"> HYPERLINK \l "_Toc97815002" </w:instrText>
      </w:r>
      <w:r>
        <w:fldChar w:fldCharType="separate"/>
      </w:r>
      <w:r>
        <w:rPr>
          <w:rStyle w:val="33"/>
          <w:bCs/>
          <w:kern w:val="0"/>
          <w:lang w:val="zh-CN"/>
        </w:rPr>
        <w:t>五、</w:t>
      </w:r>
      <w:r>
        <w:rPr>
          <w:bCs/>
          <w:iCs w:val="0"/>
          <w:color w:val="auto"/>
          <w:sz w:val="21"/>
        </w:rPr>
        <w:tab/>
      </w:r>
      <w:r>
        <w:rPr>
          <w:rStyle w:val="33"/>
          <w:bCs/>
          <w:kern w:val="0"/>
          <w:lang w:val="zh-CN"/>
        </w:rPr>
        <w:t>投标人信用信息及查询</w:t>
      </w:r>
      <w:r>
        <w:rPr>
          <w:bCs/>
        </w:rPr>
        <w:tab/>
      </w:r>
      <w:r>
        <w:rPr>
          <w:bCs/>
        </w:rPr>
        <w:fldChar w:fldCharType="begin"/>
      </w:r>
      <w:r>
        <w:rPr>
          <w:bCs/>
        </w:rPr>
        <w:instrText xml:space="preserve"> PAGEREF _Toc97815002 \h </w:instrText>
      </w:r>
      <w:r>
        <w:rPr>
          <w:bCs/>
        </w:rPr>
        <w:fldChar w:fldCharType="separate"/>
      </w:r>
      <w:r>
        <w:rPr>
          <w:bCs/>
        </w:rPr>
        <w:t>13</w:t>
      </w:r>
      <w:r>
        <w:rPr>
          <w:bCs/>
        </w:rPr>
        <w:fldChar w:fldCharType="end"/>
      </w:r>
      <w:r>
        <w:rPr>
          <w:bCs/>
        </w:rPr>
        <w:fldChar w:fldCharType="end"/>
      </w:r>
    </w:p>
    <w:p w14:paraId="2428C142">
      <w:pPr>
        <w:pStyle w:val="21"/>
        <w:spacing w:line="240" w:lineRule="auto"/>
        <w:rPr>
          <w:bCs/>
          <w:iCs w:val="0"/>
          <w:color w:val="auto"/>
          <w:sz w:val="21"/>
        </w:rPr>
      </w:pPr>
      <w:r>
        <w:fldChar w:fldCharType="begin"/>
      </w:r>
      <w:r>
        <w:instrText xml:space="preserve"> HYPERLINK \l "_Toc97815003" </w:instrText>
      </w:r>
      <w:r>
        <w:fldChar w:fldCharType="separate"/>
      </w:r>
      <w:r>
        <w:rPr>
          <w:rStyle w:val="33"/>
          <w:bCs/>
          <w:kern w:val="0"/>
          <w:lang w:val="zh-CN"/>
        </w:rPr>
        <w:t>六、</w:t>
      </w:r>
      <w:r>
        <w:rPr>
          <w:bCs/>
          <w:iCs w:val="0"/>
          <w:color w:val="auto"/>
          <w:sz w:val="21"/>
        </w:rPr>
        <w:tab/>
      </w:r>
      <w:r>
        <w:rPr>
          <w:rStyle w:val="33"/>
          <w:bCs/>
          <w:kern w:val="0"/>
          <w:lang w:val="zh-CN"/>
        </w:rPr>
        <w:t>中标与合同</w:t>
      </w:r>
      <w:r>
        <w:rPr>
          <w:bCs/>
        </w:rPr>
        <w:tab/>
      </w:r>
      <w:r>
        <w:rPr>
          <w:bCs/>
        </w:rPr>
        <w:fldChar w:fldCharType="begin"/>
      </w:r>
      <w:r>
        <w:rPr>
          <w:bCs/>
        </w:rPr>
        <w:instrText xml:space="preserve"> PAGEREF _Toc97815003 \h </w:instrText>
      </w:r>
      <w:r>
        <w:rPr>
          <w:bCs/>
        </w:rPr>
        <w:fldChar w:fldCharType="separate"/>
      </w:r>
      <w:r>
        <w:rPr>
          <w:bCs/>
        </w:rPr>
        <w:t>13</w:t>
      </w:r>
      <w:r>
        <w:rPr>
          <w:bCs/>
        </w:rPr>
        <w:fldChar w:fldCharType="end"/>
      </w:r>
      <w:r>
        <w:rPr>
          <w:bCs/>
        </w:rPr>
        <w:fldChar w:fldCharType="end"/>
      </w:r>
    </w:p>
    <w:p w14:paraId="4A8AD86B">
      <w:pPr>
        <w:pStyle w:val="21"/>
        <w:spacing w:line="240" w:lineRule="auto"/>
        <w:rPr>
          <w:bCs/>
          <w:iCs w:val="0"/>
          <w:color w:val="auto"/>
          <w:sz w:val="21"/>
        </w:rPr>
      </w:pPr>
      <w:r>
        <w:fldChar w:fldCharType="begin"/>
      </w:r>
      <w:r>
        <w:instrText xml:space="preserve"> HYPERLINK \l "_Toc97815004" </w:instrText>
      </w:r>
      <w:r>
        <w:fldChar w:fldCharType="separate"/>
      </w:r>
      <w:r>
        <w:rPr>
          <w:rStyle w:val="33"/>
          <w:bCs/>
          <w:kern w:val="0"/>
          <w:lang w:val="zh-CN"/>
        </w:rPr>
        <w:t>七、</w:t>
      </w:r>
      <w:r>
        <w:rPr>
          <w:bCs/>
          <w:iCs w:val="0"/>
          <w:color w:val="auto"/>
          <w:sz w:val="21"/>
        </w:rPr>
        <w:tab/>
      </w:r>
      <w:r>
        <w:rPr>
          <w:rStyle w:val="33"/>
          <w:bCs/>
          <w:kern w:val="0"/>
          <w:lang w:val="zh-CN"/>
        </w:rPr>
        <w:t>采购信息公告</w:t>
      </w:r>
      <w:r>
        <w:rPr>
          <w:bCs/>
        </w:rPr>
        <w:tab/>
      </w:r>
      <w:r>
        <w:rPr>
          <w:bCs/>
        </w:rPr>
        <w:fldChar w:fldCharType="begin"/>
      </w:r>
      <w:r>
        <w:rPr>
          <w:bCs/>
        </w:rPr>
        <w:instrText xml:space="preserve"> PAGEREF _Toc97815004 \h </w:instrText>
      </w:r>
      <w:r>
        <w:rPr>
          <w:bCs/>
        </w:rPr>
        <w:fldChar w:fldCharType="separate"/>
      </w:r>
      <w:r>
        <w:rPr>
          <w:bCs/>
        </w:rPr>
        <w:t>14</w:t>
      </w:r>
      <w:r>
        <w:rPr>
          <w:bCs/>
        </w:rPr>
        <w:fldChar w:fldCharType="end"/>
      </w:r>
      <w:r>
        <w:rPr>
          <w:bCs/>
        </w:rPr>
        <w:fldChar w:fldCharType="end"/>
      </w:r>
    </w:p>
    <w:p w14:paraId="4B9D59BC">
      <w:pPr>
        <w:pStyle w:val="21"/>
        <w:spacing w:line="240" w:lineRule="auto"/>
        <w:rPr>
          <w:bCs/>
          <w:iCs w:val="0"/>
          <w:color w:val="auto"/>
          <w:sz w:val="21"/>
        </w:rPr>
      </w:pPr>
      <w:r>
        <w:fldChar w:fldCharType="begin"/>
      </w:r>
      <w:r>
        <w:instrText xml:space="preserve"> HYPERLINK \l "_Toc97815005" </w:instrText>
      </w:r>
      <w:r>
        <w:fldChar w:fldCharType="separate"/>
      </w:r>
      <w:r>
        <w:rPr>
          <w:rStyle w:val="33"/>
          <w:bCs/>
          <w:kern w:val="0"/>
          <w:lang w:val="zh-CN"/>
        </w:rPr>
        <w:t>八、</w:t>
      </w:r>
      <w:r>
        <w:rPr>
          <w:bCs/>
          <w:iCs w:val="0"/>
          <w:color w:val="auto"/>
          <w:sz w:val="21"/>
        </w:rPr>
        <w:tab/>
      </w:r>
      <w:r>
        <w:rPr>
          <w:rStyle w:val="33"/>
          <w:bCs/>
          <w:kern w:val="0"/>
          <w:lang w:val="zh-CN"/>
        </w:rPr>
        <w:t>质疑及提交</w:t>
      </w:r>
      <w:r>
        <w:rPr>
          <w:bCs/>
        </w:rPr>
        <w:tab/>
      </w:r>
      <w:r>
        <w:rPr>
          <w:bCs/>
        </w:rPr>
        <w:fldChar w:fldCharType="begin"/>
      </w:r>
      <w:r>
        <w:rPr>
          <w:bCs/>
        </w:rPr>
        <w:instrText xml:space="preserve"> PAGEREF _Toc97815005 \h </w:instrText>
      </w:r>
      <w:r>
        <w:rPr>
          <w:bCs/>
        </w:rPr>
        <w:fldChar w:fldCharType="separate"/>
      </w:r>
      <w:r>
        <w:rPr>
          <w:bCs/>
        </w:rPr>
        <w:t>15</w:t>
      </w:r>
      <w:r>
        <w:rPr>
          <w:bCs/>
        </w:rPr>
        <w:fldChar w:fldCharType="end"/>
      </w:r>
      <w:r>
        <w:rPr>
          <w:bCs/>
        </w:rPr>
        <w:fldChar w:fldCharType="end"/>
      </w:r>
    </w:p>
    <w:p w14:paraId="6E886B78">
      <w:pPr>
        <w:pStyle w:val="21"/>
        <w:spacing w:line="240" w:lineRule="auto"/>
        <w:rPr>
          <w:bCs/>
          <w:iCs w:val="0"/>
          <w:color w:val="auto"/>
          <w:sz w:val="21"/>
        </w:rPr>
      </w:pPr>
      <w:r>
        <w:fldChar w:fldCharType="begin"/>
      </w:r>
      <w:r>
        <w:instrText xml:space="preserve"> HYPERLINK \l "_Toc97815006" </w:instrText>
      </w:r>
      <w:r>
        <w:fldChar w:fldCharType="separate"/>
      </w:r>
      <w:r>
        <w:rPr>
          <w:rStyle w:val="33"/>
          <w:bCs/>
          <w:kern w:val="0"/>
          <w:lang w:val="zh-CN"/>
        </w:rPr>
        <w:t>九、</w:t>
      </w:r>
      <w:r>
        <w:rPr>
          <w:bCs/>
          <w:iCs w:val="0"/>
          <w:color w:val="auto"/>
          <w:sz w:val="21"/>
        </w:rPr>
        <w:tab/>
      </w:r>
      <w:r>
        <w:rPr>
          <w:rStyle w:val="33"/>
          <w:bCs/>
          <w:kern w:val="0"/>
          <w:lang w:val="zh-CN"/>
        </w:rPr>
        <w:t>保密</w:t>
      </w:r>
      <w:r>
        <w:rPr>
          <w:bCs/>
        </w:rPr>
        <w:tab/>
      </w:r>
      <w:r>
        <w:rPr>
          <w:bCs/>
        </w:rPr>
        <w:fldChar w:fldCharType="begin"/>
      </w:r>
      <w:r>
        <w:rPr>
          <w:bCs/>
        </w:rPr>
        <w:instrText xml:space="preserve"> PAGEREF _Toc97815006 \h </w:instrText>
      </w:r>
      <w:r>
        <w:rPr>
          <w:bCs/>
        </w:rPr>
        <w:fldChar w:fldCharType="separate"/>
      </w:r>
      <w:r>
        <w:rPr>
          <w:bCs/>
        </w:rPr>
        <w:t>15</w:t>
      </w:r>
      <w:r>
        <w:rPr>
          <w:bCs/>
        </w:rPr>
        <w:fldChar w:fldCharType="end"/>
      </w:r>
      <w:r>
        <w:rPr>
          <w:bCs/>
        </w:rPr>
        <w:fldChar w:fldCharType="end"/>
      </w:r>
    </w:p>
    <w:p w14:paraId="028FC333">
      <w:pPr>
        <w:pStyle w:val="21"/>
        <w:spacing w:line="240" w:lineRule="auto"/>
        <w:rPr>
          <w:bCs/>
          <w:iCs w:val="0"/>
          <w:color w:val="auto"/>
          <w:sz w:val="21"/>
        </w:rPr>
      </w:pPr>
      <w:r>
        <w:fldChar w:fldCharType="begin"/>
      </w:r>
      <w:r>
        <w:instrText xml:space="preserve"> HYPERLINK \l "_Toc97815007" </w:instrText>
      </w:r>
      <w:r>
        <w:fldChar w:fldCharType="separate"/>
      </w:r>
      <w:r>
        <w:rPr>
          <w:rStyle w:val="33"/>
          <w:bCs/>
          <w:kern w:val="0"/>
          <w:lang w:val="zh-CN"/>
        </w:rPr>
        <w:t>十、</w:t>
      </w:r>
      <w:r>
        <w:rPr>
          <w:bCs/>
          <w:iCs w:val="0"/>
          <w:color w:val="auto"/>
          <w:sz w:val="21"/>
        </w:rPr>
        <w:tab/>
      </w:r>
      <w:r>
        <w:rPr>
          <w:rStyle w:val="33"/>
          <w:bCs/>
          <w:kern w:val="0"/>
          <w:lang w:val="zh-CN"/>
        </w:rPr>
        <w:t>相关条文解读</w:t>
      </w:r>
      <w:r>
        <w:rPr>
          <w:bCs/>
        </w:rPr>
        <w:tab/>
      </w:r>
      <w:r>
        <w:rPr>
          <w:bCs/>
        </w:rPr>
        <w:fldChar w:fldCharType="begin"/>
      </w:r>
      <w:r>
        <w:rPr>
          <w:bCs/>
        </w:rPr>
        <w:instrText xml:space="preserve"> PAGEREF _Toc97815007 \h </w:instrText>
      </w:r>
      <w:r>
        <w:rPr>
          <w:bCs/>
        </w:rPr>
        <w:fldChar w:fldCharType="separate"/>
      </w:r>
      <w:r>
        <w:rPr>
          <w:bCs/>
        </w:rPr>
        <w:t>15</w:t>
      </w:r>
      <w:r>
        <w:rPr>
          <w:bCs/>
        </w:rPr>
        <w:fldChar w:fldCharType="end"/>
      </w:r>
      <w:r>
        <w:rPr>
          <w:bCs/>
        </w:rPr>
        <w:fldChar w:fldCharType="end"/>
      </w:r>
    </w:p>
    <w:p w14:paraId="60401E84">
      <w:pPr>
        <w:pStyle w:val="21"/>
        <w:spacing w:line="240" w:lineRule="auto"/>
        <w:rPr>
          <w:bCs/>
          <w:iCs w:val="0"/>
          <w:color w:val="auto"/>
          <w:sz w:val="21"/>
        </w:rPr>
      </w:pPr>
      <w:r>
        <w:fldChar w:fldCharType="begin"/>
      </w:r>
      <w:r>
        <w:instrText xml:space="preserve"> HYPERLINK \l "_Toc97815008" </w:instrText>
      </w:r>
      <w:r>
        <w:fldChar w:fldCharType="separate"/>
      </w:r>
      <w:r>
        <w:rPr>
          <w:rStyle w:val="33"/>
          <w:bCs/>
          <w:kern w:val="0"/>
          <w:lang w:val="zh-CN"/>
        </w:rPr>
        <w:t>十一、</w:t>
      </w:r>
      <w:r>
        <w:rPr>
          <w:bCs/>
          <w:iCs w:val="0"/>
          <w:color w:val="auto"/>
          <w:sz w:val="21"/>
        </w:rPr>
        <w:tab/>
      </w:r>
      <w:r>
        <w:rPr>
          <w:rStyle w:val="33"/>
          <w:bCs/>
          <w:kern w:val="0"/>
          <w:lang w:val="zh-CN"/>
        </w:rPr>
        <w:t>适用法律、法规、规章及规范性文件</w:t>
      </w:r>
      <w:r>
        <w:rPr>
          <w:bCs/>
        </w:rPr>
        <w:tab/>
      </w:r>
      <w:r>
        <w:rPr>
          <w:bCs/>
        </w:rPr>
        <w:fldChar w:fldCharType="begin"/>
      </w:r>
      <w:r>
        <w:rPr>
          <w:bCs/>
        </w:rPr>
        <w:instrText xml:space="preserve"> PAGEREF _Toc97815008 \h </w:instrText>
      </w:r>
      <w:r>
        <w:rPr>
          <w:bCs/>
        </w:rPr>
        <w:fldChar w:fldCharType="separate"/>
      </w:r>
      <w:r>
        <w:rPr>
          <w:bCs/>
        </w:rPr>
        <w:t>15</w:t>
      </w:r>
      <w:r>
        <w:rPr>
          <w:bCs/>
        </w:rPr>
        <w:fldChar w:fldCharType="end"/>
      </w:r>
      <w:r>
        <w:rPr>
          <w:bCs/>
        </w:rPr>
        <w:fldChar w:fldCharType="end"/>
      </w:r>
    </w:p>
    <w:p w14:paraId="16DFA77E">
      <w:pPr>
        <w:pStyle w:val="21"/>
        <w:spacing w:line="240" w:lineRule="auto"/>
        <w:rPr>
          <w:bCs/>
          <w:iCs w:val="0"/>
          <w:color w:val="auto"/>
          <w:sz w:val="21"/>
        </w:rPr>
      </w:pPr>
      <w:r>
        <w:fldChar w:fldCharType="begin"/>
      </w:r>
      <w:r>
        <w:instrText xml:space="preserve"> HYPERLINK \l "_Toc97815009" </w:instrText>
      </w:r>
      <w:r>
        <w:fldChar w:fldCharType="separate"/>
      </w:r>
      <w:r>
        <w:rPr>
          <w:rStyle w:val="33"/>
          <w:bCs/>
          <w:kern w:val="0"/>
          <w:lang w:val="zh-CN"/>
        </w:rPr>
        <w:t>十二、</w:t>
      </w:r>
      <w:r>
        <w:rPr>
          <w:bCs/>
          <w:iCs w:val="0"/>
          <w:color w:val="auto"/>
          <w:sz w:val="21"/>
        </w:rPr>
        <w:tab/>
      </w:r>
      <w:r>
        <w:rPr>
          <w:rStyle w:val="33"/>
          <w:bCs/>
          <w:kern w:val="0"/>
          <w:lang w:val="zh-CN"/>
        </w:rPr>
        <w:t>招标文件的解释权</w:t>
      </w:r>
      <w:r>
        <w:rPr>
          <w:bCs/>
        </w:rPr>
        <w:tab/>
      </w:r>
      <w:r>
        <w:rPr>
          <w:bCs/>
        </w:rPr>
        <w:fldChar w:fldCharType="begin"/>
      </w:r>
      <w:r>
        <w:rPr>
          <w:bCs/>
        </w:rPr>
        <w:instrText xml:space="preserve"> PAGEREF _Toc97815009 \h </w:instrText>
      </w:r>
      <w:r>
        <w:rPr>
          <w:bCs/>
        </w:rPr>
        <w:fldChar w:fldCharType="separate"/>
      </w:r>
      <w:r>
        <w:rPr>
          <w:bCs/>
        </w:rPr>
        <w:t>16</w:t>
      </w:r>
      <w:r>
        <w:rPr>
          <w:bCs/>
        </w:rPr>
        <w:fldChar w:fldCharType="end"/>
      </w:r>
      <w:r>
        <w:rPr>
          <w:bCs/>
        </w:rPr>
        <w:fldChar w:fldCharType="end"/>
      </w:r>
    </w:p>
    <w:p w14:paraId="1D2948B8">
      <w:pPr>
        <w:pStyle w:val="19"/>
        <w:spacing w:line="240" w:lineRule="auto"/>
        <w:rPr>
          <w:rFonts w:ascii="宋体" w:hAnsi="宋体" w:eastAsia="宋体"/>
          <w:b w:val="0"/>
          <w:bCs/>
          <w:iCs w:val="0"/>
          <w:color w:val="auto"/>
          <w:sz w:val="21"/>
          <w:szCs w:val="22"/>
        </w:rPr>
      </w:pPr>
      <w:r>
        <w:fldChar w:fldCharType="begin"/>
      </w:r>
      <w:r>
        <w:instrText xml:space="preserve"> HYPERLINK \l "_Toc97815010" </w:instrText>
      </w:r>
      <w:r>
        <w:fldChar w:fldCharType="separate"/>
      </w:r>
      <w:r>
        <w:rPr>
          <w:rStyle w:val="33"/>
          <w:rFonts w:ascii="宋体" w:hAnsi="宋体" w:eastAsia="宋体"/>
          <w:b w:val="0"/>
          <w:bCs/>
        </w:rPr>
        <w:t>第三章 技术、服务及商务要求</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_Toc97815010 \h </w:instrText>
      </w:r>
      <w:r>
        <w:rPr>
          <w:rFonts w:ascii="宋体" w:hAnsi="宋体" w:eastAsia="宋体"/>
          <w:b w:val="0"/>
          <w:bCs/>
        </w:rPr>
        <w:fldChar w:fldCharType="separate"/>
      </w:r>
      <w:r>
        <w:rPr>
          <w:rFonts w:ascii="宋体" w:hAnsi="宋体" w:eastAsia="宋体"/>
          <w:b w:val="0"/>
          <w:bCs/>
        </w:rPr>
        <w:t>17</w:t>
      </w:r>
      <w:r>
        <w:rPr>
          <w:rFonts w:ascii="宋体" w:hAnsi="宋体" w:eastAsia="宋体"/>
          <w:b w:val="0"/>
          <w:bCs/>
        </w:rPr>
        <w:fldChar w:fldCharType="end"/>
      </w:r>
      <w:r>
        <w:rPr>
          <w:rFonts w:ascii="宋体" w:hAnsi="宋体" w:eastAsia="宋体"/>
          <w:b w:val="0"/>
          <w:bCs/>
        </w:rPr>
        <w:fldChar w:fldCharType="end"/>
      </w:r>
    </w:p>
    <w:p w14:paraId="53D77A4F">
      <w:pPr>
        <w:pStyle w:val="21"/>
        <w:spacing w:line="240" w:lineRule="auto"/>
        <w:rPr>
          <w:bCs/>
          <w:iCs w:val="0"/>
          <w:color w:val="auto"/>
          <w:sz w:val="21"/>
        </w:rPr>
      </w:pPr>
      <w:r>
        <w:fldChar w:fldCharType="begin"/>
      </w:r>
      <w:r>
        <w:instrText xml:space="preserve"> HYPERLINK \l "_Toc97815011" </w:instrText>
      </w:r>
      <w:r>
        <w:fldChar w:fldCharType="separate"/>
      </w:r>
      <w:r>
        <w:rPr>
          <w:rStyle w:val="33"/>
          <w:rFonts w:cs="宋体"/>
          <w:bCs/>
        </w:rPr>
        <w:t>一、综 述</w:t>
      </w:r>
      <w:r>
        <w:rPr>
          <w:bCs/>
        </w:rPr>
        <w:tab/>
      </w:r>
      <w:r>
        <w:rPr>
          <w:bCs/>
        </w:rPr>
        <w:fldChar w:fldCharType="begin"/>
      </w:r>
      <w:r>
        <w:rPr>
          <w:bCs/>
        </w:rPr>
        <w:instrText xml:space="preserve"> PAGEREF _Toc97815011 \h </w:instrText>
      </w:r>
      <w:r>
        <w:rPr>
          <w:bCs/>
        </w:rPr>
        <w:fldChar w:fldCharType="separate"/>
      </w:r>
      <w:r>
        <w:rPr>
          <w:bCs/>
        </w:rPr>
        <w:t>17</w:t>
      </w:r>
      <w:r>
        <w:rPr>
          <w:bCs/>
        </w:rPr>
        <w:fldChar w:fldCharType="end"/>
      </w:r>
      <w:r>
        <w:rPr>
          <w:bCs/>
        </w:rPr>
        <w:fldChar w:fldCharType="end"/>
      </w:r>
    </w:p>
    <w:p w14:paraId="0C7BFCC6">
      <w:pPr>
        <w:pStyle w:val="21"/>
        <w:spacing w:line="240" w:lineRule="auto"/>
        <w:rPr>
          <w:bCs/>
          <w:iCs w:val="0"/>
          <w:color w:val="auto"/>
          <w:sz w:val="21"/>
        </w:rPr>
      </w:pPr>
      <w:r>
        <w:fldChar w:fldCharType="begin"/>
      </w:r>
      <w:r>
        <w:instrText xml:space="preserve"> HYPERLINK \l "_Toc97815012" </w:instrText>
      </w:r>
      <w:r>
        <w:fldChar w:fldCharType="separate"/>
      </w:r>
      <w:r>
        <w:rPr>
          <w:rStyle w:val="33"/>
          <w:rFonts w:cs="宋体"/>
          <w:bCs/>
        </w:rPr>
        <w:t>二、技术、服务要求</w:t>
      </w:r>
      <w:r>
        <w:rPr>
          <w:bCs/>
        </w:rPr>
        <w:tab/>
      </w:r>
      <w:r>
        <w:rPr>
          <w:bCs/>
        </w:rPr>
        <w:fldChar w:fldCharType="begin"/>
      </w:r>
      <w:r>
        <w:rPr>
          <w:bCs/>
        </w:rPr>
        <w:instrText xml:space="preserve"> PAGEREF _Toc97815012 \h </w:instrText>
      </w:r>
      <w:r>
        <w:rPr>
          <w:bCs/>
        </w:rPr>
        <w:fldChar w:fldCharType="separate"/>
      </w:r>
      <w:r>
        <w:rPr>
          <w:bCs/>
        </w:rPr>
        <w:t>17</w:t>
      </w:r>
      <w:r>
        <w:rPr>
          <w:bCs/>
        </w:rPr>
        <w:fldChar w:fldCharType="end"/>
      </w:r>
      <w:r>
        <w:rPr>
          <w:bCs/>
        </w:rPr>
        <w:fldChar w:fldCharType="end"/>
      </w:r>
    </w:p>
    <w:p w14:paraId="0B9CE3C4">
      <w:pPr>
        <w:pStyle w:val="21"/>
        <w:spacing w:line="240" w:lineRule="auto"/>
        <w:rPr>
          <w:bCs/>
          <w:iCs w:val="0"/>
          <w:color w:val="auto"/>
          <w:sz w:val="21"/>
        </w:rPr>
      </w:pPr>
      <w:r>
        <w:fldChar w:fldCharType="begin"/>
      </w:r>
      <w:r>
        <w:instrText xml:space="preserve"> HYPERLINK \l "_Toc97815013" </w:instrText>
      </w:r>
      <w:r>
        <w:fldChar w:fldCharType="separate"/>
      </w:r>
      <w:r>
        <w:rPr>
          <w:rStyle w:val="33"/>
          <w:rFonts w:cs="宋体"/>
          <w:bCs/>
        </w:rPr>
        <w:t>三、商务要求</w:t>
      </w:r>
      <w:r>
        <w:rPr>
          <w:bCs/>
        </w:rPr>
        <w:tab/>
      </w:r>
      <w:r>
        <w:rPr>
          <w:bCs/>
        </w:rPr>
        <w:fldChar w:fldCharType="begin"/>
      </w:r>
      <w:r>
        <w:rPr>
          <w:bCs/>
        </w:rPr>
        <w:instrText xml:space="preserve"> PAGEREF _Toc97815013 \h </w:instrText>
      </w:r>
      <w:r>
        <w:rPr>
          <w:bCs/>
        </w:rPr>
        <w:fldChar w:fldCharType="separate"/>
      </w:r>
      <w:r>
        <w:rPr>
          <w:bCs/>
        </w:rPr>
        <w:t>53</w:t>
      </w:r>
      <w:r>
        <w:rPr>
          <w:bCs/>
        </w:rPr>
        <w:fldChar w:fldCharType="end"/>
      </w:r>
      <w:r>
        <w:rPr>
          <w:bCs/>
        </w:rPr>
        <w:fldChar w:fldCharType="end"/>
      </w:r>
    </w:p>
    <w:p w14:paraId="1CDA93A6">
      <w:pPr>
        <w:pStyle w:val="19"/>
        <w:spacing w:line="240" w:lineRule="auto"/>
        <w:rPr>
          <w:rFonts w:ascii="宋体" w:hAnsi="宋体" w:eastAsia="宋体"/>
          <w:b w:val="0"/>
          <w:bCs/>
          <w:iCs w:val="0"/>
          <w:color w:val="auto"/>
          <w:sz w:val="21"/>
          <w:szCs w:val="22"/>
        </w:rPr>
      </w:pPr>
      <w:r>
        <w:fldChar w:fldCharType="begin"/>
      </w:r>
      <w:r>
        <w:instrText xml:space="preserve"> HYPERLINK \l "_Toc97815014" </w:instrText>
      </w:r>
      <w:r>
        <w:fldChar w:fldCharType="separate"/>
      </w:r>
      <w:r>
        <w:rPr>
          <w:rStyle w:val="33"/>
          <w:rFonts w:ascii="宋体" w:hAnsi="宋体" w:eastAsia="宋体"/>
          <w:b w:val="0"/>
          <w:bCs/>
        </w:rPr>
        <w:t>第四章 资格审查方法及标准</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_Toc97815014 \h </w:instrText>
      </w:r>
      <w:r>
        <w:rPr>
          <w:rFonts w:ascii="宋体" w:hAnsi="宋体" w:eastAsia="宋体"/>
          <w:b w:val="0"/>
          <w:bCs/>
        </w:rPr>
        <w:fldChar w:fldCharType="separate"/>
      </w:r>
      <w:r>
        <w:rPr>
          <w:rFonts w:ascii="宋体" w:hAnsi="宋体" w:eastAsia="宋体"/>
          <w:b w:val="0"/>
          <w:bCs/>
        </w:rPr>
        <w:t>56</w:t>
      </w:r>
      <w:r>
        <w:rPr>
          <w:rFonts w:ascii="宋体" w:hAnsi="宋体" w:eastAsia="宋体"/>
          <w:b w:val="0"/>
          <w:bCs/>
        </w:rPr>
        <w:fldChar w:fldCharType="end"/>
      </w:r>
      <w:r>
        <w:rPr>
          <w:rFonts w:ascii="宋体" w:hAnsi="宋体" w:eastAsia="宋体"/>
          <w:b w:val="0"/>
          <w:bCs/>
        </w:rPr>
        <w:fldChar w:fldCharType="end"/>
      </w:r>
    </w:p>
    <w:p w14:paraId="085EF8B0">
      <w:pPr>
        <w:pStyle w:val="21"/>
        <w:spacing w:line="240" w:lineRule="auto"/>
        <w:rPr>
          <w:bCs/>
          <w:iCs w:val="0"/>
          <w:color w:val="auto"/>
          <w:sz w:val="21"/>
        </w:rPr>
      </w:pPr>
      <w:r>
        <w:fldChar w:fldCharType="begin"/>
      </w:r>
      <w:r>
        <w:instrText xml:space="preserve"> HYPERLINK \l "_Toc97815015" </w:instrText>
      </w:r>
      <w:r>
        <w:fldChar w:fldCharType="separate"/>
      </w:r>
      <w:r>
        <w:rPr>
          <w:rStyle w:val="33"/>
          <w:bCs/>
          <w:kern w:val="0"/>
          <w:lang w:val="zh-CN"/>
        </w:rPr>
        <w:t>一、</w:t>
      </w:r>
      <w:r>
        <w:rPr>
          <w:bCs/>
          <w:iCs w:val="0"/>
          <w:color w:val="auto"/>
          <w:sz w:val="21"/>
        </w:rPr>
        <w:tab/>
      </w:r>
      <w:r>
        <w:rPr>
          <w:rStyle w:val="33"/>
          <w:bCs/>
          <w:kern w:val="0"/>
          <w:lang w:val="zh-CN"/>
        </w:rPr>
        <w:t>资格审查方法</w:t>
      </w:r>
      <w:r>
        <w:rPr>
          <w:bCs/>
        </w:rPr>
        <w:tab/>
      </w:r>
      <w:r>
        <w:rPr>
          <w:bCs/>
        </w:rPr>
        <w:fldChar w:fldCharType="begin"/>
      </w:r>
      <w:r>
        <w:rPr>
          <w:bCs/>
        </w:rPr>
        <w:instrText xml:space="preserve"> PAGEREF _Toc97815015 \h </w:instrText>
      </w:r>
      <w:r>
        <w:rPr>
          <w:bCs/>
        </w:rPr>
        <w:fldChar w:fldCharType="separate"/>
      </w:r>
      <w:r>
        <w:rPr>
          <w:bCs/>
        </w:rPr>
        <w:t>56</w:t>
      </w:r>
      <w:r>
        <w:rPr>
          <w:bCs/>
        </w:rPr>
        <w:fldChar w:fldCharType="end"/>
      </w:r>
      <w:r>
        <w:rPr>
          <w:bCs/>
        </w:rPr>
        <w:fldChar w:fldCharType="end"/>
      </w:r>
    </w:p>
    <w:p w14:paraId="3E771FF3">
      <w:pPr>
        <w:pStyle w:val="21"/>
        <w:spacing w:line="240" w:lineRule="auto"/>
        <w:rPr>
          <w:bCs/>
          <w:iCs w:val="0"/>
          <w:color w:val="auto"/>
          <w:sz w:val="21"/>
        </w:rPr>
      </w:pPr>
      <w:r>
        <w:fldChar w:fldCharType="begin"/>
      </w:r>
      <w:r>
        <w:instrText xml:space="preserve"> HYPERLINK \l "_Toc97815016" </w:instrText>
      </w:r>
      <w:r>
        <w:fldChar w:fldCharType="separate"/>
      </w:r>
      <w:r>
        <w:rPr>
          <w:rStyle w:val="33"/>
          <w:bCs/>
          <w:kern w:val="0"/>
          <w:lang w:val="zh-CN"/>
        </w:rPr>
        <w:t>二、</w:t>
      </w:r>
      <w:r>
        <w:rPr>
          <w:bCs/>
          <w:iCs w:val="0"/>
          <w:color w:val="auto"/>
          <w:sz w:val="21"/>
        </w:rPr>
        <w:tab/>
      </w:r>
      <w:r>
        <w:rPr>
          <w:rStyle w:val="33"/>
          <w:bCs/>
          <w:kern w:val="0"/>
          <w:lang w:val="zh-CN"/>
        </w:rPr>
        <w:t>资格审查表</w:t>
      </w:r>
      <w:r>
        <w:rPr>
          <w:bCs/>
        </w:rPr>
        <w:tab/>
      </w:r>
      <w:r>
        <w:rPr>
          <w:bCs/>
        </w:rPr>
        <w:fldChar w:fldCharType="begin"/>
      </w:r>
      <w:r>
        <w:rPr>
          <w:bCs/>
        </w:rPr>
        <w:instrText xml:space="preserve"> PAGEREF _Toc97815016 \h </w:instrText>
      </w:r>
      <w:r>
        <w:rPr>
          <w:bCs/>
        </w:rPr>
        <w:fldChar w:fldCharType="separate"/>
      </w:r>
      <w:r>
        <w:rPr>
          <w:bCs/>
        </w:rPr>
        <w:t>56</w:t>
      </w:r>
      <w:r>
        <w:rPr>
          <w:bCs/>
        </w:rPr>
        <w:fldChar w:fldCharType="end"/>
      </w:r>
      <w:r>
        <w:rPr>
          <w:bCs/>
        </w:rPr>
        <w:fldChar w:fldCharType="end"/>
      </w:r>
    </w:p>
    <w:p w14:paraId="7B1186F7">
      <w:pPr>
        <w:pStyle w:val="21"/>
        <w:spacing w:line="240" w:lineRule="auto"/>
        <w:rPr>
          <w:bCs/>
          <w:iCs w:val="0"/>
          <w:color w:val="auto"/>
          <w:sz w:val="21"/>
        </w:rPr>
      </w:pPr>
      <w:r>
        <w:fldChar w:fldCharType="begin"/>
      </w:r>
      <w:r>
        <w:instrText xml:space="preserve"> HYPERLINK \l "_Toc97815017" </w:instrText>
      </w:r>
      <w:r>
        <w:fldChar w:fldCharType="separate"/>
      </w:r>
      <w:r>
        <w:rPr>
          <w:rStyle w:val="33"/>
          <w:bCs/>
          <w:lang w:val="zh-CN"/>
        </w:rPr>
        <w:t>三、</w:t>
      </w:r>
      <w:r>
        <w:rPr>
          <w:bCs/>
          <w:iCs w:val="0"/>
          <w:color w:val="auto"/>
          <w:sz w:val="21"/>
        </w:rPr>
        <w:tab/>
      </w:r>
      <w:r>
        <w:rPr>
          <w:rStyle w:val="33"/>
          <w:bCs/>
          <w:kern w:val="0"/>
          <w:lang w:val="zh-CN"/>
        </w:rPr>
        <w:t>确定资格审查合格投标人</w:t>
      </w:r>
      <w:r>
        <w:rPr>
          <w:bCs/>
        </w:rPr>
        <w:tab/>
      </w:r>
      <w:r>
        <w:rPr>
          <w:bCs/>
        </w:rPr>
        <w:fldChar w:fldCharType="begin"/>
      </w:r>
      <w:r>
        <w:rPr>
          <w:bCs/>
        </w:rPr>
        <w:instrText xml:space="preserve"> PAGEREF _Toc97815017 \h </w:instrText>
      </w:r>
      <w:r>
        <w:rPr>
          <w:bCs/>
        </w:rPr>
        <w:fldChar w:fldCharType="separate"/>
      </w:r>
      <w:r>
        <w:rPr>
          <w:bCs/>
        </w:rPr>
        <w:t>57</w:t>
      </w:r>
      <w:r>
        <w:rPr>
          <w:bCs/>
        </w:rPr>
        <w:fldChar w:fldCharType="end"/>
      </w:r>
      <w:r>
        <w:rPr>
          <w:bCs/>
        </w:rPr>
        <w:fldChar w:fldCharType="end"/>
      </w:r>
    </w:p>
    <w:p w14:paraId="6A739BD4">
      <w:pPr>
        <w:pStyle w:val="19"/>
        <w:spacing w:line="240" w:lineRule="auto"/>
        <w:rPr>
          <w:rFonts w:ascii="宋体" w:hAnsi="宋体" w:eastAsia="宋体"/>
          <w:b w:val="0"/>
          <w:bCs/>
          <w:iCs w:val="0"/>
          <w:color w:val="auto"/>
          <w:sz w:val="21"/>
          <w:szCs w:val="22"/>
        </w:rPr>
      </w:pPr>
      <w:r>
        <w:fldChar w:fldCharType="begin"/>
      </w:r>
      <w:r>
        <w:instrText xml:space="preserve"> HYPERLINK \l "_Toc97815018" </w:instrText>
      </w:r>
      <w:r>
        <w:fldChar w:fldCharType="separate"/>
      </w:r>
      <w:r>
        <w:rPr>
          <w:rStyle w:val="33"/>
          <w:rFonts w:ascii="宋体" w:hAnsi="宋体" w:eastAsia="宋体"/>
          <w:b w:val="0"/>
          <w:bCs/>
        </w:rPr>
        <w:t>第五章 评标方法、程序及标准</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_Toc97815018 \h </w:instrText>
      </w:r>
      <w:r>
        <w:rPr>
          <w:rFonts w:ascii="宋体" w:hAnsi="宋体" w:eastAsia="宋体"/>
          <w:b w:val="0"/>
          <w:bCs/>
        </w:rPr>
        <w:fldChar w:fldCharType="separate"/>
      </w:r>
      <w:r>
        <w:rPr>
          <w:rFonts w:ascii="宋体" w:hAnsi="宋体" w:eastAsia="宋体"/>
          <w:b w:val="0"/>
          <w:bCs/>
        </w:rPr>
        <w:t>58</w:t>
      </w:r>
      <w:r>
        <w:rPr>
          <w:rFonts w:ascii="宋体" w:hAnsi="宋体" w:eastAsia="宋体"/>
          <w:b w:val="0"/>
          <w:bCs/>
        </w:rPr>
        <w:fldChar w:fldCharType="end"/>
      </w:r>
      <w:r>
        <w:rPr>
          <w:rFonts w:ascii="宋体" w:hAnsi="宋体" w:eastAsia="宋体"/>
          <w:b w:val="0"/>
          <w:bCs/>
        </w:rPr>
        <w:fldChar w:fldCharType="end"/>
      </w:r>
    </w:p>
    <w:p w14:paraId="702DF5A5">
      <w:pPr>
        <w:pStyle w:val="21"/>
        <w:spacing w:line="240" w:lineRule="auto"/>
        <w:rPr>
          <w:bCs/>
          <w:iCs w:val="0"/>
          <w:color w:val="auto"/>
          <w:sz w:val="21"/>
        </w:rPr>
      </w:pPr>
      <w:r>
        <w:fldChar w:fldCharType="begin"/>
      </w:r>
      <w:r>
        <w:instrText xml:space="preserve"> HYPERLINK \l "_Toc97815019" </w:instrText>
      </w:r>
      <w:r>
        <w:fldChar w:fldCharType="separate"/>
      </w:r>
      <w:r>
        <w:rPr>
          <w:rStyle w:val="33"/>
          <w:bCs/>
          <w:kern w:val="0"/>
          <w:lang w:val="zh-CN"/>
        </w:rPr>
        <w:t>一、</w:t>
      </w:r>
      <w:r>
        <w:rPr>
          <w:bCs/>
          <w:iCs w:val="0"/>
          <w:color w:val="auto"/>
          <w:sz w:val="21"/>
        </w:rPr>
        <w:tab/>
      </w:r>
      <w:r>
        <w:rPr>
          <w:rStyle w:val="33"/>
          <w:bCs/>
          <w:kern w:val="0"/>
          <w:lang w:val="zh-CN"/>
        </w:rPr>
        <w:t>评标方法</w:t>
      </w:r>
      <w:r>
        <w:rPr>
          <w:bCs/>
        </w:rPr>
        <w:tab/>
      </w:r>
      <w:r>
        <w:rPr>
          <w:bCs/>
        </w:rPr>
        <w:fldChar w:fldCharType="begin"/>
      </w:r>
      <w:r>
        <w:rPr>
          <w:bCs/>
        </w:rPr>
        <w:instrText xml:space="preserve"> PAGEREF _Toc97815019 \h </w:instrText>
      </w:r>
      <w:r>
        <w:rPr>
          <w:bCs/>
        </w:rPr>
        <w:fldChar w:fldCharType="separate"/>
      </w:r>
      <w:r>
        <w:rPr>
          <w:bCs/>
        </w:rPr>
        <w:t>58</w:t>
      </w:r>
      <w:r>
        <w:rPr>
          <w:bCs/>
        </w:rPr>
        <w:fldChar w:fldCharType="end"/>
      </w:r>
      <w:r>
        <w:rPr>
          <w:bCs/>
        </w:rPr>
        <w:fldChar w:fldCharType="end"/>
      </w:r>
    </w:p>
    <w:p w14:paraId="2E35AEC8">
      <w:pPr>
        <w:pStyle w:val="21"/>
        <w:spacing w:line="240" w:lineRule="auto"/>
        <w:rPr>
          <w:bCs/>
          <w:iCs w:val="0"/>
          <w:color w:val="auto"/>
          <w:sz w:val="21"/>
        </w:rPr>
      </w:pPr>
      <w:r>
        <w:fldChar w:fldCharType="begin"/>
      </w:r>
      <w:r>
        <w:instrText xml:space="preserve"> HYPERLINK \l "_Toc97815020" </w:instrText>
      </w:r>
      <w:r>
        <w:fldChar w:fldCharType="separate"/>
      </w:r>
      <w:r>
        <w:rPr>
          <w:rStyle w:val="33"/>
          <w:bCs/>
          <w:kern w:val="0"/>
          <w:lang w:val="zh-CN"/>
        </w:rPr>
        <w:t>二、</w:t>
      </w:r>
      <w:r>
        <w:rPr>
          <w:bCs/>
          <w:iCs w:val="0"/>
          <w:color w:val="auto"/>
          <w:sz w:val="21"/>
        </w:rPr>
        <w:tab/>
      </w:r>
      <w:r>
        <w:rPr>
          <w:rStyle w:val="33"/>
          <w:bCs/>
          <w:kern w:val="0"/>
          <w:lang w:val="zh-CN"/>
        </w:rPr>
        <w:t>评标程序及标准</w:t>
      </w:r>
      <w:r>
        <w:rPr>
          <w:bCs/>
        </w:rPr>
        <w:tab/>
      </w:r>
      <w:r>
        <w:rPr>
          <w:bCs/>
        </w:rPr>
        <w:fldChar w:fldCharType="begin"/>
      </w:r>
      <w:r>
        <w:rPr>
          <w:bCs/>
        </w:rPr>
        <w:instrText xml:space="preserve"> PAGEREF _Toc97815020 \h </w:instrText>
      </w:r>
      <w:r>
        <w:rPr>
          <w:bCs/>
        </w:rPr>
        <w:fldChar w:fldCharType="separate"/>
      </w:r>
      <w:r>
        <w:rPr>
          <w:bCs/>
        </w:rPr>
        <w:t>58</w:t>
      </w:r>
      <w:r>
        <w:rPr>
          <w:bCs/>
        </w:rPr>
        <w:fldChar w:fldCharType="end"/>
      </w:r>
      <w:r>
        <w:rPr>
          <w:bCs/>
        </w:rPr>
        <w:fldChar w:fldCharType="end"/>
      </w:r>
    </w:p>
    <w:p w14:paraId="5C7F019A">
      <w:pPr>
        <w:pStyle w:val="21"/>
        <w:spacing w:line="240" w:lineRule="auto"/>
        <w:rPr>
          <w:bCs/>
          <w:iCs w:val="0"/>
          <w:color w:val="auto"/>
          <w:sz w:val="21"/>
        </w:rPr>
      </w:pPr>
      <w:r>
        <w:fldChar w:fldCharType="begin"/>
      </w:r>
      <w:r>
        <w:instrText xml:space="preserve"> HYPERLINK \l "_Toc97815021" </w:instrText>
      </w:r>
      <w:r>
        <w:fldChar w:fldCharType="separate"/>
      </w:r>
      <w:r>
        <w:rPr>
          <w:rStyle w:val="33"/>
          <w:bCs/>
          <w:kern w:val="0"/>
        </w:rPr>
        <w:t>三、</w:t>
      </w:r>
      <w:r>
        <w:rPr>
          <w:bCs/>
          <w:iCs w:val="0"/>
          <w:color w:val="auto"/>
          <w:sz w:val="21"/>
        </w:rPr>
        <w:tab/>
      </w:r>
      <w:r>
        <w:rPr>
          <w:rStyle w:val="33"/>
          <w:bCs/>
          <w:kern w:val="0"/>
          <w:lang w:val="zh-CN"/>
        </w:rPr>
        <w:t>评审因素及评分标准</w:t>
      </w:r>
      <w:r>
        <w:rPr>
          <w:bCs/>
        </w:rPr>
        <w:tab/>
      </w:r>
      <w:r>
        <w:rPr>
          <w:bCs/>
        </w:rPr>
        <w:fldChar w:fldCharType="begin"/>
      </w:r>
      <w:r>
        <w:rPr>
          <w:bCs/>
        </w:rPr>
        <w:instrText xml:space="preserve"> PAGEREF _Toc97815021 \h </w:instrText>
      </w:r>
      <w:r>
        <w:rPr>
          <w:bCs/>
        </w:rPr>
        <w:fldChar w:fldCharType="separate"/>
      </w:r>
      <w:r>
        <w:rPr>
          <w:bCs/>
        </w:rPr>
        <w:t>62</w:t>
      </w:r>
      <w:r>
        <w:rPr>
          <w:bCs/>
        </w:rPr>
        <w:fldChar w:fldCharType="end"/>
      </w:r>
      <w:r>
        <w:rPr>
          <w:bCs/>
        </w:rPr>
        <w:fldChar w:fldCharType="end"/>
      </w:r>
    </w:p>
    <w:p w14:paraId="0F6D4DB6">
      <w:pPr>
        <w:pStyle w:val="19"/>
        <w:spacing w:line="240" w:lineRule="auto"/>
        <w:rPr>
          <w:rFonts w:ascii="宋体" w:hAnsi="宋体" w:eastAsia="宋体"/>
          <w:b w:val="0"/>
          <w:bCs/>
          <w:iCs w:val="0"/>
          <w:color w:val="auto"/>
          <w:sz w:val="21"/>
          <w:szCs w:val="22"/>
        </w:rPr>
      </w:pPr>
      <w:r>
        <w:fldChar w:fldCharType="begin"/>
      </w:r>
      <w:r>
        <w:instrText xml:space="preserve"> HYPERLINK \l "_Toc97815022" </w:instrText>
      </w:r>
      <w:r>
        <w:fldChar w:fldCharType="separate"/>
      </w:r>
      <w:r>
        <w:rPr>
          <w:rStyle w:val="33"/>
          <w:rFonts w:ascii="宋体" w:hAnsi="宋体" w:eastAsia="宋体"/>
          <w:b w:val="0"/>
          <w:bCs/>
        </w:rPr>
        <w:t>第六章 合同书格式</w:t>
      </w:r>
      <w:r>
        <w:rPr>
          <w:rFonts w:ascii="宋体" w:hAnsi="宋体" w:eastAsia="宋体"/>
          <w:b w:val="0"/>
          <w:bCs/>
        </w:rPr>
        <w:tab/>
      </w:r>
      <w:r>
        <w:rPr>
          <w:rFonts w:ascii="宋体" w:hAnsi="宋体" w:eastAsia="宋体"/>
          <w:b w:val="0"/>
          <w:bCs/>
        </w:rPr>
        <w:fldChar w:fldCharType="begin"/>
      </w:r>
      <w:r>
        <w:rPr>
          <w:rFonts w:ascii="宋体" w:hAnsi="宋体" w:eastAsia="宋体"/>
          <w:b w:val="0"/>
          <w:bCs/>
        </w:rPr>
        <w:instrText xml:space="preserve"> PAGEREF _Toc97815022 \h </w:instrText>
      </w:r>
      <w:r>
        <w:rPr>
          <w:rFonts w:ascii="宋体" w:hAnsi="宋体" w:eastAsia="宋体"/>
          <w:b w:val="0"/>
          <w:bCs/>
        </w:rPr>
        <w:fldChar w:fldCharType="separate"/>
      </w:r>
      <w:r>
        <w:rPr>
          <w:rFonts w:ascii="宋体" w:hAnsi="宋体" w:eastAsia="宋体"/>
          <w:b w:val="0"/>
          <w:bCs/>
        </w:rPr>
        <w:t>65</w:t>
      </w:r>
      <w:r>
        <w:rPr>
          <w:rFonts w:ascii="宋体" w:hAnsi="宋体" w:eastAsia="宋体"/>
          <w:b w:val="0"/>
          <w:bCs/>
        </w:rPr>
        <w:fldChar w:fldCharType="end"/>
      </w:r>
      <w:r>
        <w:rPr>
          <w:rFonts w:ascii="宋体" w:hAnsi="宋体" w:eastAsia="宋体"/>
          <w:b w:val="0"/>
          <w:bCs/>
        </w:rPr>
        <w:fldChar w:fldCharType="end"/>
      </w:r>
    </w:p>
    <w:p w14:paraId="6F4AEDA5">
      <w:pPr>
        <w:pStyle w:val="19"/>
        <w:rPr>
          <w:rFonts w:ascii="宋体" w:hAnsi="宋体" w:eastAsia="宋体"/>
          <w:b w:val="0"/>
          <w:iCs w:val="0"/>
          <w:color w:val="auto"/>
          <w:sz w:val="21"/>
          <w:szCs w:val="22"/>
        </w:rPr>
      </w:pPr>
      <w:r>
        <w:fldChar w:fldCharType="begin"/>
      </w:r>
      <w:r>
        <w:instrText xml:space="preserve"> HYPERLINK \l "_Toc97815023" </w:instrText>
      </w:r>
      <w:r>
        <w:fldChar w:fldCharType="separate"/>
      </w:r>
      <w:r>
        <w:rPr>
          <w:rStyle w:val="33"/>
          <w:rFonts w:ascii="宋体" w:hAnsi="宋体" w:eastAsia="宋体"/>
          <w:b w:val="0"/>
        </w:rPr>
        <w:t>第七章 投标文件格式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_Toc97815023 \h </w:instrText>
      </w:r>
      <w:r>
        <w:rPr>
          <w:rFonts w:ascii="宋体" w:hAnsi="宋体" w:eastAsia="宋体"/>
          <w:b w:val="0"/>
        </w:rPr>
        <w:fldChar w:fldCharType="separate"/>
      </w:r>
      <w:r>
        <w:rPr>
          <w:rFonts w:ascii="宋体" w:hAnsi="宋体" w:eastAsia="宋体"/>
          <w:b w:val="0"/>
        </w:rPr>
        <w:t>68</w:t>
      </w:r>
      <w:r>
        <w:rPr>
          <w:rFonts w:ascii="宋体" w:hAnsi="宋体" w:eastAsia="宋体"/>
          <w:b w:val="0"/>
        </w:rPr>
        <w:fldChar w:fldCharType="end"/>
      </w:r>
      <w:r>
        <w:rPr>
          <w:rFonts w:ascii="宋体" w:hAnsi="宋体" w:eastAsia="宋体"/>
          <w:b w:val="0"/>
        </w:rPr>
        <w:fldChar w:fldCharType="end"/>
      </w:r>
    </w:p>
    <w:p w14:paraId="288BCB6E">
      <w:pPr>
        <w:spacing w:line="300" w:lineRule="auto"/>
        <w:jc w:val="center"/>
        <w:rPr>
          <w:rFonts w:ascii="宋体" w:hAnsi="宋体"/>
          <w:color w:val="000000"/>
        </w:rPr>
      </w:pPr>
      <w:r>
        <w:rPr>
          <w:rFonts w:hint="eastAsia" w:ascii="宋体" w:hAnsi="宋体"/>
          <w:color w:val="000000"/>
        </w:rPr>
        <w:fldChar w:fldCharType="end"/>
      </w:r>
    </w:p>
    <w:p w14:paraId="1607F170">
      <w:pPr>
        <w:pStyle w:val="25"/>
      </w:pPr>
    </w:p>
    <w:p w14:paraId="49C60B30">
      <w:pPr>
        <w:tabs>
          <w:tab w:val="left" w:pos="993"/>
        </w:tabs>
        <w:spacing w:line="300" w:lineRule="auto"/>
        <w:jc w:val="center"/>
        <w:outlineLvl w:val="0"/>
        <w:rPr>
          <w:rFonts w:ascii="黑体" w:hAnsi="黑体" w:eastAsia="黑体"/>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14:paraId="4DA7FE70">
      <w:pPr>
        <w:widowControl/>
        <w:jc w:val="left"/>
        <w:rPr>
          <w:rFonts w:ascii="黑体" w:hAnsi="黑体" w:eastAsia="黑体"/>
          <w:sz w:val="28"/>
          <w:szCs w:val="28"/>
        </w:rPr>
      </w:pPr>
      <w:r>
        <w:rPr>
          <w:rFonts w:ascii="黑体" w:hAnsi="黑体" w:eastAsia="黑体"/>
          <w:sz w:val="28"/>
          <w:szCs w:val="28"/>
        </w:rPr>
        <w:br w:type="page"/>
      </w:r>
    </w:p>
    <w:p w14:paraId="40D8EBE6">
      <w:pPr>
        <w:tabs>
          <w:tab w:val="left" w:pos="993"/>
        </w:tabs>
        <w:spacing w:line="300" w:lineRule="auto"/>
        <w:jc w:val="center"/>
        <w:outlineLvl w:val="0"/>
        <w:rPr>
          <w:rFonts w:ascii="黑体" w:hAnsi="黑体" w:eastAsia="黑体"/>
          <w:sz w:val="28"/>
          <w:szCs w:val="28"/>
        </w:rPr>
      </w:pPr>
      <w:r>
        <w:rPr>
          <w:rFonts w:hint="eastAsia" w:ascii="黑体" w:hAnsi="黑体" w:eastAsia="黑体"/>
          <w:sz w:val="28"/>
          <w:szCs w:val="28"/>
        </w:rPr>
        <w:t>第一章 招标公告（投标邀请书）</w:t>
      </w:r>
      <w:bookmarkEnd w:id="0"/>
    </w:p>
    <w:p w14:paraId="5CDEAEE5">
      <w:pPr>
        <w:ind w:firstLine="420" w:firstLineChars="200"/>
        <w:rPr>
          <w:rFonts w:ascii="宋体" w:hAnsi="宋体" w:cs="宋体"/>
          <w:szCs w:val="21"/>
        </w:rPr>
      </w:pPr>
    </w:p>
    <w:tbl>
      <w:tblPr>
        <w:tblStyle w:val="26"/>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14:paraId="7D9E518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c>
          <w:tcPr>
            <w:tcW w:w="9514" w:type="dxa"/>
          </w:tcPr>
          <w:p w14:paraId="65E866F3">
            <w:pPr>
              <w:spacing w:line="360" w:lineRule="auto"/>
              <w:rPr>
                <w:rFonts w:ascii="宋体" w:hAnsi="宋体" w:cs="宋体"/>
                <w:b/>
                <w:kern w:val="0"/>
                <w:szCs w:val="21"/>
              </w:rPr>
            </w:pPr>
            <w:r>
              <w:rPr>
                <w:rFonts w:hint="eastAsia" w:ascii="宋体" w:hAnsi="宋体" w:cs="宋体"/>
                <w:b/>
                <w:kern w:val="0"/>
                <w:szCs w:val="21"/>
              </w:rPr>
              <w:t>项目概况</w:t>
            </w:r>
          </w:p>
          <w:p w14:paraId="1FC2575D">
            <w:pPr>
              <w:spacing w:line="360" w:lineRule="auto"/>
              <w:ind w:firstLine="420" w:firstLineChars="200"/>
              <w:rPr>
                <w:rFonts w:ascii="宋体" w:hAnsi="宋体" w:cs="宋体"/>
                <w:kern w:val="0"/>
                <w:szCs w:val="21"/>
              </w:rPr>
            </w:pPr>
            <w:r>
              <w:rPr>
                <w:rFonts w:hint="eastAsia" w:ascii="宋体" w:hAnsi="宋体" w:cs="宋体"/>
                <w:szCs w:val="21"/>
                <w:u w:val="single"/>
              </w:rPr>
              <w:t>武汉理工大学法学知识产权虚拟仿真教学实训平台</w:t>
            </w:r>
            <w:r>
              <w:rPr>
                <w:rFonts w:hint="eastAsia" w:ascii="宋体" w:hAnsi="宋体" w:cs="宋体"/>
                <w:szCs w:val="21"/>
              </w:rPr>
              <w:t>招标项目的潜在投标人应在</w:t>
            </w:r>
            <w:r>
              <w:rPr>
                <w:rFonts w:hint="eastAsia" w:ascii="宋体" w:hAnsi="宋体" w:cs="宋体"/>
                <w:szCs w:val="21"/>
                <w:u w:val="single"/>
              </w:rPr>
              <w:t xml:space="preserve">武汉市东湖新技术开发区关南园一路当代光谷梦工场2号楼1002室或网络邮箱 </w:t>
            </w:r>
            <w:r>
              <w:rPr>
                <w:rFonts w:hint="eastAsia" w:ascii="宋体" w:hAnsi="宋体" w:cs="宋体"/>
                <w:szCs w:val="21"/>
              </w:rPr>
              <w:t>获取招标文件，并于</w:t>
            </w:r>
            <w:r>
              <w:rPr>
                <w:rFonts w:hint="eastAsia" w:ascii="宋体" w:hAnsi="宋体" w:cs="宋体"/>
                <w:szCs w:val="21"/>
                <w:u w:val="single"/>
              </w:rPr>
              <w:t>2026年</w:t>
            </w:r>
            <w:r>
              <w:rPr>
                <w:rFonts w:hint="eastAsia" w:ascii="宋体" w:hAnsi="宋体" w:cs="宋体"/>
                <w:szCs w:val="21"/>
                <w:u w:val="single"/>
                <w:lang w:val="en-US" w:eastAsia="zh-CN"/>
              </w:rPr>
              <w:t>6</w:t>
            </w:r>
            <w:r>
              <w:rPr>
                <w:rFonts w:hint="eastAsia" w:ascii="宋体" w:hAnsi="宋体" w:cs="宋体"/>
                <w:szCs w:val="21"/>
                <w:u w:val="single"/>
              </w:rPr>
              <w:t>月</w:t>
            </w:r>
            <w:r>
              <w:rPr>
                <w:rFonts w:hint="eastAsia" w:ascii="宋体" w:hAnsi="宋体" w:cs="宋体"/>
                <w:szCs w:val="21"/>
                <w:u w:val="single"/>
                <w:lang w:val="en-US" w:eastAsia="zh-CN"/>
              </w:rPr>
              <w:t>25</w:t>
            </w:r>
            <w:r>
              <w:rPr>
                <w:rFonts w:hint="eastAsia" w:ascii="宋体" w:hAnsi="宋体" w:cs="宋体"/>
                <w:szCs w:val="21"/>
                <w:u w:val="single"/>
              </w:rPr>
              <w:t>日</w:t>
            </w:r>
            <w:r>
              <w:rPr>
                <w:rFonts w:ascii="宋体" w:hAnsi="宋体" w:cs="宋体"/>
                <w:szCs w:val="21"/>
                <w:u w:val="single"/>
              </w:rPr>
              <w:t>9</w:t>
            </w:r>
            <w:r>
              <w:rPr>
                <w:rFonts w:hint="eastAsia" w:ascii="宋体" w:hAnsi="宋体" w:cs="宋体"/>
                <w:szCs w:val="21"/>
                <w:u w:val="single"/>
              </w:rPr>
              <w:t>点</w:t>
            </w:r>
            <w:r>
              <w:rPr>
                <w:rFonts w:ascii="宋体" w:hAnsi="宋体" w:cs="宋体"/>
                <w:szCs w:val="21"/>
                <w:u w:val="single"/>
              </w:rPr>
              <w:t>3</w:t>
            </w:r>
            <w:r>
              <w:rPr>
                <w:rFonts w:hint="eastAsia" w:ascii="宋体" w:hAnsi="宋体" w:cs="宋体"/>
                <w:szCs w:val="21"/>
                <w:u w:val="single"/>
              </w:rPr>
              <w:t>0分</w:t>
            </w:r>
            <w:r>
              <w:rPr>
                <w:rFonts w:hint="eastAsia" w:ascii="宋体" w:hAnsi="宋体" w:cs="宋体"/>
                <w:szCs w:val="21"/>
              </w:rPr>
              <w:t>（北京时间）前递交投标文件。</w:t>
            </w:r>
          </w:p>
        </w:tc>
      </w:tr>
    </w:tbl>
    <w:p w14:paraId="3DAA20C7">
      <w:pPr>
        <w:pStyle w:val="3"/>
        <w:shd w:val="clear" w:color="auto" w:fill="FEFEFE"/>
        <w:spacing w:before="0" w:after="0" w:line="360" w:lineRule="auto"/>
        <w:ind w:firstLine="420" w:firstLineChars="200"/>
        <w:rPr>
          <w:rFonts w:ascii="宋体" w:hAnsi="宋体" w:cs="宋体"/>
          <w:sz w:val="21"/>
          <w:szCs w:val="21"/>
        </w:rPr>
      </w:pPr>
      <w:bookmarkStart w:id="1" w:name="_Toc119594475"/>
      <w:r>
        <w:rPr>
          <w:rFonts w:hint="eastAsia" w:ascii="宋体" w:hAnsi="宋体" w:cs="宋体"/>
          <w:sz w:val="21"/>
          <w:szCs w:val="21"/>
        </w:rPr>
        <w:t>一、项目基本情况</w:t>
      </w:r>
      <w:bookmarkEnd w:id="1"/>
    </w:p>
    <w:p w14:paraId="42B83474">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1、项目编号：WUTH2026050032（WHHZ-20265181-H265181）</w:t>
      </w:r>
    </w:p>
    <w:p w14:paraId="2FC12EE4">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2、项目名称：武汉理工大学法学知识产权虚拟仿真教学实训平台</w:t>
      </w:r>
    </w:p>
    <w:p w14:paraId="2130B81F">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3、预算金额：270万元（人民币）</w:t>
      </w:r>
    </w:p>
    <w:p w14:paraId="65144830">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4、最高限价（如有）：270万元（人民币）</w:t>
      </w:r>
    </w:p>
    <w:p w14:paraId="00A440D0">
      <w:pPr>
        <w:pStyle w:val="22"/>
        <w:spacing w:before="0" w:beforeAutospacing="0" w:after="0" w:afterAutospacing="0" w:line="360" w:lineRule="auto"/>
        <w:ind w:firstLine="420" w:firstLineChars="200"/>
        <w:rPr>
          <w:sz w:val="21"/>
          <w:szCs w:val="21"/>
        </w:rPr>
      </w:pPr>
      <w:r>
        <w:rPr>
          <w:rFonts w:hint="eastAsia"/>
          <w:sz w:val="21"/>
          <w:szCs w:val="21"/>
        </w:rPr>
        <w:t>5、采购需求：本项目共分1个包。投标人报价不得超过预算金额（最高限价），否则按无效投标处理。</w:t>
      </w:r>
    </w:p>
    <w:tbl>
      <w:tblPr>
        <w:tblStyle w:val="26"/>
        <w:tblW w:w="3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3279"/>
        <w:gridCol w:w="852"/>
        <w:gridCol w:w="792"/>
        <w:gridCol w:w="888"/>
        <w:gridCol w:w="876"/>
      </w:tblGrid>
      <w:tr w14:paraId="0171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10D77DB5">
            <w:pPr>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216" w:type="pct"/>
            <w:vAlign w:val="center"/>
          </w:tcPr>
          <w:p w14:paraId="0358BC20">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标的名称</w:t>
            </w:r>
          </w:p>
        </w:tc>
        <w:tc>
          <w:tcPr>
            <w:tcW w:w="576" w:type="pct"/>
            <w:vAlign w:val="center"/>
          </w:tcPr>
          <w:p w14:paraId="3EA4E350">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535" w:type="pct"/>
            <w:vAlign w:val="center"/>
          </w:tcPr>
          <w:p w14:paraId="4449F99F">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单位</w:t>
            </w:r>
          </w:p>
        </w:tc>
        <w:tc>
          <w:tcPr>
            <w:tcW w:w="600" w:type="pct"/>
            <w:vAlign w:val="center"/>
          </w:tcPr>
          <w:p w14:paraId="2ACC38D6">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是否接受进口产品</w:t>
            </w:r>
          </w:p>
        </w:tc>
        <w:tc>
          <w:tcPr>
            <w:tcW w:w="592" w:type="pct"/>
            <w:vAlign w:val="center"/>
          </w:tcPr>
          <w:p w14:paraId="53F5A2A3">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是否为核心产品</w:t>
            </w:r>
          </w:p>
        </w:tc>
      </w:tr>
      <w:tr w14:paraId="4136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2BC90C2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216" w:type="pct"/>
            <w:vAlign w:val="center"/>
          </w:tcPr>
          <w:p w14:paraId="6598E3D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音视频系统</w:t>
            </w:r>
          </w:p>
        </w:tc>
        <w:tc>
          <w:tcPr>
            <w:tcW w:w="576" w:type="pct"/>
            <w:vAlign w:val="center"/>
          </w:tcPr>
          <w:p w14:paraId="48499BF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35" w:type="pct"/>
            <w:vAlign w:val="center"/>
          </w:tcPr>
          <w:p w14:paraId="7CBF90E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600" w:type="pct"/>
            <w:vAlign w:val="center"/>
          </w:tcPr>
          <w:p w14:paraId="4C5768D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2" w:type="pct"/>
            <w:vAlign w:val="center"/>
          </w:tcPr>
          <w:p w14:paraId="168E2621">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是</w:t>
            </w:r>
          </w:p>
        </w:tc>
      </w:tr>
      <w:tr w14:paraId="17050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4566F67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2216" w:type="pct"/>
            <w:vAlign w:val="center"/>
          </w:tcPr>
          <w:p w14:paraId="57FB1DE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教育录播系统</w:t>
            </w:r>
          </w:p>
        </w:tc>
        <w:tc>
          <w:tcPr>
            <w:tcW w:w="576" w:type="pct"/>
            <w:vAlign w:val="center"/>
          </w:tcPr>
          <w:p w14:paraId="48F1D2B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35" w:type="pct"/>
            <w:vAlign w:val="center"/>
          </w:tcPr>
          <w:p w14:paraId="6F722DF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600" w:type="pct"/>
            <w:vAlign w:val="center"/>
          </w:tcPr>
          <w:p w14:paraId="4E9CA34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2" w:type="pct"/>
            <w:vAlign w:val="center"/>
          </w:tcPr>
          <w:p w14:paraId="43602EF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06B6D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32DACD1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2216" w:type="pct"/>
            <w:vAlign w:val="center"/>
          </w:tcPr>
          <w:p w14:paraId="2BD1CF7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线上互动教学系统</w:t>
            </w:r>
          </w:p>
        </w:tc>
        <w:tc>
          <w:tcPr>
            <w:tcW w:w="576" w:type="pct"/>
            <w:vAlign w:val="center"/>
          </w:tcPr>
          <w:p w14:paraId="6494802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35" w:type="pct"/>
            <w:vAlign w:val="center"/>
          </w:tcPr>
          <w:p w14:paraId="001DAC2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600" w:type="pct"/>
            <w:vAlign w:val="center"/>
          </w:tcPr>
          <w:p w14:paraId="40D74DD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2" w:type="pct"/>
            <w:vAlign w:val="center"/>
          </w:tcPr>
          <w:p w14:paraId="03AC706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5230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321D2A3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2216" w:type="pct"/>
            <w:vAlign w:val="center"/>
          </w:tcPr>
          <w:p w14:paraId="75EDB4B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知识产权实训系统</w:t>
            </w:r>
          </w:p>
        </w:tc>
        <w:tc>
          <w:tcPr>
            <w:tcW w:w="576" w:type="pct"/>
            <w:vAlign w:val="center"/>
          </w:tcPr>
          <w:p w14:paraId="6ECFFB6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35" w:type="pct"/>
            <w:vAlign w:val="center"/>
          </w:tcPr>
          <w:p w14:paraId="3D79069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600" w:type="pct"/>
            <w:vAlign w:val="center"/>
          </w:tcPr>
          <w:p w14:paraId="0452C4E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2" w:type="pct"/>
            <w:vAlign w:val="center"/>
          </w:tcPr>
          <w:p w14:paraId="17D4D36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0ABD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1" w:type="pct"/>
            <w:vAlign w:val="center"/>
          </w:tcPr>
          <w:p w14:paraId="05EFE7C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2216" w:type="pct"/>
            <w:vAlign w:val="center"/>
          </w:tcPr>
          <w:p w14:paraId="03A53DF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知识产权研究与展示系统</w:t>
            </w:r>
          </w:p>
        </w:tc>
        <w:tc>
          <w:tcPr>
            <w:tcW w:w="576" w:type="pct"/>
            <w:vAlign w:val="center"/>
          </w:tcPr>
          <w:p w14:paraId="3BAB3DC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35" w:type="pct"/>
            <w:vAlign w:val="center"/>
          </w:tcPr>
          <w:p w14:paraId="25B8AB0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600" w:type="pct"/>
            <w:vAlign w:val="center"/>
          </w:tcPr>
          <w:p w14:paraId="0ACD43D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2" w:type="pct"/>
            <w:vAlign w:val="center"/>
          </w:tcPr>
          <w:p w14:paraId="31F5D84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bl>
    <w:p w14:paraId="0A990930">
      <w:pPr>
        <w:pStyle w:val="22"/>
        <w:shd w:val="clear" w:color="auto" w:fill="FEFEFE"/>
        <w:spacing w:before="0" w:beforeAutospacing="0" w:after="0" w:afterAutospacing="0" w:line="360" w:lineRule="auto"/>
        <w:ind w:firstLine="420" w:firstLineChars="200"/>
        <w:rPr>
          <w:sz w:val="21"/>
          <w:szCs w:val="21"/>
          <w:lang w:val="zh-CN"/>
        </w:rPr>
      </w:pPr>
      <w:r>
        <w:rPr>
          <w:rFonts w:hint="eastAsia"/>
          <w:sz w:val="21"/>
          <w:szCs w:val="21"/>
        </w:rPr>
        <w:t>6、合同履行期限：交</w:t>
      </w:r>
      <w:r>
        <w:rPr>
          <w:rFonts w:hint="eastAsia"/>
          <w:sz w:val="21"/>
          <w:szCs w:val="21"/>
          <w:lang w:val="zh-CN"/>
        </w:rPr>
        <w:t>货期：合同签订后40个工作日内完成交货、安装、调试，实现正常运行；质保期：自验收合格之日起3年。</w:t>
      </w:r>
    </w:p>
    <w:p w14:paraId="2C023501">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7、本项目（不接受)联合体投标。</w:t>
      </w:r>
    </w:p>
    <w:p w14:paraId="6BB83489">
      <w:pPr>
        <w:pStyle w:val="3"/>
        <w:shd w:val="clear" w:color="auto" w:fill="FEFEFE"/>
        <w:spacing w:before="0" w:after="0" w:line="360" w:lineRule="auto"/>
        <w:ind w:firstLine="420" w:firstLineChars="200"/>
        <w:rPr>
          <w:rFonts w:ascii="宋体" w:hAnsi="宋体" w:cs="宋体"/>
          <w:color w:val="333333"/>
          <w:sz w:val="21"/>
          <w:szCs w:val="21"/>
        </w:rPr>
      </w:pPr>
      <w:bookmarkStart w:id="2" w:name="_Toc119594476"/>
      <w:r>
        <w:rPr>
          <w:rFonts w:hint="eastAsia" w:ascii="宋体" w:hAnsi="宋体" w:cs="宋体"/>
          <w:color w:val="000000"/>
          <w:sz w:val="21"/>
          <w:szCs w:val="21"/>
        </w:rPr>
        <w:t>二、投标人的资格要求</w:t>
      </w:r>
      <w:bookmarkEnd w:id="2"/>
    </w:p>
    <w:p w14:paraId="14C46F6C">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1.满足《中华人民共和国政府采购法》第二十二条规定；</w:t>
      </w:r>
    </w:p>
    <w:p w14:paraId="4EF33B41">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w:t>
      </w:r>
      <w:bookmarkStart w:id="3" w:name="OLE_LINK13"/>
      <w:r>
        <w:rPr>
          <w:rFonts w:hint="eastAsia" w:ascii="宋体" w:hAnsi="宋体" w:cs="宋体"/>
          <w:szCs w:val="21"/>
        </w:rPr>
        <w:t>具有独立承担民事责任的能力；</w:t>
      </w:r>
      <w:bookmarkEnd w:id="3"/>
      <w:r>
        <w:rPr>
          <w:rFonts w:hint="eastAsia" w:ascii="宋体" w:hAnsi="宋体" w:cs="宋体"/>
          <w:szCs w:val="21"/>
        </w:rPr>
        <w:t xml:space="preserve"> </w:t>
      </w:r>
    </w:p>
    <w:p w14:paraId="64350F38">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（2）具有良好的商业信誉和健全的财务会计制度； </w:t>
      </w:r>
    </w:p>
    <w:p w14:paraId="6295B2AE">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（3）具有履行合同所必需的设备和专业技术能力； </w:t>
      </w:r>
    </w:p>
    <w:p w14:paraId="23F4A729">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 xml:space="preserve">（4）有依法缴纳税收和社会保障资金的良好记录； </w:t>
      </w:r>
    </w:p>
    <w:p w14:paraId="7BBDA396">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（5）参加政府采购活动前三年内，在经营活动中没有重大违法记录；</w:t>
      </w:r>
    </w:p>
    <w:p w14:paraId="3539AD93">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（6）法律、行政法规规定的其他条件。</w:t>
      </w:r>
    </w:p>
    <w:p w14:paraId="00C4B274">
      <w:pPr>
        <w:pStyle w:val="22"/>
        <w:shd w:val="clear" w:color="auto" w:fill="FEFEFE"/>
        <w:spacing w:before="0" w:beforeAutospacing="0" w:after="0" w:afterAutospacing="0" w:line="360" w:lineRule="auto"/>
        <w:ind w:firstLine="420" w:firstLineChars="200"/>
        <w:rPr>
          <w:sz w:val="21"/>
          <w:szCs w:val="21"/>
          <w:highlight w:val="green"/>
        </w:rPr>
      </w:pPr>
      <w:r>
        <w:rPr>
          <w:rFonts w:hint="eastAsia"/>
          <w:sz w:val="21"/>
          <w:szCs w:val="21"/>
        </w:rPr>
        <w:t>2.落实政府采购政策需满足的资格要求：</w:t>
      </w:r>
    </w:p>
    <w:p w14:paraId="14FEBBA6">
      <w:pPr>
        <w:pStyle w:val="36"/>
        <w:spacing w:line="360" w:lineRule="auto"/>
        <w:jc w:val="left"/>
        <w:rPr>
          <w:rFonts w:ascii="宋体" w:hAnsi="宋体" w:cs="宋体"/>
          <w:szCs w:val="21"/>
        </w:rPr>
      </w:pPr>
      <w:r>
        <w:rPr>
          <w:rFonts w:hint="eastAsia" w:ascii="宋体" w:hAnsi="宋体" w:cs="宋体"/>
          <w:szCs w:val="21"/>
        </w:rPr>
        <w:t>本政府采购项目</w:t>
      </w:r>
      <w:r>
        <w:rPr>
          <w:rFonts w:hint="eastAsia" w:ascii="宋体" w:hAnsi="宋体" w:cs="宋体"/>
          <w:b/>
          <w:szCs w:val="21"/>
        </w:rPr>
        <w:t>非</w:t>
      </w:r>
      <w:r>
        <w:rPr>
          <w:rFonts w:hint="eastAsia" w:ascii="宋体" w:hAnsi="宋体" w:cs="宋体"/>
          <w:szCs w:val="21"/>
        </w:rPr>
        <w:t>专门面向中小企业，本项目落实政府采购中小企业扶持政策，本项目采购标的对应的中小企业划分标准所属行业为“</w:t>
      </w:r>
      <w:r>
        <w:rPr>
          <w:rFonts w:hint="eastAsia" w:ascii="宋体" w:hAnsi="宋体" w:cs="宋体"/>
          <w:szCs w:val="21"/>
          <w:u w:val="single"/>
        </w:rPr>
        <w:t xml:space="preserve"> 工业 </w:t>
      </w:r>
      <w:r>
        <w:rPr>
          <w:rFonts w:hint="eastAsia" w:ascii="宋体" w:hAnsi="宋体" w:cs="宋体"/>
          <w:szCs w:val="21"/>
        </w:rPr>
        <w:t>”（投标人需提供相应中小企业声明函或残疾人福利性单位声明函或监狱企业的证明文件）。</w:t>
      </w:r>
    </w:p>
    <w:p w14:paraId="0B7188EE">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3.本项目的特定资格要求：</w:t>
      </w:r>
    </w:p>
    <w:p w14:paraId="1D9EC53A">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14:paraId="71251310">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14:paraId="1613385A">
      <w:pPr>
        <w:pStyle w:val="3"/>
        <w:shd w:val="clear" w:color="auto" w:fill="FEFEFE"/>
        <w:spacing w:before="0" w:after="0" w:line="360" w:lineRule="auto"/>
        <w:ind w:firstLine="420" w:firstLineChars="200"/>
        <w:rPr>
          <w:rFonts w:ascii="宋体" w:hAnsi="宋体" w:cs="宋体"/>
          <w:sz w:val="21"/>
          <w:szCs w:val="21"/>
        </w:rPr>
      </w:pPr>
      <w:bookmarkStart w:id="4" w:name="_Toc119594477"/>
      <w:r>
        <w:rPr>
          <w:rFonts w:hint="eastAsia" w:ascii="宋体" w:hAnsi="宋体" w:cs="宋体"/>
          <w:sz w:val="21"/>
          <w:szCs w:val="21"/>
        </w:rPr>
        <w:t>三、获取招标文件</w:t>
      </w:r>
      <w:bookmarkEnd w:id="4"/>
    </w:p>
    <w:p w14:paraId="7A659F65">
      <w:pPr>
        <w:spacing w:line="360" w:lineRule="auto"/>
        <w:ind w:firstLine="420" w:firstLineChars="200"/>
        <w:rPr>
          <w:rFonts w:ascii="宋体" w:hAnsi="宋体"/>
          <w:szCs w:val="21"/>
        </w:rPr>
      </w:pPr>
      <w:r>
        <w:rPr>
          <w:rFonts w:hint="eastAsia" w:ascii="宋体" w:hAnsi="宋体"/>
          <w:szCs w:val="21"/>
        </w:rPr>
        <w:t>1、时间：</w:t>
      </w:r>
      <w:r>
        <w:rPr>
          <w:rFonts w:ascii="宋体" w:hAnsi="宋体"/>
          <w:szCs w:val="21"/>
        </w:rPr>
        <w:t>202</w:t>
      </w:r>
      <w:r>
        <w:rPr>
          <w:rFonts w:hint="eastAsia" w:ascii="宋体" w:hAnsi="宋体"/>
          <w:szCs w:val="21"/>
        </w:rPr>
        <w:t>6年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5</w:t>
      </w:r>
      <w:r>
        <w:rPr>
          <w:rFonts w:hint="eastAsia" w:ascii="宋体" w:hAnsi="宋体"/>
          <w:szCs w:val="21"/>
        </w:rPr>
        <w:t>日至</w:t>
      </w:r>
      <w:r>
        <w:rPr>
          <w:rFonts w:ascii="宋体" w:hAnsi="宋体"/>
          <w:szCs w:val="21"/>
        </w:rPr>
        <w:t>202</w:t>
      </w:r>
      <w:r>
        <w:rPr>
          <w:rFonts w:hint="eastAsia" w:ascii="宋体" w:hAnsi="宋体"/>
          <w:szCs w:val="21"/>
        </w:rPr>
        <w:t>6年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15</w:t>
      </w:r>
      <w:r>
        <w:rPr>
          <w:rFonts w:hint="eastAsia" w:ascii="宋体" w:hAnsi="宋体"/>
          <w:szCs w:val="21"/>
        </w:rPr>
        <w:t>日，每天上午9:00至11:30，下午14:30至17:00（北京时间，法定节假日除外）</w:t>
      </w:r>
    </w:p>
    <w:p w14:paraId="2A9E69A1">
      <w:pPr>
        <w:spacing w:line="360" w:lineRule="auto"/>
        <w:ind w:firstLine="420" w:firstLineChars="200"/>
        <w:rPr>
          <w:rFonts w:ascii="宋体" w:hAnsi="宋体"/>
          <w:szCs w:val="21"/>
        </w:rPr>
      </w:pPr>
      <w:r>
        <w:rPr>
          <w:rFonts w:hint="eastAsia" w:ascii="宋体" w:hAnsi="宋体"/>
          <w:szCs w:val="21"/>
        </w:rPr>
        <w:t>2、地点：武汉市东湖新技术开发区关南园一路当代光谷梦工场2号楼1002室或网络邮箱</w:t>
      </w:r>
    </w:p>
    <w:p w14:paraId="1A471C7C">
      <w:pPr>
        <w:spacing w:line="360" w:lineRule="auto"/>
        <w:ind w:firstLine="420" w:firstLineChars="200"/>
        <w:rPr>
          <w:rFonts w:ascii="宋体" w:hAnsi="宋体"/>
          <w:szCs w:val="21"/>
        </w:rPr>
      </w:pPr>
      <w:r>
        <w:rPr>
          <w:rFonts w:hint="eastAsia" w:ascii="宋体" w:hAnsi="宋体"/>
          <w:szCs w:val="21"/>
        </w:rPr>
        <w:t>3、方式：符合资格的供应商应当在获取时间内，通过以下方式获取招标文件。</w:t>
      </w:r>
    </w:p>
    <w:p w14:paraId="351C701A">
      <w:pPr>
        <w:spacing w:line="360" w:lineRule="auto"/>
        <w:ind w:firstLine="420" w:firstLineChars="200"/>
        <w:rPr>
          <w:rFonts w:ascii="宋体" w:hAnsi="宋体"/>
          <w:szCs w:val="21"/>
        </w:rPr>
      </w:pPr>
      <w:r>
        <w:rPr>
          <w:rFonts w:hint="eastAsia" w:ascii="宋体" w:hAnsi="宋体"/>
          <w:szCs w:val="21"/>
        </w:rPr>
        <w:t>方式一：线下</w:t>
      </w:r>
    </w:p>
    <w:p w14:paraId="1F0571FC">
      <w:pPr>
        <w:spacing w:line="360" w:lineRule="auto"/>
        <w:ind w:firstLine="420" w:firstLineChars="200"/>
        <w:rPr>
          <w:rFonts w:ascii="宋体" w:hAnsi="宋体"/>
          <w:szCs w:val="21"/>
        </w:rPr>
      </w:pPr>
      <w:bookmarkStart w:id="5" w:name="OLE_LINK4"/>
      <w:r>
        <w:rPr>
          <w:rFonts w:hint="eastAsia" w:ascii="宋体" w:hAnsi="宋体"/>
          <w:szCs w:val="21"/>
        </w:rPr>
        <w:t>①法定代表人自己领取的，凭法定代表人身份证明书及法定代表人身份证领取。</w:t>
      </w:r>
    </w:p>
    <w:p w14:paraId="2EF29089">
      <w:pPr>
        <w:spacing w:line="360" w:lineRule="auto"/>
        <w:ind w:firstLine="420" w:firstLineChars="200"/>
        <w:rPr>
          <w:rFonts w:ascii="宋体" w:hAnsi="宋体"/>
          <w:szCs w:val="21"/>
        </w:rPr>
      </w:pPr>
      <w:r>
        <w:rPr>
          <w:rFonts w:hint="eastAsia" w:ascii="宋体" w:hAnsi="宋体"/>
          <w:szCs w:val="21"/>
        </w:rPr>
        <w:t>②法定代表人委托他人领取的，凭法定代表人授权书及受托人身份证领取。</w:t>
      </w:r>
    </w:p>
    <w:p w14:paraId="2A9FB641">
      <w:pPr>
        <w:spacing w:line="360" w:lineRule="auto"/>
        <w:ind w:firstLine="420" w:firstLineChars="200"/>
        <w:rPr>
          <w:rFonts w:ascii="宋体" w:hAnsi="宋体"/>
          <w:szCs w:val="21"/>
        </w:rPr>
      </w:pPr>
      <w:r>
        <w:rPr>
          <w:rFonts w:hint="eastAsia" w:ascii="宋体" w:hAnsi="宋体"/>
          <w:szCs w:val="21"/>
        </w:rPr>
        <w:t>③获取文件信息登记表。</w:t>
      </w:r>
      <w:bookmarkEnd w:id="5"/>
    </w:p>
    <w:p w14:paraId="4C1FB753">
      <w:pPr>
        <w:spacing w:line="360" w:lineRule="auto"/>
        <w:ind w:firstLine="420" w:firstLineChars="200"/>
        <w:rPr>
          <w:rFonts w:ascii="宋体" w:hAnsi="宋体"/>
          <w:szCs w:val="21"/>
        </w:rPr>
      </w:pPr>
      <w:r>
        <w:rPr>
          <w:rFonts w:hint="eastAsia" w:ascii="宋体" w:hAnsi="宋体"/>
          <w:szCs w:val="21"/>
        </w:rPr>
        <w:t>以上材料均需加盖公章。</w:t>
      </w:r>
    </w:p>
    <w:p w14:paraId="77C8D194">
      <w:pPr>
        <w:spacing w:line="360" w:lineRule="auto"/>
        <w:ind w:firstLine="420" w:firstLineChars="200"/>
        <w:rPr>
          <w:rFonts w:ascii="宋体" w:hAnsi="宋体"/>
          <w:szCs w:val="21"/>
        </w:rPr>
      </w:pPr>
      <w:r>
        <w:rPr>
          <w:rFonts w:hint="eastAsia" w:ascii="宋体" w:hAnsi="宋体"/>
          <w:szCs w:val="21"/>
        </w:rPr>
        <w:t>方式二：线上</w:t>
      </w:r>
    </w:p>
    <w:p w14:paraId="6E1D0037">
      <w:pPr>
        <w:spacing w:line="360" w:lineRule="auto"/>
        <w:ind w:firstLine="420" w:firstLineChars="200"/>
        <w:rPr>
          <w:rFonts w:ascii="宋体" w:hAnsi="宋体"/>
          <w:szCs w:val="21"/>
        </w:rPr>
      </w:pPr>
      <w:r>
        <w:rPr>
          <w:rFonts w:hint="eastAsia" w:ascii="宋体" w:hAnsi="宋体"/>
          <w:szCs w:val="21"/>
        </w:rPr>
        <w:t>①法定代表人自己领取的，凭法定代表人身份证明书及法定代表人身份证领取。</w:t>
      </w:r>
    </w:p>
    <w:p w14:paraId="699E3C15">
      <w:pPr>
        <w:spacing w:line="360" w:lineRule="auto"/>
        <w:ind w:firstLine="420" w:firstLineChars="200"/>
        <w:rPr>
          <w:rFonts w:ascii="宋体" w:hAnsi="宋体"/>
          <w:szCs w:val="21"/>
        </w:rPr>
      </w:pPr>
      <w:r>
        <w:rPr>
          <w:rFonts w:hint="eastAsia" w:ascii="宋体" w:hAnsi="宋体"/>
          <w:szCs w:val="21"/>
        </w:rPr>
        <w:t>②法定代表人委托他人领取的，凭法定代表人授权书及受托人身份证领取。</w:t>
      </w:r>
    </w:p>
    <w:p w14:paraId="7673E670">
      <w:pPr>
        <w:spacing w:line="360" w:lineRule="auto"/>
        <w:ind w:firstLine="420" w:firstLineChars="200"/>
        <w:rPr>
          <w:rFonts w:ascii="宋体" w:hAnsi="宋体"/>
          <w:szCs w:val="21"/>
        </w:rPr>
      </w:pPr>
      <w:r>
        <w:rPr>
          <w:rFonts w:hint="eastAsia" w:ascii="宋体" w:hAnsi="宋体"/>
          <w:szCs w:val="21"/>
        </w:rPr>
        <w:t>③获取文件信息登记表。</w:t>
      </w:r>
    </w:p>
    <w:p w14:paraId="07551B9B">
      <w:pPr>
        <w:adjustRightInd w:val="0"/>
        <w:spacing w:line="360" w:lineRule="auto"/>
        <w:ind w:firstLine="420" w:firstLineChars="200"/>
        <w:rPr>
          <w:rFonts w:ascii="宋体" w:hAnsi="宋体" w:cs="宋体"/>
          <w:szCs w:val="21"/>
        </w:rPr>
      </w:pPr>
      <w:r>
        <w:rPr>
          <w:rFonts w:hint="eastAsia" w:ascii="宋体" w:hAnsi="宋体"/>
          <w:szCs w:val="21"/>
        </w:rPr>
        <w:t>将加盖公章的以上资料扫描件发送至</w:t>
      </w:r>
      <w:r>
        <w:rPr>
          <w:rFonts w:ascii="宋体" w:hAnsi="宋体"/>
          <w:szCs w:val="21"/>
        </w:rPr>
        <w:t>253243308@qq.com</w:t>
      </w:r>
      <w:r>
        <w:rPr>
          <w:rFonts w:hint="eastAsia" w:ascii="宋体" w:hAnsi="宋体"/>
          <w:szCs w:val="21"/>
        </w:rPr>
        <w:t>邮箱</w:t>
      </w:r>
    </w:p>
    <w:p w14:paraId="6710CC5E">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4、售价：招标文件每包售价500元/包，售后不退。</w:t>
      </w:r>
    </w:p>
    <w:p w14:paraId="0A7D21CC">
      <w:pPr>
        <w:pStyle w:val="3"/>
        <w:shd w:val="clear" w:color="auto" w:fill="FEFEFE"/>
        <w:spacing w:before="0" w:after="0" w:line="360" w:lineRule="auto"/>
        <w:ind w:firstLine="420" w:firstLineChars="200"/>
        <w:rPr>
          <w:rFonts w:ascii="宋体" w:hAnsi="宋体" w:cs="宋体"/>
          <w:sz w:val="21"/>
          <w:szCs w:val="21"/>
        </w:rPr>
      </w:pPr>
      <w:bookmarkStart w:id="6" w:name="_Toc119594478"/>
      <w:r>
        <w:rPr>
          <w:rFonts w:hint="eastAsia" w:ascii="宋体" w:hAnsi="宋体" w:cs="宋体"/>
          <w:sz w:val="21"/>
          <w:szCs w:val="21"/>
        </w:rPr>
        <w:t>四、提交投标文件截止时间、开标时间和地点</w:t>
      </w:r>
      <w:bookmarkEnd w:id="6"/>
    </w:p>
    <w:p w14:paraId="7D8634F2">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提交投标文件截止时间：2026年</w:t>
      </w:r>
      <w:r>
        <w:rPr>
          <w:rFonts w:hint="eastAsia"/>
          <w:sz w:val="21"/>
          <w:szCs w:val="21"/>
          <w:lang w:val="en-US" w:eastAsia="zh-CN"/>
        </w:rPr>
        <w:t>6</w:t>
      </w:r>
      <w:r>
        <w:rPr>
          <w:rFonts w:hint="eastAsia"/>
          <w:sz w:val="21"/>
          <w:szCs w:val="21"/>
        </w:rPr>
        <w:t>月</w:t>
      </w:r>
      <w:r>
        <w:rPr>
          <w:rFonts w:hint="eastAsia"/>
          <w:sz w:val="21"/>
          <w:szCs w:val="21"/>
          <w:lang w:val="en-US" w:eastAsia="zh-CN"/>
        </w:rPr>
        <w:t>25</w:t>
      </w:r>
      <w:r>
        <w:rPr>
          <w:rFonts w:hint="eastAsia"/>
          <w:sz w:val="21"/>
          <w:szCs w:val="21"/>
        </w:rPr>
        <w:t>日</w:t>
      </w:r>
      <w:r>
        <w:rPr>
          <w:sz w:val="21"/>
          <w:szCs w:val="21"/>
        </w:rPr>
        <w:t>9</w:t>
      </w:r>
      <w:r>
        <w:rPr>
          <w:rFonts w:hint="eastAsia"/>
          <w:sz w:val="21"/>
          <w:szCs w:val="21"/>
        </w:rPr>
        <w:t>点30分（北京时间）</w:t>
      </w:r>
    </w:p>
    <w:p w14:paraId="20AA1DB4">
      <w:pPr>
        <w:pStyle w:val="22"/>
        <w:shd w:val="clear" w:color="auto" w:fill="FEFEFE"/>
        <w:spacing w:before="0" w:beforeAutospacing="0" w:after="0" w:afterAutospacing="0" w:line="360" w:lineRule="auto"/>
        <w:ind w:firstLine="420" w:firstLineChars="200"/>
        <w:jc w:val="both"/>
        <w:rPr>
          <w:rFonts w:hint="eastAsia" w:eastAsia="宋体"/>
          <w:sz w:val="21"/>
          <w:szCs w:val="21"/>
          <w:lang w:val="en-US" w:eastAsia="zh-CN"/>
        </w:rPr>
      </w:pPr>
      <w:r>
        <w:rPr>
          <w:rFonts w:hint="eastAsia"/>
          <w:sz w:val="21"/>
          <w:szCs w:val="21"/>
        </w:rPr>
        <w:t>开标时间：2026年</w:t>
      </w:r>
      <w:r>
        <w:rPr>
          <w:rFonts w:hint="eastAsia"/>
          <w:sz w:val="21"/>
          <w:szCs w:val="21"/>
          <w:lang w:val="en-US" w:eastAsia="zh-CN"/>
        </w:rPr>
        <w:t>6</w:t>
      </w:r>
      <w:r>
        <w:rPr>
          <w:rFonts w:hint="eastAsia"/>
          <w:sz w:val="21"/>
          <w:szCs w:val="21"/>
        </w:rPr>
        <w:t>月</w:t>
      </w:r>
      <w:r>
        <w:rPr>
          <w:rFonts w:hint="eastAsia"/>
          <w:sz w:val="21"/>
          <w:szCs w:val="21"/>
          <w:lang w:val="en-US" w:eastAsia="zh-CN"/>
        </w:rPr>
        <w:t>25</w:t>
      </w:r>
      <w:r>
        <w:rPr>
          <w:rFonts w:hint="eastAsia"/>
          <w:sz w:val="21"/>
          <w:szCs w:val="21"/>
        </w:rPr>
        <w:t>日</w:t>
      </w:r>
      <w:r>
        <w:rPr>
          <w:sz w:val="21"/>
          <w:szCs w:val="21"/>
        </w:rPr>
        <w:t>9</w:t>
      </w:r>
      <w:r>
        <w:rPr>
          <w:rFonts w:hint="eastAsia"/>
          <w:sz w:val="21"/>
          <w:szCs w:val="21"/>
        </w:rPr>
        <w:t>点30分（北京时间）</w:t>
      </w:r>
      <w:bookmarkStart w:id="130" w:name="_GoBack"/>
      <w:bookmarkEnd w:id="130"/>
    </w:p>
    <w:p w14:paraId="39424A8C">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地点：武汉市东湖新技术开发区关南园一路当代光谷梦工场2号楼1003室</w:t>
      </w:r>
    </w:p>
    <w:p w14:paraId="3F32B3A0">
      <w:pPr>
        <w:pStyle w:val="3"/>
        <w:shd w:val="clear" w:color="auto" w:fill="FEFEFE"/>
        <w:spacing w:before="0" w:after="0" w:line="360" w:lineRule="auto"/>
        <w:ind w:firstLine="420" w:firstLineChars="200"/>
        <w:rPr>
          <w:rFonts w:ascii="宋体" w:hAnsi="宋体" w:cs="宋体"/>
          <w:sz w:val="21"/>
          <w:szCs w:val="21"/>
        </w:rPr>
      </w:pPr>
      <w:bookmarkStart w:id="7" w:name="_Toc119594479"/>
      <w:r>
        <w:rPr>
          <w:rFonts w:hint="eastAsia" w:ascii="宋体" w:hAnsi="宋体" w:cs="宋体"/>
          <w:sz w:val="21"/>
          <w:szCs w:val="21"/>
        </w:rPr>
        <w:t>五、公告期限</w:t>
      </w:r>
      <w:bookmarkEnd w:id="7"/>
    </w:p>
    <w:p w14:paraId="1721E801">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自本公告发布之日起5个工作日。</w:t>
      </w:r>
    </w:p>
    <w:p w14:paraId="0ACE30E7">
      <w:pPr>
        <w:pStyle w:val="3"/>
        <w:shd w:val="clear" w:color="auto" w:fill="FEFEFE"/>
        <w:spacing w:before="0" w:after="0" w:line="360" w:lineRule="auto"/>
        <w:ind w:firstLine="420" w:firstLineChars="200"/>
        <w:rPr>
          <w:rFonts w:ascii="宋体" w:hAnsi="宋体" w:cs="宋体"/>
          <w:sz w:val="21"/>
          <w:szCs w:val="21"/>
        </w:rPr>
      </w:pPr>
      <w:bookmarkStart w:id="8" w:name="_Toc119594480"/>
      <w:r>
        <w:rPr>
          <w:rFonts w:hint="eastAsia" w:ascii="宋体" w:hAnsi="宋体" w:cs="宋体"/>
          <w:sz w:val="21"/>
          <w:szCs w:val="21"/>
        </w:rPr>
        <w:t>六、其他补充事宜</w:t>
      </w:r>
      <w:bookmarkEnd w:id="8"/>
    </w:p>
    <w:p w14:paraId="2336CCC9">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1.本项目将在《中国政府采购网》（http://www.ccgp.gov.cn/）、《武汉理工大学采购与招标管理办公室网站》（网址：http://cgyztb.whut.edu.cn/）上发布所有信息，请参加本项目投标人密切关注。</w:t>
      </w:r>
    </w:p>
    <w:p w14:paraId="085AFDB6">
      <w:pPr>
        <w:pStyle w:val="22"/>
        <w:shd w:val="clear" w:color="auto" w:fill="FEFEFE"/>
        <w:spacing w:before="0" w:beforeAutospacing="0" w:after="0" w:afterAutospacing="0" w:line="360" w:lineRule="auto"/>
        <w:ind w:firstLine="420" w:firstLineChars="200"/>
        <w:jc w:val="both"/>
        <w:rPr>
          <w:sz w:val="21"/>
          <w:szCs w:val="21"/>
          <w:highlight w:val="green"/>
        </w:rPr>
      </w:pPr>
      <w:r>
        <w:rPr>
          <w:rFonts w:hint="eastAsia"/>
          <w:sz w:val="21"/>
          <w:szCs w:val="21"/>
        </w:rPr>
        <w:t>2.</w:t>
      </w:r>
      <w:r>
        <w:rPr>
          <w:rFonts w:hint="eastAsia"/>
        </w:rPr>
        <w:t xml:space="preserve"> </w:t>
      </w:r>
      <w:r>
        <w:rPr>
          <w:rFonts w:hint="eastAsia"/>
          <w:sz w:val="21"/>
          <w:szCs w:val="21"/>
        </w:rPr>
        <w:t>政府采购相关政策执行：落实政府采购强制、优先采购节能产品政策；政府采购优先采购环保产品政策；政府采购促进中小企业发展（监狱企业、残疾人福利性单位视同小微企业）；支持本国产品等政策。</w:t>
      </w:r>
    </w:p>
    <w:p w14:paraId="25C3D58F">
      <w:pPr>
        <w:pStyle w:val="3"/>
        <w:shd w:val="clear" w:color="auto" w:fill="FEFEFE"/>
        <w:spacing w:before="0" w:after="0" w:line="360" w:lineRule="auto"/>
        <w:ind w:firstLine="420" w:firstLineChars="200"/>
        <w:rPr>
          <w:rFonts w:ascii="宋体" w:hAnsi="宋体" w:cs="宋体"/>
          <w:sz w:val="21"/>
          <w:szCs w:val="21"/>
        </w:rPr>
      </w:pPr>
      <w:bookmarkStart w:id="9" w:name="_Toc119594481"/>
      <w:r>
        <w:rPr>
          <w:rFonts w:hint="eastAsia" w:ascii="宋体" w:hAnsi="宋体" w:cs="宋体"/>
          <w:sz w:val="21"/>
          <w:szCs w:val="21"/>
        </w:rPr>
        <w:t>七、对本次招标提出询问，请按以下方式联系。</w:t>
      </w:r>
      <w:bookmarkEnd w:id="9"/>
    </w:p>
    <w:p w14:paraId="64E48964">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1.采购人信息</w:t>
      </w:r>
    </w:p>
    <w:p w14:paraId="2E77B53E">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名    称：武汉理工大学</w:t>
      </w:r>
    </w:p>
    <w:p w14:paraId="4170E54A">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地    址：洪山区珞狮南路1</w:t>
      </w:r>
      <w:r>
        <w:rPr>
          <w:sz w:val="21"/>
          <w:szCs w:val="21"/>
        </w:rPr>
        <w:t>22</w:t>
      </w:r>
      <w:r>
        <w:rPr>
          <w:rFonts w:hint="eastAsia"/>
          <w:sz w:val="21"/>
          <w:szCs w:val="21"/>
        </w:rPr>
        <w:t>号</w:t>
      </w:r>
    </w:p>
    <w:p w14:paraId="23191297">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 xml:space="preserve">联系方式：皮老师 </w:t>
      </w:r>
      <w:r>
        <w:rPr>
          <w:sz w:val="21"/>
          <w:szCs w:val="21"/>
        </w:rPr>
        <w:t>027-87285928</w:t>
      </w:r>
    </w:p>
    <w:p w14:paraId="77764EFE">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2.采购代理机构信息</w:t>
      </w:r>
    </w:p>
    <w:p w14:paraId="10C15505">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名    称：武汉汇哲招标代理有限公司</w:t>
      </w:r>
    </w:p>
    <w:p w14:paraId="63E76646">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地    址：武汉市东湖新技术开发区关南园一路当代光谷梦工场2号楼1002</w:t>
      </w:r>
    </w:p>
    <w:p w14:paraId="3F4B73E1">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联系方式：谌俊豪、李慧、刘雨含、凌一方、王野、汪超 027-87002343</w:t>
      </w:r>
    </w:p>
    <w:p w14:paraId="4CA96085">
      <w:pPr>
        <w:pStyle w:val="22"/>
        <w:shd w:val="clear" w:color="auto" w:fill="FEFEFE"/>
        <w:spacing w:before="0" w:beforeAutospacing="0" w:after="0" w:afterAutospacing="0" w:line="360" w:lineRule="auto"/>
        <w:ind w:firstLine="420" w:firstLineChars="200"/>
        <w:rPr>
          <w:sz w:val="21"/>
          <w:szCs w:val="21"/>
        </w:rPr>
      </w:pPr>
      <w:r>
        <w:rPr>
          <w:rFonts w:hint="eastAsia"/>
          <w:sz w:val="21"/>
          <w:szCs w:val="21"/>
        </w:rPr>
        <w:t>3.项目联系方式</w:t>
      </w:r>
    </w:p>
    <w:p w14:paraId="18E8A9BB">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项目联系人：谌俊豪、李慧、刘雨含、凌一方、王野、汪超</w:t>
      </w:r>
    </w:p>
    <w:p w14:paraId="32BD29D5">
      <w:pPr>
        <w:pStyle w:val="22"/>
        <w:shd w:val="clear" w:color="auto" w:fill="FEFEFE"/>
        <w:spacing w:before="0" w:beforeAutospacing="0" w:after="0" w:afterAutospacing="0" w:line="360" w:lineRule="auto"/>
        <w:ind w:firstLine="420" w:firstLineChars="200"/>
        <w:jc w:val="both"/>
        <w:rPr>
          <w:sz w:val="21"/>
          <w:szCs w:val="21"/>
        </w:rPr>
      </w:pPr>
      <w:r>
        <w:rPr>
          <w:rFonts w:hint="eastAsia"/>
          <w:sz w:val="21"/>
          <w:szCs w:val="21"/>
        </w:rPr>
        <w:t>电      话：</w:t>
      </w:r>
      <w:r>
        <w:rPr>
          <w:sz w:val="21"/>
          <w:szCs w:val="21"/>
        </w:rPr>
        <w:t>027-87002343</w:t>
      </w:r>
    </w:p>
    <w:p w14:paraId="1C50BE9D">
      <w:pPr>
        <w:tabs>
          <w:tab w:val="left" w:pos="993"/>
        </w:tabs>
        <w:spacing w:line="300" w:lineRule="auto"/>
        <w:jc w:val="center"/>
        <w:outlineLvl w:val="0"/>
        <w:rPr>
          <w:rFonts w:ascii="黑体" w:hAnsi="黑体" w:eastAsia="黑体"/>
          <w:sz w:val="28"/>
          <w:szCs w:val="28"/>
        </w:rPr>
      </w:pPr>
      <w:r>
        <w:rPr>
          <w:rFonts w:hint="eastAsia"/>
          <w:szCs w:val="21"/>
        </w:rPr>
        <w:br w:type="page"/>
      </w:r>
      <w:bookmarkStart w:id="10" w:name="_Toc97814995"/>
      <w:r>
        <w:rPr>
          <w:rFonts w:hint="eastAsia" w:ascii="黑体" w:hAnsi="黑体" w:eastAsia="黑体"/>
          <w:sz w:val="28"/>
          <w:szCs w:val="28"/>
        </w:rPr>
        <w:t>第二章 投标人须知</w:t>
      </w:r>
      <w:bookmarkEnd w:id="10"/>
    </w:p>
    <w:p w14:paraId="60AD4BF9">
      <w:pPr>
        <w:keepNext/>
        <w:keepLines/>
        <w:spacing w:line="276" w:lineRule="auto"/>
        <w:ind w:firstLine="420" w:firstLineChars="200"/>
        <w:rPr>
          <w:rFonts w:ascii="宋体" w:hAnsi="宋体"/>
          <w:b/>
          <w:bCs/>
          <w:szCs w:val="21"/>
          <w:lang w:val="zh-CN"/>
        </w:rPr>
      </w:pPr>
      <w:bookmarkStart w:id="11" w:name="_Toc494561937"/>
      <w:r>
        <w:rPr>
          <w:rFonts w:hint="eastAsia" w:ascii="宋体" w:cs="宋体"/>
          <w:bCs/>
          <w:color w:val="000000"/>
          <w:szCs w:val="21"/>
        </w:rPr>
        <w:t>投标人应仔细阅读本《投标人须知前附表》，下表所列内容是对“投标人须知”的具体补充和说明。如有矛盾，应以本表为准。</w:t>
      </w:r>
    </w:p>
    <w:p w14:paraId="73487F79">
      <w:pPr>
        <w:keepNext/>
        <w:keepLines/>
        <w:spacing w:line="276" w:lineRule="auto"/>
        <w:jc w:val="center"/>
        <w:outlineLvl w:val="1"/>
        <w:rPr>
          <w:rFonts w:ascii="宋体" w:hAnsi="宋体"/>
          <w:b/>
          <w:bCs/>
          <w:szCs w:val="21"/>
          <w:lang w:val="zh-CN"/>
        </w:rPr>
      </w:pPr>
      <w:bookmarkStart w:id="12" w:name="_Toc97814996"/>
      <w:r>
        <w:rPr>
          <w:rFonts w:hint="eastAsia" w:ascii="宋体" w:hAnsi="宋体"/>
          <w:b/>
          <w:bCs/>
          <w:szCs w:val="21"/>
          <w:lang w:val="zh-CN"/>
        </w:rPr>
        <w:t>投标人须知前附表</w:t>
      </w:r>
      <w:bookmarkEnd w:id="11"/>
      <w:bookmarkEnd w:id="12"/>
    </w:p>
    <w:tbl>
      <w:tblPr>
        <w:tblStyle w:val="26"/>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14:paraId="56D5B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F4F3400">
            <w:pPr>
              <w:tabs>
                <w:tab w:val="left" w:pos="130"/>
              </w:tabs>
              <w:adjustRightInd w:val="0"/>
              <w:snapToGrid w:val="0"/>
              <w:spacing w:line="320" w:lineRule="exact"/>
              <w:ind w:right="57"/>
              <w:jc w:val="center"/>
              <w:rPr>
                <w:rFonts w:ascii="宋体" w:hAnsi="宋体"/>
                <w:b/>
                <w:szCs w:val="21"/>
              </w:rPr>
            </w:pPr>
            <w:bookmarkStart w:id="13" w:name="_Toc494561938"/>
            <w:r>
              <w:rPr>
                <w:rFonts w:hint="eastAsia" w:ascii="宋体" w:hAnsi="宋体"/>
                <w:b/>
                <w:spacing w:val="1"/>
                <w:w w:val="83"/>
                <w:kern w:val="0"/>
                <w:szCs w:val="21"/>
                <w:fitText w:val="528" w:id="298914350"/>
              </w:rPr>
              <w:t>条款</w:t>
            </w:r>
            <w:r>
              <w:rPr>
                <w:rFonts w:hint="eastAsia" w:ascii="宋体" w:hAnsi="宋体"/>
                <w:b/>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14:paraId="5C8AC555">
            <w:pPr>
              <w:adjustRightInd w:val="0"/>
              <w:snapToGrid w:val="0"/>
              <w:spacing w:line="320" w:lineRule="exact"/>
              <w:ind w:right="-11"/>
              <w:jc w:val="center"/>
              <w:rPr>
                <w:rFonts w:ascii="宋体" w:hAnsi="宋体"/>
                <w:b/>
                <w:szCs w:val="21"/>
              </w:rPr>
            </w:pPr>
            <w:r>
              <w:rPr>
                <w:rFonts w:hint="eastAsia" w:ascii="宋体" w:hAnsi="宋体"/>
                <w:b/>
                <w:szCs w:val="21"/>
              </w:rPr>
              <w:t>名  称</w:t>
            </w:r>
          </w:p>
        </w:tc>
        <w:tc>
          <w:tcPr>
            <w:tcW w:w="6958" w:type="dxa"/>
            <w:tcBorders>
              <w:top w:val="single" w:color="auto" w:sz="4" w:space="0"/>
              <w:left w:val="single" w:color="auto" w:sz="4" w:space="0"/>
              <w:bottom w:val="single" w:color="auto" w:sz="4" w:space="0"/>
              <w:right w:val="single" w:color="auto" w:sz="4" w:space="0"/>
            </w:tcBorders>
            <w:vAlign w:val="center"/>
          </w:tcPr>
          <w:p w14:paraId="52C125D8">
            <w:pPr>
              <w:adjustRightInd w:val="0"/>
              <w:snapToGrid w:val="0"/>
              <w:spacing w:line="320" w:lineRule="exact"/>
              <w:ind w:left="57" w:right="57" w:firstLine="422" w:firstLineChars="201"/>
              <w:jc w:val="center"/>
              <w:rPr>
                <w:rFonts w:ascii="宋体" w:hAnsi="宋体"/>
                <w:b/>
                <w:szCs w:val="21"/>
              </w:rPr>
            </w:pPr>
            <w:r>
              <w:rPr>
                <w:rFonts w:hint="eastAsia" w:ascii="宋体" w:hAnsi="宋体"/>
                <w:b/>
                <w:szCs w:val="21"/>
              </w:rPr>
              <w:t>内           容</w:t>
            </w:r>
          </w:p>
        </w:tc>
      </w:tr>
      <w:tr w14:paraId="786C51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F373D13">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14:paraId="652EED1F">
            <w:pPr>
              <w:adjustRightInd w:val="0"/>
              <w:snapToGrid w:val="0"/>
              <w:spacing w:line="320" w:lineRule="exact"/>
              <w:jc w:val="center"/>
              <w:rPr>
                <w:rFonts w:ascii="宋体" w:hAnsi="宋体" w:cs="宋体"/>
                <w:szCs w:val="21"/>
              </w:rPr>
            </w:pPr>
            <w:r>
              <w:rPr>
                <w:rFonts w:hint="eastAsia" w:ascii="宋体" w:hAnsi="宋体" w:cs="宋体"/>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14:paraId="544BBBB1">
            <w:pPr>
              <w:adjustRightInd w:val="0"/>
              <w:snapToGrid w:val="0"/>
              <w:spacing w:line="320" w:lineRule="exact"/>
              <w:rPr>
                <w:rFonts w:ascii="宋体" w:hAnsi="宋体" w:cs="宋体"/>
                <w:kern w:val="0"/>
                <w:szCs w:val="21"/>
              </w:rPr>
            </w:pPr>
            <w:r>
              <w:rPr>
                <w:rFonts w:hint="eastAsia"/>
              </w:rPr>
              <w:t>武汉理工大学</w:t>
            </w:r>
          </w:p>
        </w:tc>
      </w:tr>
      <w:tr w14:paraId="3C77E1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E86A55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14:paraId="3E82546C">
            <w:pPr>
              <w:adjustRightInd w:val="0"/>
              <w:snapToGrid w:val="0"/>
              <w:spacing w:line="320" w:lineRule="exact"/>
              <w:jc w:val="center"/>
              <w:rPr>
                <w:rFonts w:ascii="宋体" w:hAnsi="宋体" w:cs="宋体"/>
                <w:szCs w:val="21"/>
              </w:rPr>
            </w:pPr>
            <w:r>
              <w:rPr>
                <w:rFonts w:hint="eastAsia" w:ascii="宋体" w:hAnsi="宋体" w:cs="宋体"/>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14:paraId="28ED8E46">
            <w:pPr>
              <w:adjustRightInd w:val="0"/>
              <w:snapToGrid w:val="0"/>
              <w:spacing w:line="320" w:lineRule="exact"/>
              <w:rPr>
                <w:rFonts w:ascii="宋体" w:hAnsi="宋体" w:cs="宋体"/>
                <w:szCs w:val="21"/>
              </w:rPr>
            </w:pPr>
            <w:r>
              <w:rPr>
                <w:rFonts w:hint="eastAsia" w:ascii="宋体" w:hAnsi="宋体"/>
                <w:szCs w:val="21"/>
              </w:rPr>
              <w:t>财政部</w:t>
            </w:r>
          </w:p>
        </w:tc>
      </w:tr>
      <w:tr w14:paraId="712FB21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E12F60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14:paraId="1875D838">
            <w:pPr>
              <w:adjustRightInd w:val="0"/>
              <w:snapToGrid w:val="0"/>
              <w:spacing w:line="320" w:lineRule="exact"/>
              <w:jc w:val="center"/>
              <w:rPr>
                <w:rFonts w:ascii="宋体" w:hAnsi="宋体" w:cs="宋体"/>
                <w:szCs w:val="21"/>
              </w:rPr>
            </w:pPr>
            <w:r>
              <w:rPr>
                <w:rFonts w:hint="eastAsia" w:ascii="宋体" w:hAnsi="宋体" w:cs="宋体"/>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14:paraId="7BF4961C">
            <w:pPr>
              <w:adjustRightInd w:val="0"/>
              <w:snapToGrid w:val="0"/>
              <w:spacing w:line="320" w:lineRule="exact"/>
              <w:rPr>
                <w:rFonts w:ascii="宋体" w:hAnsi="宋体" w:cs="宋体"/>
                <w:szCs w:val="21"/>
                <w:u w:val="single"/>
              </w:rPr>
            </w:pPr>
            <w:r>
              <w:rPr>
                <w:rFonts w:hint="eastAsia" w:ascii="宋体" w:hAnsi="宋体" w:cs="宋体"/>
                <w:szCs w:val="21"/>
              </w:rPr>
              <w:t>武汉汇哲招标代理有限公司</w:t>
            </w:r>
          </w:p>
        </w:tc>
      </w:tr>
      <w:tr w14:paraId="7F06BF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DD041B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14:paraId="49762B8D">
            <w:pPr>
              <w:adjustRightInd w:val="0"/>
              <w:snapToGrid w:val="0"/>
              <w:spacing w:line="320" w:lineRule="exact"/>
              <w:jc w:val="center"/>
              <w:rPr>
                <w:rFonts w:ascii="宋体" w:hAnsi="宋体"/>
                <w:color w:val="FF0000"/>
                <w:szCs w:val="21"/>
              </w:rPr>
            </w:pPr>
            <w:r>
              <w:rPr>
                <w:rFonts w:hint="eastAsia" w:ascii="宋体" w:hAnsi="宋体" w:cs="宋体"/>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14:paraId="557195CA">
            <w:pPr>
              <w:spacing w:line="320" w:lineRule="exact"/>
              <w:rPr>
                <w:rFonts w:ascii="宋体" w:hAnsi="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不接受</w:t>
            </w:r>
          </w:p>
          <w:p w14:paraId="018C50DC">
            <w:pPr>
              <w:spacing w:line="320" w:lineRule="exact"/>
              <w:rPr>
                <w:rFonts w:ascii="宋体" w:hAnsi="宋体" w:cs="宋体"/>
                <w:szCs w:val="21"/>
                <w:u w:val="single"/>
              </w:rPr>
            </w:pPr>
            <w:r>
              <w:rPr>
                <w:rFonts w:ascii="Wingdings 2" w:hAnsi="Wingdings 2"/>
                <w:szCs w:val="21"/>
              </w:rPr>
              <w:t></w:t>
            </w:r>
            <w:r>
              <w:rPr>
                <w:rFonts w:hint="eastAsia" w:ascii="宋体" w:hAnsi="宋体"/>
                <w:szCs w:val="21"/>
              </w:rPr>
              <w:t>接受，接受进口的产品为：</w:t>
            </w:r>
            <w:r>
              <w:rPr>
                <w:rFonts w:hint="eastAsia" w:ascii="宋体" w:hAnsi="宋体" w:cs="宋体"/>
                <w:szCs w:val="21"/>
                <w:u w:val="single"/>
              </w:rPr>
              <w:t xml:space="preserve">   </w:t>
            </w:r>
          </w:p>
        </w:tc>
      </w:tr>
      <w:tr w14:paraId="09CF2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726D4C">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2.9</w:t>
            </w:r>
          </w:p>
        </w:tc>
        <w:tc>
          <w:tcPr>
            <w:tcW w:w="1530" w:type="dxa"/>
            <w:tcBorders>
              <w:top w:val="single" w:color="auto" w:sz="4" w:space="0"/>
              <w:left w:val="single" w:color="auto" w:sz="4" w:space="0"/>
              <w:bottom w:val="single" w:color="auto" w:sz="4" w:space="0"/>
              <w:right w:val="single" w:color="auto" w:sz="4" w:space="0"/>
            </w:tcBorders>
            <w:vAlign w:val="center"/>
          </w:tcPr>
          <w:p w14:paraId="3FD7A286">
            <w:pPr>
              <w:adjustRightInd w:val="0"/>
              <w:snapToGrid w:val="0"/>
              <w:spacing w:line="320" w:lineRule="exact"/>
              <w:jc w:val="center"/>
              <w:rPr>
                <w:rFonts w:ascii="宋体" w:hAnsi="宋体" w:cs="宋体"/>
                <w:szCs w:val="21"/>
              </w:rPr>
            </w:pPr>
            <w:r>
              <w:rPr>
                <w:rFonts w:hint="eastAsia" w:ascii="宋体" w:hAnsi="宋体" w:cs="宋体"/>
                <w:szCs w:val="21"/>
              </w:rPr>
              <w:t>支持本国产品</w:t>
            </w:r>
          </w:p>
        </w:tc>
        <w:tc>
          <w:tcPr>
            <w:tcW w:w="6958" w:type="dxa"/>
            <w:tcBorders>
              <w:top w:val="single" w:color="auto" w:sz="4" w:space="0"/>
              <w:left w:val="single" w:color="auto" w:sz="4" w:space="0"/>
              <w:bottom w:val="single" w:color="auto" w:sz="4" w:space="0"/>
              <w:right w:val="single" w:color="auto" w:sz="4" w:space="0"/>
            </w:tcBorders>
            <w:vAlign w:val="center"/>
          </w:tcPr>
          <w:p w14:paraId="3C9DA950">
            <w:pPr>
              <w:widowControl/>
              <w:spacing w:before="15" w:beforeLines="5" w:after="15" w:afterLines="5"/>
              <w:rPr>
                <w:rFonts w:ascii="宋体" w:hAnsi="宋体" w:cs="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cs="宋体"/>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82C512">
            <w:pPr>
              <w:spacing w:line="320" w:lineRule="exact"/>
              <w:rPr>
                <w:szCs w:val="21"/>
              </w:rPr>
            </w:pPr>
            <w:r>
              <w:rPr>
                <w:rFonts w:hint="eastAsia" w:ascii="宋体" w:hAnsi="宋体" w:cs="宋体"/>
                <w:szCs w:val="21"/>
              </w:rPr>
              <w:sym w:font="Wingdings 2" w:char="00A3"/>
            </w:r>
            <w:r>
              <w:rPr>
                <w:rFonts w:hint="eastAsia" w:ascii="宋体" w:hAnsi="宋体" w:cs="宋体"/>
                <w:szCs w:val="21"/>
              </w:rPr>
              <w:t>不适用</w:t>
            </w:r>
          </w:p>
        </w:tc>
      </w:tr>
      <w:tr w14:paraId="4B83CF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0F3E25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673F9D57">
            <w:pPr>
              <w:adjustRightInd w:val="0"/>
              <w:snapToGrid w:val="0"/>
              <w:spacing w:line="320" w:lineRule="exact"/>
              <w:jc w:val="center"/>
              <w:rPr>
                <w:rFonts w:ascii="宋体" w:hAnsi="宋体"/>
                <w:color w:val="0D0D0D"/>
                <w:szCs w:val="21"/>
              </w:rPr>
            </w:pPr>
            <w:r>
              <w:rPr>
                <w:rFonts w:hint="eastAsia" w:ascii="宋体" w:hAnsi="宋体"/>
                <w:color w:val="0D0D0D"/>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14:paraId="0E83FC1C">
            <w:pPr>
              <w:adjustRightInd w:val="0"/>
              <w:snapToGrid w:val="0"/>
              <w:spacing w:line="320" w:lineRule="exact"/>
              <w:jc w:val="left"/>
              <w:rPr>
                <w:rFonts w:ascii="宋体" w:hAnsi="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货物</w:t>
            </w:r>
          </w:p>
          <w:p w14:paraId="786B680E">
            <w:pPr>
              <w:adjustRightInd w:val="0"/>
              <w:snapToGrid w:val="0"/>
              <w:spacing w:line="320" w:lineRule="exact"/>
              <w:jc w:val="left"/>
              <w:rPr>
                <w:rFonts w:ascii="宋体" w:hAnsi="宋体"/>
                <w:szCs w:val="21"/>
                <w:u w:val="single"/>
              </w:rPr>
            </w:pPr>
            <w:r>
              <w:rPr>
                <w:rFonts w:ascii="Wingdings 2" w:hAnsi="Wingdings 2"/>
                <w:szCs w:val="21"/>
              </w:rPr>
              <w:t></w:t>
            </w:r>
            <w:r>
              <w:rPr>
                <w:rFonts w:hint="eastAsia" w:ascii="宋体" w:hAnsi="宋体"/>
                <w:szCs w:val="21"/>
              </w:rPr>
              <w:t>服务</w:t>
            </w:r>
          </w:p>
        </w:tc>
      </w:tr>
      <w:tr w14:paraId="26C6E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ABD645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14:paraId="6EBFC9A1">
            <w:pPr>
              <w:adjustRightInd w:val="0"/>
              <w:snapToGrid w:val="0"/>
              <w:spacing w:line="320" w:lineRule="exact"/>
              <w:jc w:val="center"/>
              <w:rPr>
                <w:rFonts w:ascii="宋体" w:hAnsi="宋体"/>
                <w:szCs w:val="21"/>
              </w:rPr>
            </w:pPr>
            <w:r>
              <w:rPr>
                <w:rFonts w:hint="eastAsia" w:ascii="宋体" w:hAnsi="宋体" w:cs="宋体"/>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14:paraId="4EA705C5">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参照原计价格[2002]1980 号文、发改办价格[2003]857 号文及发改价格[2011]534 号文有关规定标准的85%（不足4000元，按4000元收取），由中标人向采购代理机构支付代理服务费。</w:t>
            </w:r>
          </w:p>
          <w:p w14:paraId="78954023">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招标代理服务费由中标人在领取中标通知书的同时向采购代理机构支付，并同时领取发票。</w:t>
            </w:r>
          </w:p>
          <w:p w14:paraId="10CA7C4C">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采购代理机构银行账户信息：</w:t>
            </w:r>
          </w:p>
          <w:p w14:paraId="2CF4C640">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户  名：武汉汇哲招标代理有限公司</w:t>
            </w:r>
          </w:p>
          <w:p w14:paraId="456650B4">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开户行：兴业银行武汉东湖高新科技支行</w:t>
            </w:r>
          </w:p>
          <w:p w14:paraId="098B5719">
            <w:pPr>
              <w:adjustRightInd w:val="0"/>
              <w:snapToGrid w:val="0"/>
              <w:spacing w:line="320" w:lineRule="exact"/>
              <w:ind w:firstLine="420" w:firstLineChars="200"/>
              <w:rPr>
                <w:rFonts w:ascii="宋体" w:hAnsi="宋体" w:cs="宋体"/>
                <w:szCs w:val="21"/>
                <w:u w:val="single"/>
                <w:lang w:val="zh-CN"/>
              </w:rPr>
            </w:pPr>
            <w:r>
              <w:rPr>
                <w:rFonts w:hint="eastAsia" w:ascii="宋体" w:hAnsi="宋体" w:cs="宋体"/>
                <w:szCs w:val="21"/>
                <w:lang w:val="zh-CN"/>
              </w:rPr>
              <w:t>账  号：416180100100038185</w:t>
            </w:r>
          </w:p>
          <w:p w14:paraId="419907A3">
            <w:pPr>
              <w:adjustRightInd w:val="0"/>
              <w:snapToGrid w:val="0"/>
              <w:spacing w:line="320" w:lineRule="exact"/>
              <w:ind w:firstLine="420" w:firstLineChars="200"/>
              <w:rPr>
                <w:rFonts w:ascii="宋体" w:hAnsi="宋体" w:cs="宋体"/>
                <w:kern w:val="0"/>
                <w:szCs w:val="21"/>
              </w:rPr>
            </w:pPr>
            <w:r>
              <w:rPr>
                <w:rFonts w:hint="eastAsia" w:ascii="宋体" w:hAnsi="宋体" w:cs="宋体"/>
                <w:szCs w:val="21"/>
                <w:lang w:val="zh-CN"/>
              </w:rPr>
              <w:t>其他</w:t>
            </w:r>
            <w:r>
              <w:rPr>
                <w:rFonts w:hint="eastAsia" w:ascii="宋体" w:hAnsi="宋体"/>
                <w:szCs w:val="21"/>
                <w:lang w:val="zh-CN"/>
              </w:rPr>
              <w:t>事项：中标人开具代理服务费发票时需提供以下开票信息：1）开票单位全称、2）纳税人识别号（或统一社会信用代码）、3）营业执照地址、4）单位联系电话、5）开户行及账号。</w:t>
            </w:r>
          </w:p>
        </w:tc>
      </w:tr>
      <w:tr w14:paraId="7B570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6F917C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6.</w:t>
            </w:r>
            <w:r>
              <w:rPr>
                <w:rFonts w:ascii="宋体" w:hAnsi="宋体"/>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14:paraId="0D127761">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14:paraId="187A734C">
            <w:pPr>
              <w:adjustRightInd w:val="0"/>
              <w:snapToGrid w:val="0"/>
              <w:spacing w:line="320" w:lineRule="exact"/>
              <w:rPr>
                <w:rFonts w:ascii="宋体" w:hAnsi="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不召开</w:t>
            </w:r>
          </w:p>
          <w:p w14:paraId="2CA5E0C9">
            <w:pPr>
              <w:adjustRightInd w:val="0"/>
              <w:snapToGrid w:val="0"/>
              <w:spacing w:line="320" w:lineRule="exact"/>
              <w:rPr>
                <w:rFonts w:ascii="宋体" w:hAnsi="宋体" w:cs="Arial"/>
                <w:szCs w:val="21"/>
              </w:rPr>
            </w:pPr>
            <w:r>
              <w:rPr>
                <w:rFonts w:ascii="Wingdings 2" w:hAnsi="Wingdings 2" w:cs="Arial"/>
                <w:szCs w:val="21"/>
              </w:rPr>
              <w:t></w:t>
            </w:r>
            <w:r>
              <w:rPr>
                <w:rFonts w:hint="eastAsia" w:ascii="宋体" w:hAnsi="宋体" w:cs="Arial"/>
                <w:szCs w:val="21"/>
              </w:rPr>
              <w:t>召开，召开时间：</w:t>
            </w:r>
          </w:p>
          <w:p w14:paraId="72AD3F01">
            <w:pPr>
              <w:spacing w:line="320" w:lineRule="exact"/>
              <w:ind w:firstLine="840" w:firstLineChars="400"/>
              <w:rPr>
                <w:rFonts w:ascii="宋体" w:hAnsi="宋体"/>
                <w:szCs w:val="21"/>
                <w:u w:val="single"/>
                <w:lang w:val="zh-CN"/>
              </w:rPr>
            </w:pPr>
            <w:r>
              <w:rPr>
                <w:rFonts w:hint="eastAsia" w:ascii="宋体" w:hAnsi="宋体" w:cs="Arial"/>
                <w:szCs w:val="21"/>
              </w:rPr>
              <w:t>召开地点：</w:t>
            </w:r>
          </w:p>
        </w:tc>
      </w:tr>
      <w:tr w14:paraId="117B6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5C90967">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14:paraId="1C7AA1E4">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14:paraId="27A169C4">
            <w:pPr>
              <w:spacing w:line="320" w:lineRule="exact"/>
              <w:rPr>
                <w:rFonts w:ascii="宋体" w:hAnsi="宋体" w:cs="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不</w:t>
            </w:r>
            <w:r>
              <w:rPr>
                <w:rFonts w:hint="eastAsia" w:ascii="宋体" w:hAnsi="宋体" w:cs="宋体"/>
                <w:szCs w:val="21"/>
              </w:rPr>
              <w:t>集中组织</w:t>
            </w:r>
          </w:p>
          <w:p w14:paraId="7663580B">
            <w:pPr>
              <w:spacing w:line="320" w:lineRule="exact"/>
              <w:rPr>
                <w:rFonts w:ascii="宋体" w:hAnsi="宋体" w:cs="Arial"/>
                <w:szCs w:val="21"/>
              </w:rPr>
            </w:pPr>
            <w:r>
              <w:rPr>
                <w:rFonts w:ascii="Wingdings 2" w:hAnsi="Wingdings 2" w:cs="宋体"/>
                <w:szCs w:val="21"/>
              </w:rPr>
              <w:t></w:t>
            </w:r>
            <w:r>
              <w:rPr>
                <w:rFonts w:hint="eastAsia" w:ascii="宋体" w:hAnsi="宋体" w:cs="宋体"/>
                <w:szCs w:val="21"/>
              </w:rPr>
              <w:t>集</w:t>
            </w:r>
            <w:r>
              <w:rPr>
                <w:rFonts w:hint="eastAsia" w:ascii="宋体" w:hAnsi="宋体"/>
                <w:szCs w:val="21"/>
              </w:rPr>
              <w:t>中组织</w:t>
            </w:r>
            <w:r>
              <w:rPr>
                <w:rFonts w:hint="eastAsia" w:ascii="宋体" w:hAnsi="宋体" w:cs="Arial"/>
                <w:szCs w:val="21"/>
              </w:rPr>
              <w:t>，召集时间：</w:t>
            </w:r>
          </w:p>
          <w:p w14:paraId="5C35A803">
            <w:pPr>
              <w:spacing w:line="320" w:lineRule="exact"/>
              <w:ind w:firstLine="1260" w:firstLineChars="600"/>
              <w:rPr>
                <w:rFonts w:ascii="宋体" w:hAnsi="宋体"/>
                <w:szCs w:val="21"/>
                <w:u w:val="single"/>
                <w:lang w:val="zh-CN"/>
              </w:rPr>
            </w:pPr>
            <w:r>
              <w:rPr>
                <w:rFonts w:hint="eastAsia" w:ascii="宋体" w:hAnsi="宋体" w:cs="Arial"/>
                <w:szCs w:val="21"/>
              </w:rPr>
              <w:t>召集地点：</w:t>
            </w:r>
          </w:p>
        </w:tc>
      </w:tr>
      <w:tr w14:paraId="2E6CC9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6D45956">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12</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B7408F0">
            <w:pPr>
              <w:adjustRightInd w:val="0"/>
              <w:snapToGrid w:val="0"/>
              <w:spacing w:line="320" w:lineRule="exact"/>
              <w:jc w:val="center"/>
              <w:rPr>
                <w:rFonts w:ascii="宋体" w:hAnsi="宋体" w:cs="宋体"/>
                <w:szCs w:val="21"/>
                <w:lang w:val="zh-CN"/>
              </w:rPr>
            </w:pPr>
            <w:r>
              <w:rPr>
                <w:rFonts w:hint="eastAsia" w:ascii="宋体" w:hAnsi="宋体" w:cs="宋体"/>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14:paraId="0D87D115">
            <w:pPr>
              <w:adjustRightInd w:val="0"/>
              <w:snapToGrid w:val="0"/>
              <w:spacing w:line="320" w:lineRule="exact"/>
              <w:rPr>
                <w:rFonts w:ascii="宋体" w:hAnsi="宋体" w:cs="宋体"/>
                <w:bCs/>
                <w:szCs w:val="21"/>
              </w:rPr>
            </w:pPr>
            <w:r>
              <w:rPr>
                <w:rFonts w:hint="eastAsia" w:ascii="宋体" w:hAnsi="宋体" w:cs="宋体"/>
                <w:szCs w:val="21"/>
                <w:lang w:val="zh-CN"/>
              </w:rPr>
              <w:t>人民币</w:t>
            </w:r>
          </w:p>
        </w:tc>
      </w:tr>
      <w:tr w14:paraId="4E11BB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E82C546">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14:paraId="19D6E1D4">
            <w:pPr>
              <w:adjustRightInd w:val="0"/>
              <w:snapToGrid w:val="0"/>
              <w:spacing w:line="320" w:lineRule="exact"/>
              <w:jc w:val="center"/>
              <w:rPr>
                <w:rFonts w:ascii="宋体" w:hAnsi="宋体"/>
                <w:szCs w:val="21"/>
              </w:rPr>
            </w:pPr>
            <w:r>
              <w:rPr>
                <w:rFonts w:hint="eastAsia" w:ascii="宋体" w:hAnsi="宋体"/>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14:paraId="63A23BDC">
            <w:pPr>
              <w:spacing w:line="320" w:lineRule="exact"/>
              <w:rPr>
                <w:rFonts w:ascii="宋体" w:hAnsi="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不接受</w:t>
            </w:r>
          </w:p>
          <w:p w14:paraId="61DF4973">
            <w:pPr>
              <w:adjustRightInd w:val="0"/>
              <w:snapToGrid w:val="0"/>
              <w:spacing w:line="320" w:lineRule="exact"/>
              <w:rPr>
                <w:rFonts w:ascii="宋体" w:hAnsi="宋体"/>
                <w:szCs w:val="21"/>
              </w:rPr>
            </w:pPr>
            <w:r>
              <w:rPr>
                <w:rFonts w:ascii="Wingdings 2" w:hAnsi="Wingdings 2"/>
                <w:szCs w:val="21"/>
              </w:rPr>
              <w:t></w:t>
            </w:r>
            <w:r>
              <w:rPr>
                <w:rFonts w:hint="eastAsia" w:ascii="宋体" w:hAnsi="宋体"/>
                <w:szCs w:val="21"/>
              </w:rPr>
              <w:t>接受</w:t>
            </w:r>
          </w:p>
        </w:tc>
      </w:tr>
      <w:tr w14:paraId="427A6E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953584D">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14:paraId="2D6F2EEE">
            <w:pPr>
              <w:adjustRightInd w:val="0"/>
              <w:snapToGrid w:val="0"/>
              <w:spacing w:line="320" w:lineRule="exact"/>
              <w:jc w:val="center"/>
              <w:rPr>
                <w:rFonts w:ascii="宋体" w:hAnsi="宋体"/>
                <w:szCs w:val="21"/>
              </w:rPr>
            </w:pPr>
            <w:r>
              <w:rPr>
                <w:rFonts w:hint="eastAsia" w:ascii="宋体" w:hAnsi="宋体"/>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14:paraId="1D6839B4">
            <w:pPr>
              <w:spacing w:line="320" w:lineRule="exact"/>
              <w:rPr>
                <w:rFonts w:ascii="宋体" w:hAnsi="宋体"/>
                <w:szCs w:val="21"/>
              </w:rPr>
            </w:pPr>
            <w:r>
              <w:rPr>
                <w:rFonts w:hint="eastAsia" w:ascii="宋体" w:hAnsi="宋体" w:cs="宋体"/>
                <w:szCs w:val="21"/>
              </w:rPr>
              <w:t>不允许</w:t>
            </w:r>
          </w:p>
        </w:tc>
      </w:tr>
      <w:tr w14:paraId="07BA48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DF4DD3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14:paraId="65D7057B">
            <w:pPr>
              <w:adjustRightInd w:val="0"/>
              <w:snapToGrid w:val="0"/>
              <w:spacing w:line="320" w:lineRule="exact"/>
              <w:jc w:val="center"/>
              <w:rPr>
                <w:rFonts w:ascii="宋体" w:hAnsi="宋体"/>
                <w:szCs w:val="21"/>
              </w:rPr>
            </w:pPr>
            <w:r>
              <w:rPr>
                <w:rFonts w:hint="eastAsia" w:ascii="宋体" w:hAnsi="宋体"/>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14:paraId="04FA279D">
            <w:pPr>
              <w:spacing w:line="320" w:lineRule="exact"/>
              <w:rPr>
                <w:rFonts w:ascii="宋体" w:hAnsi="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不接受</w:t>
            </w:r>
          </w:p>
          <w:p w14:paraId="0BCE630B">
            <w:pPr>
              <w:adjustRightInd w:val="0"/>
              <w:snapToGrid w:val="0"/>
              <w:spacing w:line="320" w:lineRule="exact"/>
              <w:rPr>
                <w:rFonts w:ascii="宋体" w:hAnsi="宋体"/>
                <w:szCs w:val="21"/>
              </w:rPr>
            </w:pPr>
            <w:r>
              <w:rPr>
                <w:rFonts w:ascii="Wingdings 2" w:hAnsi="Wingdings 2"/>
                <w:szCs w:val="21"/>
              </w:rPr>
              <w:t></w:t>
            </w:r>
            <w:r>
              <w:rPr>
                <w:rFonts w:hint="eastAsia" w:ascii="宋体" w:hAnsi="宋体"/>
                <w:szCs w:val="21"/>
              </w:rPr>
              <w:t>接受</w:t>
            </w:r>
          </w:p>
        </w:tc>
      </w:tr>
      <w:tr w14:paraId="02BDB4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07D5157">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14:paraId="32A63878">
            <w:pPr>
              <w:adjustRightInd w:val="0"/>
              <w:snapToGrid w:val="0"/>
              <w:spacing w:line="320" w:lineRule="exact"/>
              <w:jc w:val="center"/>
              <w:rPr>
                <w:rFonts w:ascii="宋体" w:hAnsi="宋体"/>
                <w:szCs w:val="21"/>
              </w:rPr>
            </w:pPr>
            <w:r>
              <w:rPr>
                <w:rFonts w:hint="eastAsia" w:ascii="宋体" w:hAnsi="宋体"/>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14:paraId="2DD12079">
            <w:pPr>
              <w:spacing w:line="320" w:lineRule="exact"/>
              <w:rPr>
                <w:rFonts w:ascii="宋体" w:hAnsi="宋体"/>
                <w:szCs w:val="21"/>
              </w:rPr>
            </w:pPr>
            <w:r>
              <w:rPr>
                <w:rFonts w:hint="eastAsia" w:ascii="宋体" w:hAnsi="宋体" w:cs="宋体"/>
                <w:szCs w:val="21"/>
              </w:rPr>
              <w:t>保证金要求：投标保证金应当以支票、汇票、本票或者金融机构、担保机构出具的保函等非现金形式提交。</w:t>
            </w:r>
          </w:p>
          <w:p w14:paraId="39867E8E">
            <w:pPr>
              <w:adjustRightInd w:val="0"/>
              <w:snapToGrid w:val="0"/>
              <w:spacing w:line="320" w:lineRule="exact"/>
              <w:rPr>
                <w:rFonts w:ascii="宋体" w:hAnsi="宋体" w:cs="宋体"/>
                <w:szCs w:val="21"/>
                <w:lang w:val="zh-CN"/>
              </w:rPr>
            </w:pPr>
            <w:r>
              <w:rPr>
                <w:rFonts w:hint="eastAsia" w:ascii="宋体" w:hAnsi="宋体" w:cs="宋体"/>
                <w:szCs w:val="21"/>
                <w:lang w:val="zh-CN"/>
              </w:rPr>
              <w:t>保证金金额：人民币</w:t>
            </w:r>
            <w:r>
              <w:rPr>
                <w:rFonts w:hint="eastAsia" w:ascii="宋体" w:hAnsi="宋体" w:cs="宋体"/>
                <w:szCs w:val="21"/>
              </w:rPr>
              <w:t>贰万柒仟</w:t>
            </w:r>
            <w:r>
              <w:rPr>
                <w:rFonts w:hint="eastAsia" w:ascii="宋体" w:hAnsi="宋体" w:cs="宋体"/>
                <w:szCs w:val="21"/>
                <w:lang w:val="zh-CN"/>
              </w:rPr>
              <w:t>元整（</w:t>
            </w:r>
            <w:r>
              <w:rPr>
                <w:rFonts w:hint="eastAsia" w:ascii="宋体" w:hAnsi="宋体" w:cs="宋体"/>
                <w:szCs w:val="21"/>
              </w:rPr>
              <w:t>¥</w:t>
            </w:r>
            <w:r>
              <w:rPr>
                <w:rFonts w:hint="eastAsia" w:ascii="宋体" w:hAnsi="宋体" w:cs="宋体"/>
                <w:szCs w:val="21"/>
                <w:u w:val="single"/>
              </w:rPr>
              <w:t>27,0</w:t>
            </w:r>
            <w:r>
              <w:rPr>
                <w:rFonts w:ascii="宋体" w:hAnsi="宋体" w:cs="宋体"/>
                <w:szCs w:val="21"/>
                <w:u w:val="single"/>
              </w:rPr>
              <w:t>00</w:t>
            </w:r>
            <w:r>
              <w:rPr>
                <w:rFonts w:hint="eastAsia" w:ascii="宋体" w:hAnsi="宋体" w:cs="宋体"/>
                <w:szCs w:val="21"/>
                <w:u w:val="single"/>
              </w:rPr>
              <w:t>.00</w:t>
            </w:r>
            <w:r>
              <w:rPr>
                <w:rFonts w:hint="eastAsia" w:ascii="宋体" w:hAnsi="宋体" w:cs="宋体"/>
                <w:szCs w:val="21"/>
                <w:lang w:val="zh-CN"/>
              </w:rPr>
              <w:t>元）</w:t>
            </w:r>
          </w:p>
          <w:p w14:paraId="48D79CF1">
            <w:pPr>
              <w:adjustRightInd w:val="0"/>
              <w:snapToGrid w:val="0"/>
              <w:spacing w:line="320" w:lineRule="exact"/>
              <w:ind w:firstLine="420" w:firstLineChars="200"/>
              <w:rPr>
                <w:rFonts w:ascii="宋体" w:hAnsi="宋体" w:cs="宋体"/>
                <w:b/>
                <w:bCs/>
                <w:kern w:val="0"/>
                <w:szCs w:val="21"/>
              </w:rPr>
            </w:pPr>
            <w:r>
              <w:rPr>
                <w:rFonts w:hint="eastAsia" w:ascii="宋体" w:hAnsi="宋体" w:cs="宋体"/>
                <w:b/>
                <w:szCs w:val="21"/>
                <w:lang w:val="zh-CN"/>
              </w:rPr>
              <w:t>保证金递交要求</w:t>
            </w:r>
            <w:r>
              <w:rPr>
                <w:rFonts w:hint="eastAsia" w:ascii="宋体" w:hAnsi="宋体" w:cs="宋体"/>
                <w:b/>
                <w:kern w:val="0"/>
                <w:szCs w:val="21"/>
              </w:rPr>
              <w:t>：在提交投标文件截止时间前未按规定从</w:t>
            </w:r>
            <w:r>
              <w:rPr>
                <w:rFonts w:hint="eastAsia" w:ascii="宋体" w:hAnsi="宋体" w:cs="宋体"/>
                <w:b/>
                <w:bCs/>
                <w:kern w:val="0"/>
                <w:szCs w:val="21"/>
              </w:rPr>
              <w:t>投标人账户汇至指定账户的视为未提交投标保证金。</w:t>
            </w:r>
          </w:p>
          <w:p w14:paraId="12ACA3B1">
            <w:pPr>
              <w:adjustRightInd w:val="0"/>
              <w:snapToGrid w:val="0"/>
              <w:spacing w:line="320" w:lineRule="exact"/>
              <w:ind w:firstLine="420" w:firstLineChars="200"/>
              <w:rPr>
                <w:rFonts w:ascii="宋体" w:hAnsi="宋体" w:cs="宋体"/>
                <w:szCs w:val="21"/>
                <w:lang w:val="zh-CN"/>
              </w:rPr>
            </w:pPr>
            <w:r>
              <w:rPr>
                <w:rFonts w:hint="eastAsia" w:ascii="宋体" w:hAnsi="宋体"/>
                <w:szCs w:val="21"/>
              </w:rPr>
              <w:t>收款银</w:t>
            </w:r>
            <w:r>
              <w:rPr>
                <w:rFonts w:hint="eastAsia" w:ascii="宋体" w:hAnsi="宋体" w:cs="宋体"/>
                <w:szCs w:val="21"/>
                <w:lang w:val="zh-CN"/>
              </w:rPr>
              <w:t>行账户信息：</w:t>
            </w:r>
          </w:p>
          <w:p w14:paraId="59D32B03">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户  名：武汉汇哲招标代理有限公司</w:t>
            </w:r>
          </w:p>
          <w:p w14:paraId="15260AF4">
            <w:pPr>
              <w:adjustRightInd w:val="0"/>
              <w:snapToGrid w:val="0"/>
              <w:spacing w:line="320" w:lineRule="exact"/>
              <w:ind w:firstLine="420" w:firstLineChars="200"/>
              <w:rPr>
                <w:rFonts w:ascii="宋体" w:hAnsi="宋体" w:cs="宋体"/>
                <w:szCs w:val="21"/>
                <w:lang w:val="zh-CN"/>
              </w:rPr>
            </w:pPr>
            <w:r>
              <w:rPr>
                <w:rFonts w:hint="eastAsia" w:ascii="宋体" w:hAnsi="宋体" w:cs="宋体"/>
                <w:szCs w:val="21"/>
                <w:lang w:val="zh-CN"/>
              </w:rPr>
              <w:t>开户行：兴业银行武汉东湖高新科技支行</w:t>
            </w:r>
          </w:p>
          <w:p w14:paraId="7BCFCD5C">
            <w:pPr>
              <w:spacing w:line="320" w:lineRule="exact"/>
              <w:ind w:firstLine="420" w:firstLineChars="200"/>
              <w:rPr>
                <w:rFonts w:ascii="宋体" w:hAnsi="宋体" w:cs="宋体"/>
                <w:b/>
                <w:szCs w:val="21"/>
              </w:rPr>
            </w:pPr>
            <w:r>
              <w:rPr>
                <w:rFonts w:hint="eastAsia" w:ascii="宋体" w:hAnsi="宋体" w:cs="宋体"/>
                <w:szCs w:val="21"/>
                <w:lang w:val="zh-CN"/>
              </w:rPr>
              <w:t>账  号：416180100100038185</w:t>
            </w:r>
          </w:p>
          <w:p w14:paraId="6E064CD0">
            <w:pPr>
              <w:adjustRightInd w:val="0"/>
              <w:snapToGrid w:val="0"/>
              <w:spacing w:line="320" w:lineRule="exact"/>
              <w:ind w:left="105" w:leftChars="50" w:firstLine="315" w:firstLineChars="150"/>
              <w:rPr>
                <w:rFonts w:ascii="宋体" w:hAnsi="宋体" w:cs="宋体"/>
                <w:szCs w:val="21"/>
              </w:rPr>
            </w:pPr>
            <w:r>
              <w:rPr>
                <w:rFonts w:hint="eastAsia" w:ascii="宋体" w:hAnsi="宋体" w:cs="宋体"/>
                <w:szCs w:val="21"/>
                <w:lang w:val="zh-CN"/>
              </w:rPr>
              <w:t>中标</w:t>
            </w:r>
            <w:r>
              <w:rPr>
                <w:rFonts w:hint="eastAsia" w:ascii="宋体" w:hAnsi="宋体" w:cs="宋体"/>
                <w:szCs w:val="21"/>
              </w:rPr>
              <w:t>人的投标保证金，自采购合同签订之日起5个工作日内退还；未中标人的投标保证金，自中标通知书发出之日起5个工作日内退还。</w:t>
            </w:r>
          </w:p>
        </w:tc>
      </w:tr>
      <w:tr w14:paraId="3E884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2BA1D93">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14:paraId="790D6E10">
            <w:pPr>
              <w:adjustRightInd w:val="0"/>
              <w:snapToGrid w:val="0"/>
              <w:spacing w:line="320" w:lineRule="exact"/>
              <w:jc w:val="center"/>
              <w:rPr>
                <w:rFonts w:ascii="宋体" w:hAnsi="宋体"/>
                <w:szCs w:val="21"/>
              </w:rPr>
            </w:pPr>
            <w:r>
              <w:rPr>
                <w:rFonts w:hint="eastAsia" w:ascii="宋体" w:hAnsi="宋体"/>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14:paraId="13444E9B">
            <w:pPr>
              <w:adjustRightInd w:val="0"/>
              <w:snapToGrid w:val="0"/>
              <w:spacing w:line="320" w:lineRule="exact"/>
              <w:rPr>
                <w:rFonts w:ascii="宋体" w:hAnsi="宋体"/>
                <w:szCs w:val="21"/>
              </w:rPr>
            </w:pPr>
            <w:r>
              <w:rPr>
                <w:rFonts w:hint="eastAsia" w:ascii="宋体" w:hAnsi="宋体" w:cs="宋体"/>
                <w:kern w:val="0"/>
                <w:szCs w:val="21"/>
              </w:rPr>
              <w:t>提交投标文件截止之日起90日历日。</w:t>
            </w:r>
          </w:p>
        </w:tc>
      </w:tr>
      <w:tr w14:paraId="6C5DC5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E2FB597">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14:paraId="57561362">
            <w:pPr>
              <w:adjustRightInd w:val="0"/>
              <w:snapToGrid w:val="0"/>
              <w:spacing w:line="320" w:lineRule="exact"/>
              <w:jc w:val="center"/>
              <w:rPr>
                <w:rFonts w:ascii="宋体" w:hAnsi="宋体"/>
                <w:szCs w:val="21"/>
              </w:rPr>
            </w:pPr>
            <w:r>
              <w:rPr>
                <w:rFonts w:hint="eastAsia" w:ascii="宋体" w:hAnsi="宋体"/>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14:paraId="1C3272EA">
            <w:pPr>
              <w:autoSpaceDE w:val="0"/>
              <w:autoSpaceDN w:val="0"/>
              <w:spacing w:line="320" w:lineRule="exact"/>
              <w:rPr>
                <w:rFonts w:ascii="宋体" w:hAnsi="宋体" w:cs="Noto Sans Mono CJK JP Regular"/>
                <w:szCs w:val="21"/>
                <w:lang w:val="zh-CN"/>
              </w:rPr>
            </w:pPr>
            <w:r>
              <w:rPr>
                <w:rFonts w:hint="eastAsia" w:ascii="宋体" w:hAnsi="宋体" w:cs="宋体"/>
                <w:szCs w:val="21"/>
                <w:lang w:val="zh-CN"/>
              </w:rPr>
              <w:t>（</w:t>
            </w:r>
            <w:r>
              <w:rPr>
                <w:rFonts w:ascii="宋体" w:hAnsi="宋体" w:cs="Noto Sans Mono CJK JP Regular"/>
                <w:szCs w:val="21"/>
                <w:lang w:val="zh-CN"/>
              </w:rPr>
              <w:t>1</w:t>
            </w:r>
            <w:r>
              <w:rPr>
                <w:rFonts w:hint="eastAsia" w:ascii="宋体" w:hAnsi="宋体" w:cs="宋体"/>
                <w:szCs w:val="21"/>
                <w:lang w:val="zh-CN"/>
              </w:rPr>
              <w:t>）纸质版：正本</w:t>
            </w:r>
            <w:r>
              <w:rPr>
                <w:rFonts w:ascii="宋体" w:hAnsi="宋体" w:cs="Noto Sans Mono CJK JP Regular"/>
                <w:szCs w:val="21"/>
                <w:u w:val="single"/>
                <w:lang w:val="zh-CN"/>
              </w:rPr>
              <w:t xml:space="preserve"> 1 </w:t>
            </w:r>
            <w:r>
              <w:rPr>
                <w:rFonts w:hint="eastAsia" w:ascii="宋体" w:hAnsi="宋体" w:cs="宋体"/>
                <w:szCs w:val="21"/>
                <w:lang w:val="zh-CN"/>
              </w:rPr>
              <w:t>份；副本</w:t>
            </w:r>
            <w:r>
              <w:rPr>
                <w:rFonts w:ascii="宋体" w:hAnsi="宋体" w:cs="Noto Sans Mono CJK JP Regular"/>
                <w:szCs w:val="21"/>
                <w:u w:val="single"/>
                <w:lang w:val="zh-CN"/>
              </w:rPr>
              <w:t xml:space="preserve"> 4 </w:t>
            </w:r>
            <w:r>
              <w:rPr>
                <w:rFonts w:hint="eastAsia" w:ascii="宋体" w:hAnsi="宋体" w:cs="宋体"/>
                <w:szCs w:val="21"/>
                <w:lang w:val="zh-CN"/>
              </w:rPr>
              <w:t>份，副本可为正本的复印件；</w:t>
            </w:r>
          </w:p>
          <w:p w14:paraId="566F4C74">
            <w:pPr>
              <w:autoSpaceDE w:val="0"/>
              <w:autoSpaceDN w:val="0"/>
              <w:spacing w:line="320" w:lineRule="exact"/>
              <w:ind w:left="535" w:leftChars="5" w:hanging="525" w:hangingChars="250"/>
              <w:rPr>
                <w:rFonts w:ascii="宋体" w:hAnsi="宋体" w:cs="宋体"/>
                <w:szCs w:val="21"/>
                <w:lang w:val="zh-CN"/>
              </w:rPr>
            </w:pPr>
            <w:r>
              <w:rPr>
                <w:rFonts w:hint="eastAsia" w:ascii="宋体" w:hAnsi="宋体" w:cs="宋体"/>
                <w:szCs w:val="21"/>
                <w:lang w:val="zh-CN"/>
              </w:rPr>
              <w:t>（</w:t>
            </w:r>
            <w:r>
              <w:rPr>
                <w:rFonts w:ascii="宋体" w:hAnsi="宋体" w:cs="Noto Sans Mono CJK JP Regular"/>
                <w:szCs w:val="21"/>
                <w:lang w:val="zh-CN"/>
              </w:rPr>
              <w:t>2</w:t>
            </w:r>
            <w:r>
              <w:rPr>
                <w:rFonts w:hint="eastAsia" w:ascii="宋体" w:hAnsi="宋体" w:cs="宋体"/>
                <w:szCs w:val="21"/>
                <w:lang w:val="zh-CN"/>
              </w:rPr>
              <w:t>）电子版：未加密PDF格式（正本</w:t>
            </w:r>
            <w:r>
              <w:rPr>
                <w:rFonts w:hint="eastAsia" w:ascii="宋体" w:hAnsi="宋体" w:cs="宋体"/>
                <w:szCs w:val="21"/>
              </w:rPr>
              <w:t>的</w:t>
            </w:r>
            <w:r>
              <w:rPr>
                <w:rFonts w:hint="eastAsia" w:ascii="宋体" w:hAnsi="宋体" w:cs="宋体"/>
                <w:szCs w:val="21"/>
                <w:lang w:val="zh-CN"/>
              </w:rPr>
              <w:t>扫描件），电子版内容应与投标文件正本一致；份数：</w:t>
            </w:r>
            <w:r>
              <w:rPr>
                <w:rFonts w:hint="eastAsia" w:ascii="宋体" w:hAnsi="宋体" w:cs="宋体"/>
                <w:szCs w:val="21"/>
                <w:u w:val="single"/>
                <w:lang w:val="zh-CN"/>
              </w:rPr>
              <w:t xml:space="preserve"> 1 </w:t>
            </w:r>
            <w:r>
              <w:rPr>
                <w:rFonts w:hint="eastAsia" w:ascii="宋体" w:hAnsi="宋体" w:cs="宋体"/>
                <w:szCs w:val="21"/>
                <w:lang w:val="zh-CN"/>
              </w:rPr>
              <w:t>份；形式：</w:t>
            </w:r>
            <w:r>
              <w:rPr>
                <w:rFonts w:hint="eastAsia" w:ascii="宋体" w:hAnsi="宋体" w:cs="宋体"/>
                <w:szCs w:val="21"/>
                <w:u w:val="single"/>
                <w:lang w:val="zh-CN"/>
              </w:rPr>
              <w:t>U盘</w:t>
            </w:r>
            <w:r>
              <w:rPr>
                <w:rFonts w:hint="eastAsia" w:ascii="宋体" w:hAnsi="宋体" w:cs="宋体"/>
                <w:szCs w:val="21"/>
                <w:lang w:val="zh-CN"/>
              </w:rPr>
              <w:t>。</w:t>
            </w:r>
          </w:p>
          <w:p w14:paraId="06D4E8FE">
            <w:pPr>
              <w:autoSpaceDE w:val="0"/>
              <w:autoSpaceDN w:val="0"/>
              <w:spacing w:line="320" w:lineRule="exact"/>
              <w:ind w:left="535" w:leftChars="5" w:hanging="525" w:hangingChars="250"/>
              <w:rPr>
                <w:rFonts w:ascii="宋体" w:hAnsi="宋体" w:cs="宋体"/>
                <w:szCs w:val="21"/>
                <w:lang w:val="zh-CN"/>
              </w:rPr>
            </w:pPr>
            <w:r>
              <w:rPr>
                <w:rFonts w:hint="eastAsia" w:ascii="宋体" w:hAnsi="宋体" w:cs="宋体"/>
                <w:szCs w:val="21"/>
                <w:lang w:val="zh-CN"/>
              </w:rPr>
              <w:t>（</w:t>
            </w:r>
            <w:r>
              <w:rPr>
                <w:rFonts w:ascii="宋体" w:hAnsi="宋体" w:cs="Noto Sans Mono CJK JP Regular"/>
                <w:szCs w:val="21"/>
                <w:lang w:val="zh-CN"/>
              </w:rPr>
              <w:t>3</w:t>
            </w:r>
            <w:r>
              <w:rPr>
                <w:rFonts w:hint="eastAsia" w:ascii="宋体" w:hAnsi="宋体" w:cs="宋体"/>
                <w:szCs w:val="21"/>
                <w:lang w:val="zh-CN"/>
              </w:rPr>
              <w:t>）</w:t>
            </w:r>
            <w:r>
              <w:rPr>
                <w:rFonts w:hint="eastAsia" w:ascii="宋体" w:hAnsi="宋体" w:cs="Noto Sans Mono CJK JP Regular"/>
                <w:szCs w:val="21"/>
                <w:lang w:val="zh-CN"/>
              </w:rPr>
              <w:t>为方便开启时唱标（如有</w:t>
            </w:r>
            <w:r>
              <w:rPr>
                <w:rFonts w:ascii="宋体" w:hAnsi="宋体" w:cs="Noto Sans Mono CJK JP Regular"/>
                <w:szCs w:val="21"/>
                <w:lang w:val="zh-CN"/>
              </w:rPr>
              <w:t>）</w:t>
            </w:r>
            <w:r>
              <w:rPr>
                <w:rFonts w:hint="eastAsia" w:ascii="宋体" w:hAnsi="宋体" w:cs="Noto Sans Mono CJK JP Regular"/>
                <w:szCs w:val="21"/>
                <w:lang w:val="zh-CN"/>
              </w:rPr>
              <w:t>，投标人应将《报价一览表》原件、《法人身份证明书或法人授权委托书》原件及《交纳保证金的银行凭证》（若有交纳保证金要求的）各两份一并装入一个信封，单独密封提交，并在信封上标明“采购项目编号/包号、项目名称、报价一览表”字样。</w:t>
            </w:r>
          </w:p>
          <w:p w14:paraId="30FB0C80">
            <w:pPr>
              <w:spacing w:line="320" w:lineRule="exact"/>
              <w:ind w:firstLine="315" w:firstLineChars="150"/>
              <w:rPr>
                <w:rFonts w:ascii="宋体" w:hAnsi="宋体"/>
                <w:bCs/>
                <w:szCs w:val="21"/>
                <w:lang w:val="zh-CN"/>
              </w:rPr>
            </w:pPr>
            <w:r>
              <w:rPr>
                <w:rFonts w:hint="eastAsia" w:ascii="宋体" w:hAnsi="宋体" w:cs="宋体"/>
                <w:szCs w:val="21"/>
              </w:rPr>
              <w:t>所有投标文件接收后概不退还。</w:t>
            </w:r>
          </w:p>
          <w:p w14:paraId="2A1B5521">
            <w:pPr>
              <w:spacing w:line="320" w:lineRule="exact"/>
              <w:rPr>
                <w:rFonts w:ascii="宋体" w:hAnsi="宋体"/>
                <w:b/>
                <w:bCs/>
                <w:szCs w:val="21"/>
                <w:lang w:val="zh-CN"/>
              </w:rPr>
            </w:pPr>
            <w:r>
              <w:rPr>
                <w:rFonts w:hint="eastAsia" w:ascii="宋体" w:hAnsi="宋体"/>
                <w:bCs/>
                <w:szCs w:val="21"/>
                <w:lang w:val="zh-CN"/>
              </w:rPr>
              <w:t>投标文件</w:t>
            </w:r>
            <w:r>
              <w:rPr>
                <w:rFonts w:ascii="宋体" w:hAnsi="宋体"/>
                <w:bCs/>
                <w:szCs w:val="21"/>
                <w:lang w:val="zh-CN"/>
              </w:rPr>
              <w:t>密封</w:t>
            </w:r>
            <w:r>
              <w:rPr>
                <w:rFonts w:hint="eastAsia" w:ascii="宋体" w:hAnsi="宋体"/>
                <w:bCs/>
                <w:szCs w:val="21"/>
                <w:lang w:val="zh-CN"/>
              </w:rPr>
              <w:t>封套上应载明的信息</w:t>
            </w:r>
            <w:r>
              <w:rPr>
                <w:rFonts w:hint="eastAsia" w:ascii="宋体" w:hAnsi="宋体"/>
                <w:b/>
                <w:bCs/>
                <w:szCs w:val="21"/>
                <w:lang w:val="zh-CN"/>
              </w:rPr>
              <w:t>：</w:t>
            </w:r>
          </w:p>
          <w:p w14:paraId="759DA987">
            <w:pPr>
              <w:spacing w:line="320" w:lineRule="exact"/>
              <w:ind w:left="420" w:leftChars="200"/>
              <w:rPr>
                <w:rFonts w:ascii="宋体" w:hAnsi="宋体"/>
                <w:bCs/>
                <w:szCs w:val="21"/>
              </w:rPr>
            </w:pPr>
            <w:r>
              <w:rPr>
                <w:rFonts w:hint="eastAsia" w:ascii="宋体" w:hAnsi="宋体"/>
                <w:bCs/>
                <w:szCs w:val="21"/>
              </w:rPr>
              <w:t>（项目名称）投标文件</w:t>
            </w:r>
          </w:p>
          <w:p w14:paraId="3C7D9861">
            <w:pPr>
              <w:spacing w:line="320" w:lineRule="exact"/>
              <w:ind w:left="420" w:leftChars="200"/>
              <w:rPr>
                <w:rFonts w:ascii="宋体" w:hAnsi="宋体"/>
                <w:bCs/>
                <w:szCs w:val="21"/>
                <w:u w:val="single"/>
              </w:rPr>
            </w:pPr>
            <w:r>
              <w:rPr>
                <w:rFonts w:hint="eastAsia" w:ascii="宋体" w:hAnsi="宋体"/>
                <w:szCs w:val="21"/>
                <w:lang w:val="zh-CN"/>
              </w:rPr>
              <w:t>项目编号</w:t>
            </w:r>
            <w:r>
              <w:rPr>
                <w:rFonts w:hint="eastAsia" w:ascii="宋体" w:hAnsi="宋体"/>
                <w:bCs/>
                <w:szCs w:val="21"/>
              </w:rPr>
              <w:t>：</w:t>
            </w:r>
          </w:p>
          <w:p w14:paraId="394B904A">
            <w:pPr>
              <w:spacing w:line="320" w:lineRule="exact"/>
              <w:ind w:left="420" w:leftChars="200"/>
              <w:rPr>
                <w:rFonts w:ascii="宋体" w:hAnsi="宋体"/>
                <w:bCs/>
                <w:szCs w:val="21"/>
              </w:rPr>
            </w:pPr>
            <w:r>
              <w:rPr>
                <w:rFonts w:hint="eastAsia" w:ascii="宋体" w:hAnsi="宋体"/>
                <w:szCs w:val="21"/>
                <w:lang w:val="zh-CN"/>
              </w:rPr>
              <w:t>包    号</w:t>
            </w:r>
            <w:r>
              <w:rPr>
                <w:rFonts w:hint="eastAsia" w:ascii="宋体" w:hAnsi="宋体"/>
                <w:bCs/>
                <w:szCs w:val="21"/>
              </w:rPr>
              <w:t>：</w:t>
            </w:r>
          </w:p>
          <w:p w14:paraId="22EB3290">
            <w:pPr>
              <w:spacing w:line="320" w:lineRule="exact"/>
              <w:ind w:left="420" w:leftChars="200"/>
              <w:rPr>
                <w:rFonts w:ascii="宋体" w:hAnsi="宋体"/>
                <w:bCs/>
                <w:szCs w:val="21"/>
              </w:rPr>
            </w:pPr>
            <w:r>
              <w:rPr>
                <w:rFonts w:hint="eastAsia" w:ascii="宋体" w:hAnsi="宋体"/>
                <w:bCs/>
                <w:szCs w:val="21"/>
              </w:rPr>
              <w:t xml:space="preserve">在 </w:t>
            </w:r>
            <w:r>
              <w:rPr>
                <w:rFonts w:ascii="宋体" w:hAnsi="宋体"/>
                <w:bCs/>
                <w:szCs w:val="21"/>
              </w:rPr>
              <w:t xml:space="preserve"> </w:t>
            </w:r>
            <w:r>
              <w:rPr>
                <w:rFonts w:hint="eastAsia" w:ascii="宋体" w:hAnsi="宋体"/>
                <w:bCs/>
                <w:szCs w:val="21"/>
              </w:rPr>
              <w:t>年 月 日 时 分之前不得启封</w:t>
            </w:r>
          </w:p>
          <w:p w14:paraId="33FF8353">
            <w:pPr>
              <w:adjustRightInd w:val="0"/>
              <w:snapToGrid w:val="0"/>
              <w:spacing w:line="320" w:lineRule="exact"/>
              <w:ind w:left="420" w:leftChars="200"/>
              <w:rPr>
                <w:rFonts w:ascii="宋体" w:hAnsi="宋体" w:cs="宋体"/>
                <w:szCs w:val="21"/>
              </w:rPr>
            </w:pPr>
            <w:r>
              <w:rPr>
                <w:rFonts w:hint="eastAsia" w:ascii="宋体" w:hAnsi="宋体"/>
                <w:bCs/>
                <w:szCs w:val="21"/>
              </w:rPr>
              <w:t>投标人名称：</w:t>
            </w:r>
          </w:p>
        </w:tc>
      </w:tr>
      <w:tr w14:paraId="666F3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6479D0E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14:paraId="304F9412">
            <w:pPr>
              <w:adjustRightInd w:val="0"/>
              <w:snapToGrid w:val="0"/>
              <w:spacing w:line="320" w:lineRule="exact"/>
              <w:jc w:val="center"/>
              <w:rPr>
                <w:rFonts w:ascii="宋体" w:hAnsi="宋体"/>
                <w:szCs w:val="21"/>
              </w:rPr>
            </w:pPr>
            <w:r>
              <w:rPr>
                <w:rFonts w:hint="eastAsia" w:ascii="宋体" w:hAnsi="宋体"/>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14:paraId="77F036D3">
            <w:pPr>
              <w:adjustRightInd w:val="0"/>
              <w:snapToGrid w:val="0"/>
              <w:spacing w:line="320" w:lineRule="exact"/>
              <w:rPr>
                <w:rFonts w:ascii="宋体" w:hAnsi="宋体" w:cs="宋体"/>
                <w:szCs w:val="21"/>
                <w:lang w:val="zh-CN"/>
              </w:rPr>
            </w:pPr>
            <w:r>
              <w:fldChar w:fldCharType="begin"/>
            </w:r>
            <w:r>
              <w:rPr>
                <w:rFonts w:hint="eastAsia" w:ascii="宋体" w:hAnsi="宋体" w:cs="宋体"/>
                <w:bCs/>
                <w:szCs w:val="21"/>
              </w:rPr>
              <w:instrText xml:space="preserve"> eq \o\ac(□,√)</w:instrText>
            </w:r>
            <w:r>
              <w:fldChar w:fldCharType="end"/>
            </w:r>
            <w:r>
              <w:rPr>
                <w:rFonts w:hint="eastAsia" w:ascii="宋体" w:hAnsi="宋体" w:cs="宋体"/>
                <w:szCs w:val="21"/>
                <w:lang w:val="zh-CN"/>
              </w:rPr>
              <w:t>不需要</w:t>
            </w:r>
          </w:p>
          <w:p w14:paraId="55743702">
            <w:pPr>
              <w:adjustRightInd w:val="0"/>
              <w:snapToGrid w:val="0"/>
              <w:spacing w:line="320" w:lineRule="exact"/>
              <w:rPr>
                <w:rFonts w:ascii="宋体" w:hAnsi="宋体" w:cs="宋体"/>
                <w:szCs w:val="21"/>
              </w:rPr>
            </w:pPr>
            <w:r>
              <w:rPr>
                <w:rFonts w:ascii="Wingdings 2" w:hAnsi="Wingdings 2" w:cs="宋体"/>
                <w:szCs w:val="21"/>
                <w:lang w:val="zh-CN"/>
              </w:rPr>
              <w:t></w:t>
            </w:r>
            <w:r>
              <w:rPr>
                <w:rFonts w:hint="eastAsia" w:ascii="宋体" w:hAnsi="宋体" w:cs="宋体"/>
                <w:szCs w:val="21"/>
                <w:lang w:val="zh-CN"/>
              </w:rPr>
              <w:t>需要，</w:t>
            </w:r>
            <w:r>
              <w:rPr>
                <w:rFonts w:hint="eastAsia" w:ascii="宋体" w:hAnsi="宋体"/>
                <w:szCs w:val="21"/>
                <w:lang w:val="zh-CN"/>
              </w:rPr>
              <w:t>样品的包装及递交要求：</w:t>
            </w:r>
          </w:p>
        </w:tc>
      </w:tr>
      <w:tr w14:paraId="5F79A0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3F9A039">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14:paraId="2A847DF4">
            <w:pPr>
              <w:adjustRightInd w:val="0"/>
              <w:snapToGrid w:val="0"/>
              <w:spacing w:line="320" w:lineRule="exact"/>
              <w:jc w:val="center"/>
              <w:rPr>
                <w:rFonts w:ascii="宋体" w:hAnsi="宋体"/>
                <w:szCs w:val="21"/>
              </w:rPr>
            </w:pPr>
            <w:r>
              <w:rPr>
                <w:rFonts w:hint="eastAsia" w:ascii="宋体" w:hAnsi="宋体"/>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14:paraId="37E0CBEA">
            <w:pPr>
              <w:adjustRightInd w:val="0"/>
              <w:snapToGrid w:val="0"/>
              <w:spacing w:line="320" w:lineRule="exact"/>
              <w:rPr>
                <w:rFonts w:ascii="宋体" w:hAnsi="宋体" w:cs="宋体"/>
                <w:szCs w:val="21"/>
              </w:rPr>
            </w:pPr>
            <w:r>
              <w:fldChar w:fldCharType="begin"/>
            </w:r>
            <w:r>
              <w:rPr>
                <w:rFonts w:hint="eastAsia" w:ascii="宋体" w:hAnsi="宋体" w:cs="宋体"/>
                <w:bCs/>
                <w:szCs w:val="21"/>
              </w:rPr>
              <w:instrText xml:space="preserve"> eq \o\ac(□,√)</w:instrText>
            </w:r>
            <w:r>
              <w:fldChar w:fldCharType="end"/>
            </w:r>
            <w:r>
              <w:rPr>
                <w:rFonts w:hint="eastAsia" w:ascii="宋体" w:hAnsi="宋体" w:cs="宋体"/>
                <w:szCs w:val="21"/>
                <w:lang w:val="zh-CN"/>
              </w:rPr>
              <w:t>不需要</w:t>
            </w:r>
          </w:p>
          <w:p w14:paraId="45FB946B">
            <w:pPr>
              <w:adjustRightInd w:val="0"/>
              <w:snapToGrid w:val="0"/>
              <w:spacing w:line="320" w:lineRule="exact"/>
              <w:rPr>
                <w:rFonts w:ascii="宋体" w:hAnsi="宋体" w:cs="宋体"/>
                <w:szCs w:val="21"/>
              </w:rPr>
            </w:pPr>
            <w:r>
              <w:rPr>
                <w:rFonts w:ascii="Wingdings 2" w:hAnsi="Wingdings 2" w:cs="宋体"/>
                <w:szCs w:val="21"/>
              </w:rPr>
              <w:t></w:t>
            </w:r>
            <w:r>
              <w:rPr>
                <w:rFonts w:hint="eastAsia" w:ascii="宋体" w:hAnsi="宋体" w:cs="宋体"/>
                <w:szCs w:val="21"/>
                <w:lang w:val="zh-CN"/>
              </w:rPr>
              <w:t>需要</w:t>
            </w:r>
            <w:r>
              <w:rPr>
                <w:rFonts w:hint="eastAsia" w:ascii="宋体" w:hAnsi="宋体" w:cs="宋体"/>
                <w:szCs w:val="21"/>
              </w:rPr>
              <w:t>，</w:t>
            </w:r>
            <w:r>
              <w:rPr>
                <w:rFonts w:hint="eastAsia" w:ascii="宋体" w:hAnsi="宋体" w:cs="宋体"/>
                <w:szCs w:val="21"/>
                <w:lang w:val="zh-CN"/>
              </w:rPr>
              <w:t>演示要求</w:t>
            </w:r>
            <w:r>
              <w:rPr>
                <w:rFonts w:hint="eastAsia" w:ascii="宋体" w:hAnsi="宋体" w:cs="宋体"/>
                <w:szCs w:val="21"/>
              </w:rPr>
              <w:t>：</w:t>
            </w:r>
          </w:p>
        </w:tc>
      </w:tr>
      <w:tr w14:paraId="23F542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80ED086">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4B627AD9">
            <w:pPr>
              <w:adjustRightInd w:val="0"/>
              <w:snapToGrid w:val="0"/>
              <w:spacing w:line="320" w:lineRule="exact"/>
              <w:jc w:val="center"/>
              <w:rPr>
                <w:rFonts w:ascii="宋体" w:hAnsi="宋体"/>
                <w:szCs w:val="21"/>
              </w:rPr>
            </w:pPr>
            <w:r>
              <w:rPr>
                <w:rFonts w:hint="eastAsia" w:ascii="宋体" w:hAnsi="宋体"/>
                <w:szCs w:val="21"/>
              </w:rPr>
              <w:t>投标文件</w:t>
            </w:r>
          </w:p>
          <w:p w14:paraId="1C0FAC54">
            <w:pPr>
              <w:adjustRightInd w:val="0"/>
              <w:snapToGrid w:val="0"/>
              <w:spacing w:line="320" w:lineRule="exact"/>
              <w:jc w:val="center"/>
              <w:rPr>
                <w:rFonts w:ascii="宋体" w:hAnsi="宋体"/>
                <w:szCs w:val="21"/>
              </w:rPr>
            </w:pPr>
            <w:r>
              <w:rPr>
                <w:rFonts w:hint="eastAsia" w:ascii="宋体" w:hAnsi="宋体"/>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14:paraId="2052CFA9">
            <w:pPr>
              <w:adjustRightInd w:val="0"/>
              <w:snapToGrid w:val="0"/>
              <w:spacing w:line="320" w:lineRule="exact"/>
              <w:rPr>
                <w:rFonts w:ascii="宋体" w:hAnsi="宋体"/>
                <w:szCs w:val="21"/>
              </w:rPr>
            </w:pPr>
            <w:r>
              <w:rPr>
                <w:rFonts w:hint="eastAsia" w:ascii="宋体" w:hAnsi="宋体"/>
                <w:szCs w:val="21"/>
              </w:rPr>
              <w:t>详见第一章“招标公告（投标邀请书）”</w:t>
            </w:r>
          </w:p>
        </w:tc>
      </w:tr>
      <w:tr w14:paraId="5F319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12FBE334">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2</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6447F3B7">
            <w:pPr>
              <w:adjustRightInd w:val="0"/>
              <w:snapToGrid w:val="0"/>
              <w:spacing w:line="320" w:lineRule="exact"/>
              <w:jc w:val="center"/>
              <w:rPr>
                <w:rFonts w:ascii="宋体" w:hAnsi="宋体"/>
                <w:szCs w:val="21"/>
              </w:rPr>
            </w:pPr>
            <w:r>
              <w:rPr>
                <w:rFonts w:hint="eastAsia" w:ascii="宋体" w:hAnsi="宋体"/>
                <w:szCs w:val="21"/>
              </w:rPr>
              <w:t>开标时间、</w:t>
            </w:r>
          </w:p>
          <w:p w14:paraId="375DABAB">
            <w:pPr>
              <w:adjustRightInd w:val="0"/>
              <w:snapToGrid w:val="0"/>
              <w:spacing w:line="320" w:lineRule="exact"/>
              <w:jc w:val="center"/>
              <w:rPr>
                <w:rFonts w:ascii="宋体" w:hAnsi="宋体"/>
                <w:szCs w:val="21"/>
              </w:rPr>
            </w:pPr>
            <w:r>
              <w:rPr>
                <w:rFonts w:hint="eastAsia" w:ascii="宋体" w:hAnsi="宋体"/>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14:paraId="1F8F8016">
            <w:pPr>
              <w:adjustRightInd w:val="0"/>
              <w:snapToGrid w:val="0"/>
              <w:spacing w:line="320" w:lineRule="exact"/>
              <w:rPr>
                <w:rFonts w:ascii="宋体" w:hAnsi="宋体"/>
                <w:szCs w:val="21"/>
              </w:rPr>
            </w:pPr>
            <w:r>
              <w:rPr>
                <w:rFonts w:hint="eastAsia" w:ascii="宋体" w:hAnsi="宋体"/>
                <w:szCs w:val="21"/>
              </w:rPr>
              <w:t>详见第一章“招标公告（投标邀请书）”</w:t>
            </w:r>
          </w:p>
        </w:tc>
      </w:tr>
      <w:tr w14:paraId="4E0884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BB9F053">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4</w:t>
            </w:r>
            <w:r>
              <w:rPr>
                <w:rFonts w:hint="eastAsia" w:ascii="宋体" w:hAnsi="宋体"/>
                <w:szCs w:val="21"/>
              </w:rPr>
              <w:t>.</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77456515">
            <w:pPr>
              <w:adjustRightInd w:val="0"/>
              <w:snapToGrid w:val="0"/>
              <w:spacing w:line="320" w:lineRule="exact"/>
              <w:jc w:val="center"/>
              <w:rPr>
                <w:rFonts w:ascii="宋体" w:hAnsi="宋体"/>
                <w:szCs w:val="21"/>
              </w:rPr>
            </w:pPr>
            <w:r>
              <w:rPr>
                <w:rFonts w:hint="eastAsia" w:ascii="宋体" w:hAnsi="宋体"/>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14:paraId="3C43DB07">
            <w:pPr>
              <w:adjustRightInd w:val="0"/>
              <w:snapToGrid w:val="0"/>
              <w:spacing w:line="320" w:lineRule="exact"/>
              <w:rPr>
                <w:rFonts w:ascii="宋体" w:hAnsi="宋体"/>
                <w:szCs w:val="21"/>
              </w:rPr>
            </w:pPr>
            <w:r>
              <w:rPr>
                <w:rFonts w:hint="eastAsia" w:ascii="宋体" w:hAnsi="宋体"/>
                <w:szCs w:val="21"/>
              </w:rPr>
              <w:t>综合评分法</w:t>
            </w:r>
          </w:p>
          <w:p w14:paraId="123673E3">
            <w:pPr>
              <w:adjustRightInd w:val="0"/>
              <w:snapToGrid w:val="0"/>
              <w:spacing w:line="320" w:lineRule="exact"/>
              <w:rPr>
                <w:rFonts w:ascii="宋体" w:hAnsi="宋体"/>
                <w:szCs w:val="21"/>
                <w:lang w:val="zh-CN"/>
              </w:rPr>
            </w:pPr>
            <w:r>
              <w:rPr>
                <w:rFonts w:hint="eastAsia" w:ascii="宋体" w:hAnsi="宋体"/>
                <w:szCs w:val="21"/>
              </w:rPr>
              <w:t>详见第五章“评标方法、程序及标准”要求。</w:t>
            </w:r>
          </w:p>
        </w:tc>
      </w:tr>
      <w:tr w14:paraId="3A995E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37DDCB02">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5</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52C1D275">
            <w:pPr>
              <w:adjustRightInd w:val="0"/>
              <w:snapToGrid w:val="0"/>
              <w:spacing w:line="320" w:lineRule="exact"/>
              <w:jc w:val="center"/>
              <w:rPr>
                <w:rFonts w:ascii="宋体" w:hAnsi="宋体"/>
                <w:szCs w:val="21"/>
              </w:rPr>
            </w:pPr>
            <w:r>
              <w:rPr>
                <w:rFonts w:hint="eastAsia" w:ascii="宋体" w:hAnsi="宋体"/>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14:paraId="70B3BE53">
            <w:pPr>
              <w:adjustRightInd w:val="0"/>
              <w:snapToGrid w:val="0"/>
              <w:spacing w:line="320" w:lineRule="exact"/>
              <w:rPr>
                <w:rFonts w:ascii="宋体" w:hAnsi="宋体"/>
                <w:szCs w:val="21"/>
              </w:rPr>
            </w:pPr>
            <w:r>
              <w:rPr>
                <w:rFonts w:hint="eastAsia" w:ascii="宋体" w:hAnsi="宋体" w:cs="宋体"/>
                <w:szCs w:val="21"/>
                <w:lang w:val="zh-CN"/>
              </w:rPr>
              <w:t>由采购人代表和评审专家共</w:t>
            </w:r>
            <w:r>
              <w:rPr>
                <w:rFonts w:ascii="宋体" w:hAnsi="宋体" w:cs="宋体"/>
                <w:szCs w:val="21"/>
                <w:lang w:val="zh-CN"/>
              </w:rPr>
              <w:t>5</w:t>
            </w:r>
            <w:r>
              <w:rPr>
                <w:rFonts w:hint="eastAsia" w:ascii="宋体" w:hAnsi="宋体" w:cs="宋体"/>
                <w:szCs w:val="21"/>
                <w:lang w:val="zh-CN"/>
              </w:rPr>
              <w:t>人或5人以上单数组成，其中评审专家人数不少于总数的2/3。除非招标文件另有规定，评审专家将从政府采购评审专家库中随机抽取。</w:t>
            </w:r>
          </w:p>
        </w:tc>
      </w:tr>
      <w:tr w14:paraId="088A7C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28CF1BE1">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2</w:t>
            </w:r>
            <w:r>
              <w:rPr>
                <w:rFonts w:ascii="宋体" w:hAnsi="宋体"/>
                <w:szCs w:val="21"/>
              </w:rPr>
              <w:t>8</w:t>
            </w:r>
            <w:r>
              <w:rPr>
                <w:rFonts w:hint="eastAsia" w:ascii="宋体" w:hAnsi="宋体"/>
                <w:szCs w:val="21"/>
              </w:rPr>
              <w:t>.</w:t>
            </w:r>
            <w:r>
              <w:rPr>
                <w:rFonts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14:paraId="2C6D49BA">
            <w:pPr>
              <w:adjustRightInd w:val="0"/>
              <w:snapToGrid w:val="0"/>
              <w:spacing w:line="320" w:lineRule="exact"/>
              <w:jc w:val="center"/>
              <w:rPr>
                <w:rFonts w:ascii="宋体" w:hAnsi="宋体"/>
                <w:szCs w:val="21"/>
              </w:rPr>
            </w:pPr>
            <w:r>
              <w:rPr>
                <w:rFonts w:hint="eastAsia" w:ascii="宋体" w:hAnsi="宋体"/>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14:paraId="77B226E1">
            <w:pPr>
              <w:adjustRightInd w:val="0"/>
              <w:snapToGrid w:val="0"/>
              <w:spacing w:line="320" w:lineRule="exact"/>
              <w:rPr>
                <w:rFonts w:ascii="宋体" w:hAnsi="宋体"/>
                <w:szCs w:val="21"/>
              </w:rPr>
            </w:pPr>
            <w:r>
              <w:rPr>
                <w:rFonts w:hint="eastAsia" w:ascii="Segoe UI Symbol" w:hAnsi="Segoe UI Symbol" w:cs="Segoe UI Symbol"/>
                <w:szCs w:val="21"/>
              </w:rPr>
              <w:t>无。</w:t>
            </w:r>
          </w:p>
        </w:tc>
      </w:tr>
      <w:tr w14:paraId="215BBF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43D430A6">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14:paraId="3E5B1BFC">
            <w:pPr>
              <w:adjustRightInd w:val="0"/>
              <w:snapToGrid w:val="0"/>
              <w:spacing w:line="320" w:lineRule="exact"/>
              <w:jc w:val="center"/>
              <w:rPr>
                <w:rFonts w:ascii="宋体" w:hAnsi="宋体"/>
                <w:szCs w:val="21"/>
              </w:rPr>
            </w:pPr>
            <w:r>
              <w:rPr>
                <w:rFonts w:hint="eastAsia" w:ascii="宋体" w:hAnsi="宋体" w:cs="宋体"/>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14:paraId="484D578E">
            <w:pPr>
              <w:adjustRightInd w:val="0"/>
              <w:snapToGrid w:val="0"/>
              <w:spacing w:line="320" w:lineRule="exact"/>
              <w:rPr>
                <w:rFonts w:ascii="宋体" w:hAnsi="宋体"/>
                <w:szCs w:val="21"/>
                <w:lang w:val="zh-CN"/>
              </w:rPr>
            </w:pPr>
            <w:r>
              <w:rPr>
                <w:rFonts w:ascii="Wingdings 2" w:hAnsi="Wingdings 2"/>
                <w:szCs w:val="21"/>
                <w:lang w:val="zh-CN"/>
              </w:rPr>
              <w:sym w:font="Wingdings 2" w:char="00A3"/>
            </w:r>
            <w:r>
              <w:rPr>
                <w:rFonts w:hint="eastAsia" w:ascii="宋体" w:hAnsi="宋体"/>
                <w:szCs w:val="21"/>
                <w:lang w:val="zh-CN"/>
              </w:rPr>
              <w:t xml:space="preserve">不需要 </w:t>
            </w:r>
          </w:p>
          <w:p w14:paraId="5A24C797">
            <w:pPr>
              <w:adjustRightInd w:val="0"/>
              <w:snapToGrid w:val="0"/>
              <w:spacing w:line="320" w:lineRule="exact"/>
              <w:rPr>
                <w:rFonts w:ascii="宋体" w:hAnsi="宋体"/>
                <w:szCs w:val="21"/>
                <w:lang w:val="zh-CN"/>
              </w:rPr>
            </w:pPr>
            <w:r>
              <w:fldChar w:fldCharType="begin"/>
            </w:r>
            <w:r>
              <w:rPr>
                <w:rFonts w:hint="eastAsia" w:ascii="宋体" w:hAnsi="宋体" w:cs="宋体"/>
                <w:bCs/>
                <w:szCs w:val="21"/>
              </w:rPr>
              <w:instrText xml:space="preserve"> eq \o\ac(□,</w:instrText>
            </w:r>
            <w:r>
              <w:rPr>
                <w:rFonts w:hint="eastAsia" w:ascii="宋体" w:hAnsi="宋体" w:cs="宋体"/>
                <w:bCs/>
                <w:position w:val="2"/>
                <w:sz w:val="13"/>
                <w:szCs w:val="21"/>
              </w:rPr>
              <w:instrText xml:space="preserve">√</w:instrText>
            </w:r>
            <w:r>
              <w:rPr>
                <w:rFonts w:hint="eastAsia" w:ascii="宋体" w:hAnsi="宋体" w:cs="宋体"/>
                <w:bCs/>
                <w:szCs w:val="21"/>
              </w:rPr>
              <w:instrText xml:space="preserve">)</w:instrText>
            </w:r>
            <w:r>
              <w:fldChar w:fldCharType="end"/>
            </w:r>
            <w:r>
              <w:rPr>
                <w:rFonts w:hint="eastAsia" w:ascii="宋体" w:hAnsi="宋体"/>
                <w:szCs w:val="21"/>
                <w:lang w:val="zh-CN"/>
              </w:rPr>
              <w:t>需要</w:t>
            </w:r>
          </w:p>
          <w:p w14:paraId="4A8B1B14">
            <w:pPr>
              <w:adjustRightInd w:val="0"/>
              <w:snapToGrid w:val="0"/>
              <w:spacing w:line="320" w:lineRule="exact"/>
              <w:ind w:firstLine="315" w:firstLineChars="150"/>
              <w:jc w:val="left"/>
              <w:rPr>
                <w:rFonts w:ascii="宋体" w:hAnsi="宋体"/>
                <w:szCs w:val="21"/>
              </w:rPr>
            </w:pPr>
            <w:r>
              <w:rPr>
                <w:rFonts w:hint="eastAsia" w:ascii="宋体" w:hAnsi="宋体"/>
                <w:szCs w:val="21"/>
                <w:lang w:val="zh-CN"/>
              </w:rPr>
              <w:t>履约保证金金额：合同总金额的</w:t>
            </w:r>
            <w:r>
              <w:rPr>
                <w:rFonts w:ascii="宋体" w:hAnsi="宋体"/>
                <w:szCs w:val="21"/>
              </w:rPr>
              <w:t xml:space="preserve">10 </w:t>
            </w:r>
            <w:r>
              <w:rPr>
                <w:rFonts w:ascii="宋体" w:hAnsi="宋体"/>
                <w:szCs w:val="21"/>
                <w:lang w:val="zh-CN"/>
              </w:rPr>
              <w:t>%</w:t>
            </w:r>
            <w:r>
              <w:rPr>
                <w:rFonts w:hint="eastAsia" w:ascii="宋体" w:hAnsi="宋体"/>
                <w:szCs w:val="21"/>
                <w:lang w:val="zh-CN"/>
              </w:rPr>
              <w:t>。</w:t>
            </w:r>
          </w:p>
          <w:p w14:paraId="2117992B">
            <w:pPr>
              <w:adjustRightInd w:val="0"/>
              <w:snapToGrid w:val="0"/>
              <w:spacing w:line="320" w:lineRule="exact"/>
              <w:ind w:firstLine="315" w:firstLineChars="150"/>
              <w:jc w:val="left"/>
              <w:rPr>
                <w:rFonts w:ascii="宋体" w:hAnsi="宋体"/>
                <w:szCs w:val="21"/>
                <w:lang w:val="zh-CN"/>
              </w:rPr>
            </w:pPr>
            <w:r>
              <w:rPr>
                <w:rFonts w:hint="eastAsia" w:ascii="宋体" w:hAnsi="宋体"/>
                <w:szCs w:val="21"/>
                <w:lang w:val="zh-CN"/>
              </w:rPr>
              <w:t>履约保证金形式：支票、汇票、本票或者金融机构、担保机构出具的保函等非现金形式。</w:t>
            </w:r>
          </w:p>
        </w:tc>
      </w:tr>
      <w:tr w14:paraId="70B8EA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57DF58AA">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0</w:t>
            </w:r>
            <w:r>
              <w:rPr>
                <w:rFonts w:hint="eastAsia" w:ascii="宋体" w:hAnsi="宋体"/>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14:paraId="2E5962FA">
            <w:pPr>
              <w:adjustRightInd w:val="0"/>
              <w:snapToGrid w:val="0"/>
              <w:spacing w:line="320" w:lineRule="exact"/>
              <w:jc w:val="center"/>
              <w:rPr>
                <w:rFonts w:ascii="宋体" w:hAnsi="宋体" w:cs="宋体"/>
                <w:szCs w:val="21"/>
              </w:rPr>
            </w:pPr>
            <w:r>
              <w:rPr>
                <w:rFonts w:hint="eastAsia" w:ascii="宋体" w:hAnsi="宋体"/>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14:paraId="3636D5E8">
            <w:pPr>
              <w:pStyle w:val="25"/>
              <w:ind w:left="0" w:firstLine="0"/>
            </w:pPr>
            <w:r>
              <w:rPr>
                <w:rFonts w:hint="eastAsia" w:ascii="宋体" w:hAnsi="宋体" w:cs="宋体"/>
                <w:bCs/>
                <w:szCs w:val="21"/>
              </w:rPr>
              <w:t>详见第三章 技术、服务及商务要求。</w:t>
            </w:r>
          </w:p>
        </w:tc>
      </w:tr>
      <w:tr w14:paraId="4D989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14:paraId="0117FCDB">
            <w:pPr>
              <w:tabs>
                <w:tab w:val="left" w:pos="130"/>
              </w:tabs>
              <w:adjustRightInd w:val="0"/>
              <w:snapToGrid w:val="0"/>
              <w:spacing w:line="320" w:lineRule="exact"/>
              <w:ind w:right="57"/>
              <w:jc w:val="center"/>
              <w:rPr>
                <w:rFonts w:ascii="宋体" w:hAnsi="宋体"/>
                <w:szCs w:val="21"/>
              </w:rPr>
            </w:pPr>
            <w:r>
              <w:rPr>
                <w:rFonts w:hint="eastAsia" w:ascii="宋体" w:hAnsi="宋体"/>
                <w:szCs w:val="21"/>
              </w:rPr>
              <w:t>3</w:t>
            </w:r>
            <w:r>
              <w:rPr>
                <w:rFonts w:ascii="宋体" w:hAnsi="宋体"/>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14:paraId="104C10BD">
            <w:pPr>
              <w:adjustRightInd w:val="0"/>
              <w:snapToGrid w:val="0"/>
              <w:spacing w:line="320" w:lineRule="exact"/>
              <w:jc w:val="center"/>
              <w:rPr>
                <w:rFonts w:ascii="宋体" w:hAnsi="宋体"/>
                <w:szCs w:val="21"/>
              </w:rPr>
            </w:pPr>
            <w:r>
              <w:rPr>
                <w:rFonts w:hint="eastAsia" w:ascii="宋体" w:hAnsi="宋体"/>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14:paraId="512AD876">
            <w:pPr>
              <w:spacing w:line="320" w:lineRule="exact"/>
              <w:ind w:firstLine="315" w:firstLineChars="150"/>
              <w:rPr>
                <w:rFonts w:ascii="宋体" w:hAnsi="宋体" w:cs="宋体"/>
                <w:bCs/>
                <w:szCs w:val="21"/>
              </w:rPr>
            </w:pPr>
            <w:r>
              <w:rPr>
                <w:rFonts w:hint="eastAsia" w:ascii="宋体" w:hAnsi="宋体" w:cs="宋体"/>
                <w:bCs/>
                <w:szCs w:val="21"/>
              </w:rPr>
              <w:t>1、投标人认为招标文件、招标过程和中标结果使自己的权益受到损害的，可以在知道或者应知其权益受到损害之日起7个工作日内，以书面形式向采购人、采购代理机构提出质疑。</w:t>
            </w:r>
          </w:p>
          <w:p w14:paraId="73BEF5E0">
            <w:pPr>
              <w:spacing w:line="320" w:lineRule="exact"/>
              <w:ind w:firstLine="315" w:firstLineChars="150"/>
              <w:rPr>
                <w:rFonts w:ascii="宋体" w:hAnsi="宋体" w:cs="宋体"/>
                <w:bCs/>
                <w:szCs w:val="21"/>
              </w:rPr>
            </w:pPr>
            <w:r>
              <w:rPr>
                <w:rFonts w:hint="eastAsia" w:ascii="宋体" w:hAnsi="宋体" w:cs="宋体"/>
                <w:bCs/>
                <w:szCs w:val="21"/>
              </w:rPr>
              <w:t>2、投标人</w:t>
            </w:r>
            <w:r>
              <w:rPr>
                <w:rFonts w:hint="eastAsia"/>
              </w:rPr>
              <w:t>应当在法定质疑期内一次性提出针对同一采购程序环节的质疑。</w:t>
            </w:r>
          </w:p>
          <w:p w14:paraId="7FEB9426">
            <w:pPr>
              <w:spacing w:line="320" w:lineRule="exact"/>
              <w:ind w:firstLine="315" w:firstLineChars="150"/>
              <w:rPr>
                <w:rFonts w:ascii="宋体" w:hAnsi="宋体" w:cs="宋体"/>
                <w:bCs/>
                <w:szCs w:val="21"/>
              </w:rPr>
            </w:pPr>
            <w:r>
              <w:rPr>
                <w:rFonts w:hint="eastAsia" w:ascii="宋体" w:hAnsi="宋体" w:cs="宋体"/>
                <w:bCs/>
                <w:szCs w:val="21"/>
              </w:rPr>
              <w:t>3、提出质疑的投标人应当是参与所质疑项目招标活动的投标人。</w:t>
            </w:r>
          </w:p>
          <w:p w14:paraId="0B9F66BA">
            <w:pPr>
              <w:spacing w:line="320" w:lineRule="exact"/>
              <w:ind w:firstLine="315" w:firstLineChars="150"/>
              <w:rPr>
                <w:rFonts w:ascii="宋体" w:hAnsi="宋体" w:cs="宋体"/>
                <w:bCs/>
                <w:szCs w:val="21"/>
              </w:rPr>
            </w:pPr>
            <w:r>
              <w:rPr>
                <w:rFonts w:hint="eastAsia" w:ascii="宋体" w:hAnsi="宋体" w:cs="宋体"/>
                <w:bCs/>
                <w:szCs w:val="21"/>
              </w:rPr>
              <w:t>4、潜在投标人已依法获取其可质疑的招标文件的，可以对该文件提出质疑。对招标文件提出质疑的，应当在获取招标文件或者招标文件公告期限届满之日起7个工作日内提出。</w:t>
            </w:r>
          </w:p>
          <w:p w14:paraId="7D3496DA">
            <w:pPr>
              <w:spacing w:line="320" w:lineRule="exact"/>
              <w:ind w:firstLine="315" w:firstLineChars="150"/>
              <w:rPr>
                <w:rFonts w:ascii="宋体" w:hAnsi="宋体"/>
                <w:szCs w:val="21"/>
                <w:highlight w:val="yellow"/>
                <w:lang w:val="zh-CN"/>
              </w:rPr>
            </w:pPr>
            <w:r>
              <w:rPr>
                <w:rFonts w:hint="eastAsia" w:ascii="宋体" w:hAnsi="宋体" w:cs="宋体"/>
                <w:bCs/>
                <w:szCs w:val="21"/>
              </w:rPr>
              <w:t>质疑</w:t>
            </w:r>
            <w:r>
              <w:rPr>
                <w:rFonts w:hint="eastAsia" w:ascii="宋体" w:hAnsi="宋体"/>
                <w:szCs w:val="21"/>
                <w:lang w:val="zh-CN"/>
              </w:rPr>
              <w:t>时应提交书面质疑函一份</w:t>
            </w:r>
            <w:r>
              <w:rPr>
                <w:rFonts w:hint="eastAsia" w:ascii="宋体" w:hAnsi="宋体"/>
                <w:szCs w:val="21"/>
              </w:rPr>
              <w:t>（</w:t>
            </w:r>
            <w:r>
              <w:rPr>
                <w:rFonts w:hint="eastAsia" w:ascii="宋体" w:hAnsi="宋体"/>
                <w:szCs w:val="21"/>
                <w:lang w:val="zh-CN"/>
              </w:rPr>
              <w:t>法定代表人</w:t>
            </w:r>
            <w:r>
              <w:rPr>
                <w:rFonts w:hint="eastAsia"/>
                <w:bCs/>
                <w:szCs w:val="21"/>
              </w:rPr>
              <w:t>签名</w:t>
            </w:r>
            <w:r>
              <w:rPr>
                <w:rFonts w:hint="eastAsia" w:ascii="宋体" w:hAnsi="宋体"/>
                <w:szCs w:val="21"/>
                <w:lang w:val="zh-CN"/>
              </w:rPr>
              <w:t>、加盖单位公章</w:t>
            </w:r>
            <w:r>
              <w:rPr>
                <w:rFonts w:hint="eastAsia" w:ascii="宋体" w:hAnsi="宋体"/>
                <w:szCs w:val="21"/>
              </w:rPr>
              <w:t>），</w:t>
            </w:r>
            <w:r>
              <w:rPr>
                <w:rFonts w:hint="eastAsia" w:ascii="宋体" w:hAnsi="宋体"/>
                <w:szCs w:val="21"/>
                <w:lang w:val="zh-CN"/>
              </w:rPr>
              <w:t>并附相关证据材料</w:t>
            </w:r>
            <w:r>
              <w:rPr>
                <w:rFonts w:hint="eastAsia" w:ascii="宋体" w:hAnsi="宋体"/>
                <w:szCs w:val="21"/>
              </w:rPr>
              <w:t>。</w:t>
            </w:r>
            <w:r>
              <w:rPr>
                <w:rFonts w:hint="eastAsia" w:ascii="宋体" w:hAnsi="宋体"/>
                <w:szCs w:val="21"/>
                <w:lang w:val="zh-CN"/>
              </w:rPr>
              <w:t>联系电话</w:t>
            </w:r>
            <w:r>
              <w:rPr>
                <w:rFonts w:hint="eastAsia" w:ascii="宋体" w:hAnsi="宋体"/>
                <w:szCs w:val="21"/>
              </w:rPr>
              <w:t>：</w:t>
            </w:r>
            <w:r>
              <w:rPr>
                <w:rFonts w:hint="eastAsia" w:ascii="宋体" w:hAnsi="宋体"/>
                <w:szCs w:val="21"/>
                <w:u w:val="single"/>
              </w:rPr>
              <w:t>027-</w:t>
            </w:r>
            <w:r>
              <w:rPr>
                <w:rFonts w:ascii="宋体" w:hAnsi="宋体"/>
                <w:szCs w:val="21"/>
                <w:u w:val="single"/>
              </w:rPr>
              <w:t>87002343</w:t>
            </w:r>
            <w:r>
              <w:rPr>
                <w:rFonts w:hint="eastAsia" w:ascii="宋体" w:hAnsi="宋体"/>
                <w:szCs w:val="21"/>
                <w:lang w:val="zh-CN"/>
              </w:rPr>
              <w:t>，邮箱：</w:t>
            </w:r>
            <w:r>
              <w:rPr>
                <w:rFonts w:ascii="宋体" w:hAnsi="宋体"/>
                <w:szCs w:val="21"/>
                <w:u w:val="single"/>
              </w:rPr>
              <w:t>312018539</w:t>
            </w:r>
            <w:r>
              <w:rPr>
                <w:rFonts w:hint="eastAsia" w:ascii="宋体" w:hAnsi="宋体"/>
                <w:szCs w:val="21"/>
                <w:u w:val="single"/>
              </w:rPr>
              <w:t>@qq.com。</w:t>
            </w:r>
          </w:p>
          <w:p w14:paraId="658C2C9E">
            <w:pPr>
              <w:spacing w:line="320" w:lineRule="exact"/>
              <w:ind w:firstLine="315" w:firstLineChars="150"/>
              <w:rPr>
                <w:rFonts w:ascii="宋体" w:hAnsi="宋体" w:cs="宋体"/>
                <w:bCs/>
                <w:szCs w:val="21"/>
              </w:rPr>
            </w:pPr>
            <w:r>
              <w:rPr>
                <w:rFonts w:hint="eastAsia" w:ascii="宋体" w:hAnsi="宋体" w:cs="宋体"/>
                <w:bCs/>
                <w:szCs w:val="21"/>
              </w:rPr>
              <w:t>对于不符合上述条件的质疑将不予受理。</w:t>
            </w:r>
          </w:p>
        </w:tc>
      </w:tr>
      <w:tr w14:paraId="7FC6F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14:paraId="7264E4FF">
            <w:pPr>
              <w:adjustRightInd w:val="0"/>
              <w:snapToGrid w:val="0"/>
              <w:spacing w:line="320" w:lineRule="exact"/>
              <w:jc w:val="center"/>
              <w:rPr>
                <w:rFonts w:ascii="宋体" w:hAnsi="宋体"/>
                <w:szCs w:val="21"/>
              </w:rPr>
            </w:pPr>
            <w:r>
              <w:rPr>
                <w:rFonts w:hint="eastAsia" w:ascii="宋体" w:hAnsi="宋体"/>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14:paraId="23B20718">
            <w:pPr>
              <w:spacing w:line="320" w:lineRule="exact"/>
              <w:ind w:firstLine="315" w:firstLineChars="150"/>
              <w:rPr>
                <w:rFonts w:ascii="宋体" w:hAnsi="宋体" w:cs="宋体"/>
                <w:bCs/>
                <w:szCs w:val="21"/>
              </w:rPr>
            </w:pPr>
            <w:r>
              <w:rPr>
                <w:rFonts w:hint="eastAsia" w:ascii="宋体" w:hAnsi="宋体" w:cs="宋体"/>
                <w:bCs/>
                <w:szCs w:val="21"/>
              </w:rPr>
              <w:t>/</w:t>
            </w:r>
          </w:p>
        </w:tc>
      </w:tr>
    </w:tbl>
    <w:p w14:paraId="0E4AFC06">
      <w:pPr>
        <w:spacing w:line="276" w:lineRule="auto"/>
        <w:rPr>
          <w:rFonts w:ascii="宋体" w:hAnsi="宋体" w:cs="宋体"/>
          <w:b/>
          <w:snapToGrid w:val="0"/>
          <w:kern w:val="0"/>
          <w:szCs w:val="21"/>
          <w:lang w:val="zh-CN"/>
        </w:rPr>
      </w:pPr>
      <w:r>
        <w:rPr>
          <w:rFonts w:hint="eastAsia" w:ascii="宋体" w:hAnsi="宋体" w:cs="宋体"/>
          <w:b/>
          <w:snapToGrid w:val="0"/>
          <w:kern w:val="0"/>
          <w:szCs w:val="21"/>
          <w:lang w:val="zh-CN"/>
        </w:rPr>
        <w:t>注意：投标人应随时关注第一章招标公告（投标邀请书）中指定网站发布的本招标项目的相关信息（答疑、澄清、通知公告等）。</w:t>
      </w:r>
    </w:p>
    <w:p w14:paraId="6DB3298D">
      <w:pPr>
        <w:spacing w:line="276" w:lineRule="auto"/>
        <w:rPr>
          <w:rFonts w:ascii="宋体" w:hAnsi="宋体" w:cs="宋体"/>
          <w:snapToGrid w:val="0"/>
          <w:kern w:val="0"/>
          <w:szCs w:val="21"/>
          <w:lang w:val="zh-CN"/>
        </w:rPr>
      </w:pPr>
      <w:r>
        <w:rPr>
          <w:rFonts w:hint="eastAsia" w:ascii="宋体" w:hAnsi="宋体" w:cs="宋体"/>
          <w:snapToGrid w:val="0"/>
          <w:kern w:val="0"/>
          <w:szCs w:val="21"/>
          <w:lang w:val="zh-CN"/>
        </w:rPr>
        <w:t>补充说明：</w:t>
      </w:r>
    </w:p>
    <w:p w14:paraId="0D4DE8FB">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14:paraId="00EFA840">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14:paraId="0516422C">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递交投标文件时间如在当年6月30日以后，则近三年是指上个年度往前推算的3年，如递交投标文件时间为2018年12月1日，则“近三年”是指2015年度、2016年度、2017年度。</w:t>
      </w:r>
    </w:p>
    <w:p w14:paraId="41F537D3">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3）本招标文件所称的“以上”、“以下”、“内”、“以内”，均包括本数；所称的“不足”，不包括本数。</w:t>
      </w:r>
    </w:p>
    <w:p w14:paraId="776B7492">
      <w:pPr>
        <w:autoSpaceDE w:val="0"/>
        <w:autoSpaceDN w:val="0"/>
        <w:snapToGrid w:val="0"/>
        <w:spacing w:line="276" w:lineRule="auto"/>
        <w:ind w:firstLine="420" w:firstLineChars="200"/>
        <w:jc w:val="left"/>
        <w:rPr>
          <w:rFonts w:ascii="宋体" w:hAnsi="宋体"/>
          <w:szCs w:val="21"/>
        </w:rPr>
      </w:pPr>
      <w:r>
        <w:rPr>
          <w:rFonts w:hint="eastAsia" w:ascii="宋体" w:hAnsi="宋体"/>
          <w:szCs w:val="21"/>
        </w:rPr>
        <w:t>4）《投标人须知前附表》中，“</w:t>
      </w: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”代表选中，“□”代表未选中。</w:t>
      </w:r>
    </w:p>
    <w:p w14:paraId="7063FA99">
      <w:pPr>
        <w:spacing w:line="276" w:lineRule="auto"/>
        <w:rPr>
          <w:rFonts w:ascii="宋体" w:hAnsi="宋体"/>
          <w:b/>
          <w:bCs/>
          <w:szCs w:val="21"/>
          <w:lang w:val="zh-CN"/>
        </w:rPr>
      </w:pPr>
      <w:r>
        <w:rPr>
          <w:rFonts w:hint="eastAsia" w:ascii="宋体" w:hAnsi="宋体"/>
          <w:b/>
          <w:bCs/>
          <w:kern w:val="0"/>
          <w:szCs w:val="21"/>
          <w:lang w:val="zh-CN"/>
        </w:rPr>
        <w:br w:type="page"/>
      </w:r>
      <w:bookmarkStart w:id="14" w:name="_Toc97814997"/>
      <w:r>
        <w:rPr>
          <w:rFonts w:hint="eastAsia" w:ascii="宋体" w:hAnsi="宋体"/>
          <w:b/>
          <w:bCs/>
          <w:szCs w:val="21"/>
          <w:lang w:val="zh-CN"/>
        </w:rPr>
        <w:t>投标人须知</w:t>
      </w:r>
      <w:bookmarkEnd w:id="14"/>
    </w:p>
    <w:p w14:paraId="4691BFA2">
      <w:pPr>
        <w:keepNext/>
        <w:keepLines/>
        <w:numPr>
          <w:ilvl w:val="0"/>
          <w:numId w:val="1"/>
        </w:numPr>
        <w:spacing w:line="276" w:lineRule="auto"/>
        <w:ind w:left="426" w:hanging="426"/>
        <w:jc w:val="left"/>
        <w:outlineLvl w:val="1"/>
        <w:rPr>
          <w:rFonts w:ascii="宋体" w:hAnsi="宋体"/>
          <w:b/>
          <w:kern w:val="0"/>
          <w:szCs w:val="21"/>
          <w:lang w:val="zh-CN"/>
        </w:rPr>
      </w:pPr>
      <w:bookmarkStart w:id="15" w:name="_Toc97814998"/>
      <w:r>
        <w:rPr>
          <w:rFonts w:hint="eastAsia" w:ascii="宋体" w:hAnsi="宋体"/>
          <w:b/>
          <w:kern w:val="0"/>
          <w:szCs w:val="21"/>
          <w:lang w:val="zh-CN"/>
        </w:rPr>
        <w:t>说明</w:t>
      </w:r>
      <w:bookmarkEnd w:id="13"/>
      <w:bookmarkEnd w:id="15"/>
    </w:p>
    <w:p w14:paraId="60719406">
      <w:pPr>
        <w:numPr>
          <w:ilvl w:val="0"/>
          <w:numId w:val="2"/>
        </w:numPr>
        <w:spacing w:line="276" w:lineRule="auto"/>
        <w:rPr>
          <w:rFonts w:ascii="宋体" w:hAnsi="宋体"/>
          <w:b/>
          <w:szCs w:val="21"/>
          <w:lang w:val="zh-CN"/>
        </w:rPr>
      </w:pPr>
      <w:r>
        <w:rPr>
          <w:rFonts w:hint="eastAsia" w:ascii="宋体" w:hAnsi="宋体"/>
          <w:b/>
          <w:szCs w:val="21"/>
          <w:lang w:val="zh-CN"/>
        </w:rPr>
        <w:t>适用范围</w:t>
      </w:r>
    </w:p>
    <w:p w14:paraId="004892C9">
      <w:pPr>
        <w:spacing w:line="276" w:lineRule="auto"/>
        <w:ind w:firstLine="420" w:firstLineChars="200"/>
        <w:rPr>
          <w:rFonts w:ascii="宋体" w:hAnsi="宋体"/>
          <w:szCs w:val="21"/>
          <w:lang w:val="zh-CN"/>
        </w:rPr>
      </w:pPr>
      <w:r>
        <w:rPr>
          <w:rFonts w:hint="eastAsia" w:ascii="宋体" w:hAnsi="宋体"/>
          <w:szCs w:val="21"/>
          <w:lang w:val="zh-CN"/>
        </w:rPr>
        <w:t>招标文件仅适用于第一章“招标公告（投标邀请书）”中所述项目的货物、工程及服务的采购。</w:t>
      </w:r>
    </w:p>
    <w:p w14:paraId="7B33CC02">
      <w:pPr>
        <w:numPr>
          <w:ilvl w:val="0"/>
          <w:numId w:val="2"/>
        </w:numPr>
        <w:spacing w:line="276" w:lineRule="auto"/>
        <w:rPr>
          <w:rFonts w:ascii="宋体" w:hAnsi="宋体"/>
          <w:b/>
          <w:szCs w:val="21"/>
          <w:lang w:val="zh-CN"/>
        </w:rPr>
      </w:pPr>
      <w:r>
        <w:rPr>
          <w:rFonts w:hint="eastAsia" w:ascii="宋体" w:hAnsi="宋体"/>
          <w:b/>
          <w:szCs w:val="21"/>
          <w:lang w:val="zh-CN"/>
        </w:rPr>
        <w:t>定义</w:t>
      </w:r>
    </w:p>
    <w:p w14:paraId="0D266244">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“采购人”是指：</w:t>
      </w:r>
      <w:r>
        <w:rPr>
          <w:rFonts w:hint="eastAsia" w:ascii="宋体" w:hAnsi="宋体" w:cs="宋体"/>
          <w:szCs w:val="21"/>
        </w:rPr>
        <w:t>本次招标的采购人，</w:t>
      </w:r>
      <w:r>
        <w:rPr>
          <w:rFonts w:hint="eastAsia" w:ascii="宋体" w:hAnsi="宋体"/>
          <w:szCs w:val="21"/>
          <w:lang w:val="zh-CN"/>
        </w:rPr>
        <w:t>详见《投标人须知前附表》。</w:t>
      </w:r>
    </w:p>
    <w:p w14:paraId="14947E08">
      <w:pPr>
        <w:numPr>
          <w:ilvl w:val="0"/>
          <w:numId w:val="3"/>
        </w:numPr>
        <w:spacing w:line="276" w:lineRule="auto"/>
        <w:ind w:left="476" w:hanging="476"/>
        <w:rPr>
          <w:rFonts w:ascii="宋体" w:hAnsi="宋体"/>
          <w:szCs w:val="21"/>
          <w:lang w:val="zh-CN"/>
        </w:rPr>
      </w:pPr>
      <w:r>
        <w:rPr>
          <w:rFonts w:hint="eastAsia" w:ascii="宋体" w:hAnsi="宋体"/>
          <w:b/>
          <w:szCs w:val="21"/>
          <w:lang w:val="zh-CN"/>
        </w:rPr>
        <w:t>“监管部门”是指：</w:t>
      </w:r>
      <w:r>
        <w:rPr>
          <w:rFonts w:hint="eastAsia" w:ascii="宋体" w:hAnsi="宋体" w:cs="宋体"/>
          <w:szCs w:val="21"/>
        </w:rPr>
        <w:t>本次招标的监管部门，</w:t>
      </w:r>
      <w:r>
        <w:rPr>
          <w:rFonts w:hint="eastAsia" w:ascii="宋体" w:hAnsi="宋体"/>
          <w:szCs w:val="21"/>
          <w:lang w:val="zh-CN"/>
        </w:rPr>
        <w:t>详见《投标人须知前附表》。</w:t>
      </w:r>
    </w:p>
    <w:p w14:paraId="1FB3BCA5">
      <w:pPr>
        <w:numPr>
          <w:ilvl w:val="0"/>
          <w:numId w:val="3"/>
        </w:numPr>
        <w:spacing w:line="276" w:lineRule="auto"/>
        <w:ind w:left="476" w:hanging="476"/>
        <w:rPr>
          <w:rFonts w:ascii="宋体" w:hAnsi="宋体"/>
          <w:szCs w:val="21"/>
          <w:lang w:val="zh-CN"/>
        </w:rPr>
      </w:pPr>
      <w:r>
        <w:rPr>
          <w:rFonts w:hint="eastAsia" w:ascii="宋体" w:hAnsi="宋体"/>
          <w:b/>
          <w:szCs w:val="21"/>
          <w:lang w:val="zh-CN"/>
        </w:rPr>
        <w:t>“采购代理机构”是指：</w:t>
      </w:r>
      <w:r>
        <w:rPr>
          <w:rFonts w:hint="eastAsia" w:ascii="宋体" w:hAnsi="宋体" w:cs="宋体"/>
          <w:szCs w:val="21"/>
        </w:rPr>
        <w:t>本次招标的采购代理机构，</w:t>
      </w:r>
      <w:r>
        <w:rPr>
          <w:rFonts w:hint="eastAsia" w:ascii="宋体" w:hAnsi="宋体"/>
          <w:szCs w:val="21"/>
          <w:lang w:val="zh-CN"/>
        </w:rPr>
        <w:t>详见《投标人须知前附表》。</w:t>
      </w:r>
    </w:p>
    <w:p w14:paraId="4D58C136">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“投标人”是指：</w:t>
      </w:r>
      <w:r>
        <w:rPr>
          <w:rFonts w:hint="eastAsia" w:ascii="宋体" w:hAnsi="宋体" w:cs="Helvetica"/>
          <w:kern w:val="0"/>
          <w:szCs w:val="21"/>
          <w:lang w:val="zh-CN"/>
        </w:rPr>
        <w:t>响应本招标文件要求，参加投标的法人、其他组织或者自然人。</w:t>
      </w:r>
    </w:p>
    <w:p w14:paraId="60F90217">
      <w:pPr>
        <w:numPr>
          <w:ilvl w:val="0"/>
          <w:numId w:val="3"/>
        </w:numPr>
        <w:spacing w:line="276" w:lineRule="auto"/>
        <w:ind w:left="476" w:hanging="476"/>
        <w:rPr>
          <w:rFonts w:ascii="宋体" w:hAnsi="宋体" w:cs="Helvetica"/>
          <w:kern w:val="0"/>
          <w:szCs w:val="21"/>
          <w:lang w:val="zh-CN"/>
        </w:rPr>
      </w:pPr>
      <w:r>
        <w:rPr>
          <w:rFonts w:hint="eastAsia" w:ascii="宋体" w:hAnsi="宋体"/>
          <w:b/>
          <w:szCs w:val="21"/>
          <w:lang w:val="zh-CN"/>
        </w:rPr>
        <w:t>“合格的投标人”是指：</w:t>
      </w:r>
      <w:r>
        <w:rPr>
          <w:rFonts w:hint="eastAsia" w:ascii="宋体" w:hAnsi="宋体" w:cs="Helvetica"/>
          <w:kern w:val="0"/>
          <w:szCs w:val="21"/>
          <w:lang w:val="zh-CN"/>
        </w:rPr>
        <w:t>资格审查和符合性审查合格的投标人。</w:t>
      </w:r>
    </w:p>
    <w:p w14:paraId="4BD22584">
      <w:pPr>
        <w:numPr>
          <w:ilvl w:val="0"/>
          <w:numId w:val="3"/>
        </w:numPr>
        <w:spacing w:line="276" w:lineRule="auto"/>
        <w:ind w:left="476" w:hanging="476"/>
        <w:rPr>
          <w:rFonts w:ascii="宋体" w:hAnsi="宋体"/>
          <w:szCs w:val="21"/>
          <w:lang w:val="zh-CN"/>
        </w:rPr>
      </w:pPr>
      <w:r>
        <w:rPr>
          <w:rFonts w:hint="eastAsia" w:ascii="宋体" w:hAnsi="宋体"/>
          <w:b/>
          <w:szCs w:val="21"/>
          <w:lang w:val="zh-CN"/>
        </w:rPr>
        <w:t>“中标人”是指：</w:t>
      </w:r>
      <w:r>
        <w:rPr>
          <w:rFonts w:hint="eastAsia" w:ascii="宋体" w:hAnsi="宋体"/>
          <w:szCs w:val="21"/>
          <w:lang w:val="zh-CN"/>
        </w:rPr>
        <w:t>经评标委员会评审推荐，采购人授予合同的投标人。</w:t>
      </w:r>
    </w:p>
    <w:p w14:paraId="57F607C7">
      <w:pPr>
        <w:numPr>
          <w:ilvl w:val="0"/>
          <w:numId w:val="3"/>
        </w:numPr>
        <w:spacing w:line="276" w:lineRule="auto"/>
        <w:ind w:left="476" w:hanging="476"/>
        <w:rPr>
          <w:rFonts w:ascii="宋体" w:hAnsi="宋体"/>
          <w:szCs w:val="21"/>
          <w:lang w:val="zh-CN"/>
        </w:rPr>
      </w:pPr>
      <w:r>
        <w:rPr>
          <w:rFonts w:hint="eastAsia" w:ascii="宋体" w:hAnsi="宋体"/>
          <w:b/>
          <w:szCs w:val="21"/>
          <w:lang w:val="zh-CN"/>
        </w:rPr>
        <w:t>“投标文件”是指：</w:t>
      </w:r>
      <w:r>
        <w:rPr>
          <w:rFonts w:hint="eastAsia" w:ascii="宋体" w:hAnsi="宋体" w:cs="宋体"/>
          <w:szCs w:val="21"/>
        </w:rPr>
        <w:t>投标人根据招标文件要求，编制的包含价格、技术、服务和合同草案条款等所有内容的文件。</w:t>
      </w:r>
    </w:p>
    <w:p w14:paraId="14953A6F">
      <w:pPr>
        <w:numPr>
          <w:ilvl w:val="0"/>
          <w:numId w:val="3"/>
        </w:numPr>
        <w:spacing w:line="276" w:lineRule="auto"/>
        <w:ind w:left="476" w:hanging="476"/>
        <w:rPr>
          <w:rFonts w:ascii="宋体" w:hAnsi="宋体"/>
          <w:szCs w:val="21"/>
          <w:lang w:val="zh-CN"/>
        </w:rPr>
      </w:pPr>
      <w:r>
        <w:rPr>
          <w:rFonts w:hint="eastAsia" w:ascii="宋体" w:hAnsi="宋体"/>
          <w:b/>
          <w:szCs w:val="21"/>
          <w:lang w:val="zh-CN"/>
        </w:rPr>
        <w:t xml:space="preserve"> “进口产品” 是指：</w:t>
      </w:r>
      <w:r>
        <w:rPr>
          <w:rFonts w:hint="eastAsia" w:ascii="宋体" w:hAnsi="宋体" w:cs="宋体"/>
          <w:szCs w:val="21"/>
        </w:rPr>
        <w:t>通过中国海关报关验放进入中国境内且产自关境外的产品。</w:t>
      </w:r>
    </w:p>
    <w:p w14:paraId="18A1B426">
      <w:pPr>
        <w:numPr>
          <w:ilvl w:val="0"/>
          <w:numId w:val="3"/>
        </w:numPr>
        <w:spacing w:line="276" w:lineRule="auto"/>
        <w:ind w:left="476" w:hanging="476"/>
        <w:rPr>
          <w:rFonts w:ascii="宋体" w:hAnsi="宋体"/>
          <w:szCs w:val="21"/>
          <w:lang w:val="zh-CN"/>
        </w:rPr>
      </w:pPr>
      <w:r>
        <w:rPr>
          <w:rFonts w:hint="eastAsia" w:ascii="宋体" w:hAnsi="宋体" w:cs="宋体"/>
          <w:szCs w:val="21"/>
        </w:rPr>
        <w:t>“</w:t>
      </w:r>
      <w:r>
        <w:rPr>
          <w:rFonts w:hint="eastAsia" w:ascii="宋体" w:hAnsi="宋体" w:cs="宋体"/>
          <w:sz w:val="22"/>
        </w:rPr>
        <w:t>支持本国产品</w:t>
      </w:r>
      <w:r>
        <w:rPr>
          <w:rFonts w:hint="eastAsia" w:ascii="宋体" w:hAnsi="宋体" w:cs="宋体"/>
          <w:szCs w:val="21"/>
        </w:rPr>
        <w:t>”</w:t>
      </w:r>
      <w:r>
        <w:rPr>
          <w:rFonts w:hint="eastAsia" w:ascii="宋体" w:hAnsi="宋体"/>
          <w:b/>
          <w:szCs w:val="21"/>
          <w:lang w:val="zh-CN"/>
        </w:rPr>
        <w:t>是指：</w:t>
      </w:r>
      <w:r>
        <w:rPr>
          <w:rFonts w:hint="eastAsia" w:ascii="宋体" w:hAnsi="宋体" w:cs="宋体"/>
          <w:kern w:val="0"/>
          <w:szCs w:val="21"/>
        </w:rPr>
        <w:t>根据《国务院办公厅关于在政府采购中实施本国产品标准及相关政策的通知》（国办发〔2025〕34号）、《关于贯彻落实《国务院办公厅关于在政府采购中实施本国产品标准及相关政策的通知》的意见》（财库〔2025〕30号）等要求的规定：</w:t>
      </w:r>
      <w:r>
        <w:rPr>
          <w:rFonts w:hint="eastAsia" w:ascii="宋体" w:hAnsi="宋体" w:cs="宋体"/>
          <w:b/>
          <w:bCs/>
          <w:kern w:val="0"/>
          <w:szCs w:val="21"/>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对于仅有本国产品参与竞争的政府采购项目，本国产品不享受价格扣除评审优惠。投标人对其提供的产品出具《关于符合本国产品标准的声明函》或财政部会同有关部门规定的有关证明文件，是其产品享受政府采购对本国产品支持政策的先决条件。</w:t>
      </w:r>
    </w:p>
    <w:p w14:paraId="3BEF5F55">
      <w:pPr>
        <w:numPr>
          <w:ilvl w:val="0"/>
          <w:numId w:val="2"/>
        </w:numPr>
        <w:spacing w:line="276" w:lineRule="auto"/>
        <w:rPr>
          <w:rFonts w:ascii="宋体" w:hAnsi="宋体"/>
          <w:b/>
          <w:szCs w:val="21"/>
          <w:lang w:val="zh-CN"/>
        </w:rPr>
      </w:pPr>
      <w:r>
        <w:rPr>
          <w:rFonts w:hint="eastAsia" w:ascii="宋体" w:hAnsi="宋体"/>
          <w:b/>
          <w:szCs w:val="21"/>
          <w:lang w:val="zh-CN"/>
        </w:rPr>
        <w:t>项目属性定义</w:t>
      </w:r>
    </w:p>
    <w:p w14:paraId="692923C2">
      <w:pPr>
        <w:numPr>
          <w:ilvl w:val="0"/>
          <w:numId w:val="4"/>
        </w:numPr>
        <w:spacing w:line="276" w:lineRule="auto"/>
        <w:ind w:left="476" w:hanging="476"/>
        <w:rPr>
          <w:rFonts w:ascii="宋体" w:hAnsi="宋体"/>
          <w:szCs w:val="21"/>
          <w:lang w:val="zh-CN"/>
        </w:rPr>
      </w:pPr>
      <w:r>
        <w:rPr>
          <w:rFonts w:hint="eastAsia" w:ascii="宋体" w:hAnsi="宋体"/>
          <w:b/>
          <w:szCs w:val="21"/>
          <w:lang w:val="zh-CN"/>
        </w:rPr>
        <w:t>“货物”是指</w:t>
      </w:r>
      <w:r>
        <w:rPr>
          <w:rFonts w:hint="eastAsia" w:ascii="宋体" w:hAnsi="宋体"/>
          <w:szCs w:val="21"/>
          <w:lang w:val="zh-CN"/>
        </w:rPr>
        <w:t>：各种形态和种类的物品，包括原材料、燃料、设备、产品等。</w:t>
      </w:r>
    </w:p>
    <w:p w14:paraId="6A4DA82F">
      <w:pPr>
        <w:numPr>
          <w:ilvl w:val="0"/>
          <w:numId w:val="5"/>
        </w:numPr>
        <w:spacing w:line="276" w:lineRule="auto"/>
        <w:rPr>
          <w:rFonts w:ascii="宋体" w:hAnsi="宋体"/>
          <w:szCs w:val="21"/>
          <w:lang w:val="zh-CN"/>
        </w:rPr>
      </w:pPr>
      <w:r>
        <w:rPr>
          <w:rFonts w:hint="eastAsia" w:ascii="宋体" w:hAnsi="宋体"/>
          <w:szCs w:val="21"/>
          <w:lang w:val="zh-CN"/>
        </w:rPr>
        <w:t>招标文件中没有提及招标货物来源地的，根据《中华人民共和国政府采购法》及相关规定均应是本国货物，另有规定的除外。</w:t>
      </w:r>
    </w:p>
    <w:p w14:paraId="403A03B1">
      <w:pPr>
        <w:numPr>
          <w:ilvl w:val="0"/>
          <w:numId w:val="5"/>
        </w:numPr>
        <w:spacing w:line="276" w:lineRule="auto"/>
        <w:ind w:left="726" w:hanging="442"/>
        <w:rPr>
          <w:rFonts w:ascii="宋体" w:hAnsi="宋体"/>
          <w:szCs w:val="21"/>
          <w:lang w:val="zh-CN"/>
        </w:rPr>
      </w:pPr>
      <w:r>
        <w:rPr>
          <w:rFonts w:hint="eastAsia" w:ascii="宋体" w:hAnsi="宋体"/>
          <w:szCs w:val="21"/>
          <w:lang w:val="zh-CN"/>
        </w:rPr>
        <w:t>投标的货物应是合法生产的符合国家有关标准要求的货物，并能够按照合同规定的品牌、产地、质量、价格和有效期等履约。</w:t>
      </w:r>
    </w:p>
    <w:p w14:paraId="0CAC775E">
      <w:pPr>
        <w:numPr>
          <w:ilvl w:val="0"/>
          <w:numId w:val="4"/>
        </w:numPr>
        <w:spacing w:line="276" w:lineRule="auto"/>
        <w:ind w:left="476" w:hanging="476"/>
        <w:rPr>
          <w:rFonts w:ascii="宋体" w:hAnsi="宋体"/>
          <w:b/>
          <w:color w:val="0D0D0D"/>
          <w:szCs w:val="21"/>
          <w:lang w:val="zh-CN"/>
        </w:rPr>
      </w:pPr>
      <w:r>
        <w:rPr>
          <w:rFonts w:hint="eastAsia" w:ascii="宋体" w:hAnsi="宋体"/>
          <w:b/>
          <w:color w:val="0D0D0D"/>
          <w:szCs w:val="21"/>
          <w:lang w:val="zh-CN"/>
        </w:rPr>
        <w:t>“工程”是指</w:t>
      </w:r>
      <w:r>
        <w:rPr>
          <w:rFonts w:hint="eastAsia" w:ascii="宋体" w:hAnsi="宋体"/>
          <w:color w:val="0D0D0D"/>
          <w:szCs w:val="21"/>
          <w:lang w:val="zh-CN"/>
        </w:rPr>
        <w:t>：与建筑物和构筑物的新建、改建、扩建及其相关的装修、拆除、修缮无关的工程。</w:t>
      </w:r>
    </w:p>
    <w:p w14:paraId="4F6C115D">
      <w:pPr>
        <w:numPr>
          <w:ilvl w:val="0"/>
          <w:numId w:val="4"/>
        </w:numPr>
        <w:spacing w:line="276" w:lineRule="auto"/>
        <w:ind w:left="476" w:hanging="476"/>
        <w:rPr>
          <w:rFonts w:ascii="宋体" w:hAnsi="宋体"/>
          <w:szCs w:val="21"/>
          <w:lang w:val="zh-CN"/>
        </w:rPr>
      </w:pPr>
      <w:r>
        <w:rPr>
          <w:rFonts w:hint="eastAsia" w:ascii="宋体" w:hAnsi="宋体"/>
          <w:b/>
          <w:szCs w:val="21"/>
          <w:lang w:val="zh-CN"/>
        </w:rPr>
        <w:t>“服务”</w:t>
      </w:r>
      <w:r>
        <w:rPr>
          <w:rFonts w:hint="eastAsia" w:ascii="宋体" w:hAnsi="宋体"/>
          <w:b/>
          <w:color w:val="0C0C0C"/>
          <w:szCs w:val="21"/>
          <w:lang w:val="zh-CN"/>
        </w:rPr>
        <w:t>是指：</w:t>
      </w:r>
      <w:r>
        <w:rPr>
          <w:rFonts w:hint="eastAsia" w:ascii="宋体" w:hAnsi="宋体"/>
          <w:color w:val="0C0C0C"/>
          <w:szCs w:val="21"/>
          <w:lang w:val="zh-CN"/>
        </w:rPr>
        <w:t>除前述“货物”和“工程”以外的其他政府采购对象,包括采购人自身需要的服务  和采购人向社会公众提供的公共服务。</w:t>
      </w:r>
    </w:p>
    <w:p w14:paraId="7FE2E9CF">
      <w:pPr>
        <w:numPr>
          <w:ilvl w:val="0"/>
          <w:numId w:val="2"/>
        </w:numPr>
        <w:spacing w:line="276" w:lineRule="auto"/>
        <w:rPr>
          <w:rFonts w:ascii="宋体" w:hAnsi="宋体"/>
          <w:b/>
          <w:szCs w:val="21"/>
          <w:lang w:val="zh-CN"/>
        </w:rPr>
      </w:pPr>
      <w:r>
        <w:rPr>
          <w:rFonts w:hint="eastAsia" w:ascii="宋体" w:hAnsi="宋体"/>
          <w:b/>
          <w:szCs w:val="21"/>
          <w:lang w:val="zh-CN"/>
        </w:rPr>
        <w:t>费用</w:t>
      </w:r>
    </w:p>
    <w:p w14:paraId="3F309FE9">
      <w:pPr>
        <w:numPr>
          <w:ilvl w:val="0"/>
          <w:numId w:val="6"/>
        </w:numPr>
        <w:spacing w:line="276" w:lineRule="auto"/>
        <w:ind w:left="476" w:hanging="476"/>
        <w:rPr>
          <w:rFonts w:ascii="宋体" w:hAnsi="宋体"/>
          <w:szCs w:val="21"/>
          <w:lang w:val="zh-CN"/>
        </w:rPr>
      </w:pPr>
      <w:r>
        <w:rPr>
          <w:rFonts w:hint="eastAsia" w:ascii="宋体" w:hAnsi="宋体"/>
          <w:szCs w:val="21"/>
          <w:lang w:val="zh-CN"/>
        </w:rPr>
        <w:t>投标人应承担所有与准备和参加投标有关的费用。不论投标的结果如何，采购人和采购代理机构均无义务和责任承担这些费用。</w:t>
      </w:r>
    </w:p>
    <w:p w14:paraId="47739545">
      <w:pPr>
        <w:numPr>
          <w:ilvl w:val="0"/>
          <w:numId w:val="6"/>
        </w:numPr>
        <w:spacing w:line="276" w:lineRule="auto"/>
        <w:ind w:left="476" w:hanging="476"/>
        <w:rPr>
          <w:rFonts w:ascii="宋体" w:hAnsi="宋体"/>
          <w:szCs w:val="21"/>
          <w:lang w:val="zh-CN"/>
        </w:rPr>
      </w:pPr>
      <w:r>
        <w:rPr>
          <w:rFonts w:hint="eastAsia" w:ascii="宋体" w:hAnsi="宋体" w:cs="宋体"/>
          <w:szCs w:val="21"/>
        </w:rPr>
        <w:t>中标人须在收到中标通知书时向采购代理机构支付代理服务费。服务费支付标准和方法详见《投标人须知前附表》。</w:t>
      </w:r>
    </w:p>
    <w:p w14:paraId="383259EC">
      <w:pPr>
        <w:numPr>
          <w:ilvl w:val="0"/>
          <w:numId w:val="6"/>
        </w:numPr>
        <w:spacing w:line="276" w:lineRule="auto"/>
        <w:ind w:left="476" w:hanging="476"/>
        <w:rPr>
          <w:rFonts w:ascii="宋体" w:hAnsi="宋体"/>
          <w:szCs w:val="21"/>
          <w:lang w:val="zh-CN"/>
        </w:rPr>
      </w:pPr>
      <w:r>
        <w:rPr>
          <w:rFonts w:hint="eastAsia" w:ascii="宋体" w:hAnsi="宋体" w:cs="宋体"/>
          <w:szCs w:val="21"/>
        </w:rPr>
        <w:t>原国家计委计价格[2002]1980号规定收费标准：</w:t>
      </w:r>
    </w:p>
    <w:tbl>
      <w:tblPr>
        <w:tblStyle w:val="26"/>
        <w:tblW w:w="8386" w:type="dxa"/>
        <w:jc w:val="center"/>
        <w:tblLayout w:type="fixed"/>
        <w:tblCellMar>
          <w:top w:w="0" w:type="dxa"/>
          <w:left w:w="0" w:type="dxa"/>
          <w:bottom w:w="0" w:type="dxa"/>
          <w:right w:w="0" w:type="dxa"/>
        </w:tblCellMar>
      </w:tblPr>
      <w:tblGrid>
        <w:gridCol w:w="2402"/>
        <w:gridCol w:w="2024"/>
        <w:gridCol w:w="1800"/>
        <w:gridCol w:w="2160"/>
      </w:tblGrid>
      <w:tr w14:paraId="2E861FC7">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14:paraId="7EB0951D">
            <w:pPr>
              <w:spacing w:line="276" w:lineRule="auto"/>
              <w:jc w:val="center"/>
              <w:rPr>
                <w:rFonts w:ascii="宋体" w:hAnsi="宋体" w:cs="宋体"/>
                <w:b/>
                <w:color w:val="000000"/>
                <w:szCs w:val="21"/>
              </w:rPr>
            </w:pPr>
            <w:r>
              <w:rPr>
                <w:rFonts w:hint="eastAsia" w:ascii="宋体" w:hAnsi="宋体" w:cs="宋体"/>
                <w:b/>
                <w:color w:val="000000"/>
                <w:szCs w:val="21"/>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14:paraId="57556654">
            <w:pPr>
              <w:spacing w:line="276" w:lineRule="auto"/>
              <w:jc w:val="center"/>
              <w:rPr>
                <w:rFonts w:ascii="宋体" w:hAnsi="宋体" w:cs="宋体"/>
                <w:b/>
                <w:color w:val="000000"/>
                <w:kern w:val="0"/>
                <w:szCs w:val="21"/>
              </w:rPr>
            </w:pPr>
            <w:r>
              <w:rPr>
                <w:rFonts w:hint="eastAsia" w:ascii="宋体" w:hAnsi="宋体" w:cs="宋体"/>
                <w:b/>
                <w:color w:val="000000"/>
                <w:kern w:val="0"/>
                <w:szCs w:val="21"/>
              </w:rPr>
              <w:t>货物</w:t>
            </w:r>
          </w:p>
        </w:tc>
        <w:tc>
          <w:tcPr>
            <w:tcW w:w="1800" w:type="dxa"/>
            <w:tcBorders>
              <w:top w:val="single" w:color="auto" w:sz="8" w:space="0"/>
              <w:left w:val="single" w:color="auto" w:sz="8" w:space="0"/>
              <w:bottom w:val="single" w:color="auto" w:sz="8" w:space="0"/>
              <w:right w:val="single" w:color="auto" w:sz="8" w:space="0"/>
            </w:tcBorders>
            <w:vAlign w:val="center"/>
          </w:tcPr>
          <w:p w14:paraId="02439AD5">
            <w:pPr>
              <w:spacing w:line="276" w:lineRule="auto"/>
              <w:jc w:val="center"/>
              <w:rPr>
                <w:rFonts w:ascii="宋体" w:hAnsi="宋体" w:cs="宋体"/>
                <w:b/>
                <w:color w:val="000000"/>
                <w:kern w:val="0"/>
                <w:szCs w:val="21"/>
              </w:rPr>
            </w:pPr>
            <w:r>
              <w:rPr>
                <w:rFonts w:hint="eastAsia" w:ascii="宋体" w:hAnsi="宋体" w:cs="宋体"/>
                <w:b/>
                <w:color w:val="000000"/>
                <w:kern w:val="0"/>
                <w:szCs w:val="21"/>
              </w:rPr>
              <w:t>服务</w:t>
            </w:r>
          </w:p>
        </w:tc>
        <w:tc>
          <w:tcPr>
            <w:tcW w:w="2160" w:type="dxa"/>
            <w:tcBorders>
              <w:top w:val="single" w:color="auto" w:sz="8" w:space="0"/>
              <w:left w:val="single" w:color="auto" w:sz="8" w:space="0"/>
              <w:bottom w:val="single" w:color="auto" w:sz="8" w:space="0"/>
              <w:right w:val="single" w:color="auto" w:sz="8" w:space="0"/>
            </w:tcBorders>
            <w:vAlign w:val="center"/>
          </w:tcPr>
          <w:p w14:paraId="76978995">
            <w:pPr>
              <w:spacing w:line="276" w:lineRule="auto"/>
              <w:jc w:val="center"/>
              <w:rPr>
                <w:rFonts w:ascii="宋体" w:hAnsi="宋体" w:cs="宋体"/>
                <w:b/>
                <w:color w:val="000000"/>
                <w:kern w:val="0"/>
                <w:szCs w:val="21"/>
              </w:rPr>
            </w:pPr>
            <w:r>
              <w:rPr>
                <w:rFonts w:hint="eastAsia" w:ascii="宋体" w:hAnsi="宋体" w:cs="宋体"/>
                <w:b/>
                <w:color w:val="000000"/>
                <w:kern w:val="0"/>
                <w:szCs w:val="21"/>
              </w:rPr>
              <w:t>工程</w:t>
            </w:r>
          </w:p>
        </w:tc>
      </w:tr>
      <w:tr w14:paraId="7C2174CD">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6A7DEF6E">
            <w:pPr>
              <w:spacing w:line="276" w:lineRule="auto"/>
              <w:jc w:val="center"/>
              <w:rPr>
                <w:rFonts w:ascii="宋体" w:hAnsi="宋体" w:cs="宋体"/>
                <w:color w:val="000000"/>
                <w:kern w:val="0"/>
                <w:szCs w:val="21"/>
              </w:rPr>
            </w:pPr>
            <w:r>
              <w:rPr>
                <w:rFonts w:hint="eastAsia" w:ascii="宋体" w:hAnsi="宋体" w:cs="宋体"/>
                <w:color w:val="000000"/>
                <w:kern w:val="0"/>
                <w:szCs w:val="21"/>
              </w:rPr>
              <w:t>100以下</w:t>
            </w:r>
          </w:p>
        </w:tc>
        <w:tc>
          <w:tcPr>
            <w:tcW w:w="2024" w:type="dxa"/>
            <w:tcBorders>
              <w:top w:val="single" w:color="auto" w:sz="8" w:space="0"/>
              <w:left w:val="single" w:color="auto" w:sz="8" w:space="0"/>
              <w:bottom w:val="single" w:color="auto" w:sz="8" w:space="0"/>
              <w:right w:val="single" w:color="auto" w:sz="8" w:space="0"/>
            </w:tcBorders>
            <w:vAlign w:val="center"/>
          </w:tcPr>
          <w:p w14:paraId="7C573C81">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1800" w:type="dxa"/>
            <w:tcBorders>
              <w:top w:val="single" w:color="auto" w:sz="8" w:space="0"/>
              <w:left w:val="single" w:color="auto" w:sz="8" w:space="0"/>
              <w:bottom w:val="single" w:color="auto" w:sz="8" w:space="0"/>
              <w:right w:val="single" w:color="auto" w:sz="8" w:space="0"/>
            </w:tcBorders>
            <w:vAlign w:val="center"/>
          </w:tcPr>
          <w:p w14:paraId="39B91022">
            <w:pPr>
              <w:spacing w:line="276" w:lineRule="auto"/>
              <w:jc w:val="center"/>
              <w:rPr>
                <w:rFonts w:ascii="宋体" w:hAnsi="宋体" w:cs="宋体"/>
                <w:color w:val="000000"/>
                <w:kern w:val="0"/>
                <w:szCs w:val="21"/>
              </w:rPr>
            </w:pPr>
            <w:r>
              <w:rPr>
                <w:rFonts w:hint="eastAsia" w:ascii="宋体" w:hAnsi="宋体" w:cs="宋体"/>
                <w:color w:val="000000"/>
                <w:kern w:val="0"/>
                <w:szCs w:val="21"/>
              </w:rPr>
              <w:t>1.5%</w:t>
            </w:r>
          </w:p>
        </w:tc>
        <w:tc>
          <w:tcPr>
            <w:tcW w:w="2160" w:type="dxa"/>
            <w:tcBorders>
              <w:top w:val="single" w:color="auto" w:sz="8" w:space="0"/>
              <w:left w:val="single" w:color="auto" w:sz="8" w:space="0"/>
              <w:bottom w:val="single" w:color="auto" w:sz="8" w:space="0"/>
              <w:right w:val="single" w:color="auto" w:sz="8" w:space="0"/>
            </w:tcBorders>
            <w:vAlign w:val="center"/>
          </w:tcPr>
          <w:p w14:paraId="0BACB827">
            <w:pPr>
              <w:spacing w:line="276" w:lineRule="auto"/>
              <w:jc w:val="center"/>
              <w:rPr>
                <w:rFonts w:ascii="宋体" w:hAnsi="宋体" w:cs="宋体"/>
                <w:color w:val="000000"/>
                <w:kern w:val="0"/>
                <w:szCs w:val="21"/>
              </w:rPr>
            </w:pPr>
            <w:r>
              <w:rPr>
                <w:rFonts w:hint="eastAsia" w:ascii="宋体" w:hAnsi="宋体" w:cs="宋体"/>
                <w:color w:val="000000"/>
                <w:kern w:val="0"/>
                <w:szCs w:val="21"/>
              </w:rPr>
              <w:t>1.0%</w:t>
            </w:r>
          </w:p>
        </w:tc>
      </w:tr>
      <w:tr w14:paraId="335E8A8A">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2A8AC500">
            <w:pPr>
              <w:spacing w:line="276" w:lineRule="auto"/>
              <w:jc w:val="center"/>
              <w:rPr>
                <w:rFonts w:ascii="宋体" w:hAnsi="宋体" w:cs="宋体"/>
                <w:color w:val="000000"/>
                <w:kern w:val="0"/>
                <w:szCs w:val="21"/>
              </w:rPr>
            </w:pPr>
            <w:r>
              <w:rPr>
                <w:rFonts w:hint="eastAsia" w:ascii="宋体" w:hAnsi="宋体" w:cs="宋体"/>
                <w:color w:val="000000"/>
                <w:kern w:val="0"/>
                <w:szCs w:val="21"/>
              </w:rPr>
              <w:t>lOO-500</w:t>
            </w:r>
          </w:p>
        </w:tc>
        <w:tc>
          <w:tcPr>
            <w:tcW w:w="2024" w:type="dxa"/>
            <w:tcBorders>
              <w:top w:val="single" w:color="auto" w:sz="8" w:space="0"/>
              <w:left w:val="single" w:color="auto" w:sz="8" w:space="0"/>
              <w:bottom w:val="single" w:color="auto" w:sz="8" w:space="0"/>
              <w:right w:val="single" w:color="auto" w:sz="8" w:space="0"/>
            </w:tcBorders>
            <w:vAlign w:val="center"/>
          </w:tcPr>
          <w:p w14:paraId="28B45377">
            <w:pPr>
              <w:spacing w:line="276" w:lineRule="auto"/>
              <w:jc w:val="center"/>
              <w:rPr>
                <w:rFonts w:ascii="宋体" w:hAnsi="宋体" w:cs="宋体"/>
                <w:color w:val="000000"/>
                <w:kern w:val="0"/>
                <w:szCs w:val="21"/>
              </w:rPr>
            </w:pPr>
            <w:r>
              <w:rPr>
                <w:rFonts w:hint="eastAsia" w:ascii="宋体" w:hAnsi="宋体" w:cs="宋体"/>
                <w:color w:val="000000"/>
                <w:kern w:val="0"/>
                <w:szCs w:val="21"/>
              </w:rPr>
              <w:t>1.1%</w:t>
            </w:r>
          </w:p>
        </w:tc>
        <w:tc>
          <w:tcPr>
            <w:tcW w:w="1800" w:type="dxa"/>
            <w:tcBorders>
              <w:top w:val="single" w:color="auto" w:sz="8" w:space="0"/>
              <w:left w:val="single" w:color="auto" w:sz="8" w:space="0"/>
              <w:bottom w:val="single" w:color="auto" w:sz="8" w:space="0"/>
              <w:right w:val="single" w:color="auto" w:sz="8" w:space="0"/>
            </w:tcBorders>
            <w:vAlign w:val="center"/>
          </w:tcPr>
          <w:p w14:paraId="28F2B421">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2160" w:type="dxa"/>
            <w:tcBorders>
              <w:top w:val="single" w:color="auto" w:sz="8" w:space="0"/>
              <w:left w:val="single" w:color="auto" w:sz="8" w:space="0"/>
              <w:bottom w:val="single" w:color="auto" w:sz="8" w:space="0"/>
              <w:right w:val="single" w:color="auto" w:sz="8" w:space="0"/>
            </w:tcBorders>
            <w:vAlign w:val="center"/>
          </w:tcPr>
          <w:p w14:paraId="01F51CCD">
            <w:pPr>
              <w:spacing w:line="276" w:lineRule="auto"/>
              <w:jc w:val="center"/>
              <w:rPr>
                <w:rFonts w:ascii="宋体" w:hAnsi="宋体" w:cs="宋体"/>
                <w:color w:val="000000"/>
                <w:kern w:val="0"/>
                <w:szCs w:val="21"/>
              </w:rPr>
            </w:pPr>
            <w:r>
              <w:rPr>
                <w:rFonts w:hint="eastAsia" w:ascii="宋体" w:hAnsi="宋体" w:cs="宋体"/>
                <w:color w:val="000000"/>
                <w:kern w:val="0"/>
                <w:szCs w:val="21"/>
              </w:rPr>
              <w:t>0.7%</w:t>
            </w:r>
          </w:p>
        </w:tc>
      </w:tr>
      <w:tr w14:paraId="32B27AF8">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4CF58E1A">
            <w:pPr>
              <w:spacing w:line="276" w:lineRule="auto"/>
              <w:jc w:val="center"/>
              <w:rPr>
                <w:rFonts w:ascii="宋体" w:hAnsi="宋体" w:cs="宋体"/>
                <w:color w:val="000000"/>
                <w:kern w:val="0"/>
                <w:szCs w:val="21"/>
              </w:rPr>
            </w:pPr>
            <w:r>
              <w:rPr>
                <w:rFonts w:hint="eastAsia" w:ascii="宋体" w:hAnsi="宋体" w:cs="宋体"/>
                <w:color w:val="000000"/>
                <w:kern w:val="0"/>
                <w:szCs w:val="21"/>
              </w:rPr>
              <w:t>500-1000</w:t>
            </w:r>
          </w:p>
        </w:tc>
        <w:tc>
          <w:tcPr>
            <w:tcW w:w="2024" w:type="dxa"/>
            <w:tcBorders>
              <w:top w:val="single" w:color="auto" w:sz="8" w:space="0"/>
              <w:left w:val="single" w:color="auto" w:sz="8" w:space="0"/>
              <w:bottom w:val="single" w:color="auto" w:sz="8" w:space="0"/>
              <w:right w:val="single" w:color="auto" w:sz="8" w:space="0"/>
            </w:tcBorders>
            <w:vAlign w:val="center"/>
          </w:tcPr>
          <w:p w14:paraId="03594E3F">
            <w:pPr>
              <w:spacing w:line="276" w:lineRule="auto"/>
              <w:jc w:val="center"/>
              <w:rPr>
                <w:rFonts w:ascii="宋体" w:hAnsi="宋体" w:cs="宋体"/>
                <w:color w:val="000000"/>
                <w:kern w:val="0"/>
                <w:szCs w:val="21"/>
              </w:rPr>
            </w:pPr>
            <w:r>
              <w:rPr>
                <w:rFonts w:hint="eastAsia" w:ascii="宋体" w:hAnsi="宋体" w:cs="宋体"/>
                <w:color w:val="000000"/>
                <w:kern w:val="0"/>
                <w:szCs w:val="21"/>
              </w:rPr>
              <w:t>0.8%</w:t>
            </w:r>
          </w:p>
        </w:tc>
        <w:tc>
          <w:tcPr>
            <w:tcW w:w="1800" w:type="dxa"/>
            <w:tcBorders>
              <w:top w:val="single" w:color="auto" w:sz="8" w:space="0"/>
              <w:left w:val="single" w:color="auto" w:sz="8" w:space="0"/>
              <w:bottom w:val="single" w:color="auto" w:sz="8" w:space="0"/>
              <w:right w:val="single" w:color="auto" w:sz="8" w:space="0"/>
            </w:tcBorders>
            <w:vAlign w:val="center"/>
          </w:tcPr>
          <w:p w14:paraId="141B6F5A">
            <w:pPr>
              <w:spacing w:line="276" w:lineRule="auto"/>
              <w:jc w:val="center"/>
              <w:rPr>
                <w:rFonts w:ascii="宋体" w:hAnsi="宋体" w:cs="宋体"/>
                <w:color w:val="000000"/>
                <w:kern w:val="0"/>
                <w:szCs w:val="21"/>
              </w:rPr>
            </w:pPr>
            <w:r>
              <w:rPr>
                <w:rFonts w:hint="eastAsia" w:ascii="宋体" w:hAnsi="宋体" w:cs="宋体"/>
                <w:color w:val="000000"/>
                <w:kern w:val="0"/>
                <w:szCs w:val="21"/>
              </w:rPr>
              <w:t>0.45%</w:t>
            </w:r>
          </w:p>
        </w:tc>
        <w:tc>
          <w:tcPr>
            <w:tcW w:w="2160" w:type="dxa"/>
            <w:tcBorders>
              <w:top w:val="single" w:color="auto" w:sz="8" w:space="0"/>
              <w:left w:val="single" w:color="auto" w:sz="8" w:space="0"/>
              <w:bottom w:val="single" w:color="auto" w:sz="8" w:space="0"/>
              <w:right w:val="single" w:color="auto" w:sz="8" w:space="0"/>
            </w:tcBorders>
            <w:vAlign w:val="center"/>
          </w:tcPr>
          <w:p w14:paraId="7B8B8677">
            <w:pPr>
              <w:spacing w:line="276" w:lineRule="auto"/>
              <w:jc w:val="center"/>
              <w:rPr>
                <w:rFonts w:ascii="宋体" w:hAnsi="宋体" w:cs="宋体"/>
                <w:color w:val="000000"/>
                <w:kern w:val="0"/>
                <w:szCs w:val="21"/>
              </w:rPr>
            </w:pPr>
            <w:r>
              <w:rPr>
                <w:rFonts w:hint="eastAsia" w:ascii="宋体" w:hAnsi="宋体" w:cs="宋体"/>
                <w:color w:val="000000"/>
                <w:kern w:val="0"/>
                <w:szCs w:val="21"/>
              </w:rPr>
              <w:t>0.55%</w:t>
            </w:r>
          </w:p>
        </w:tc>
      </w:tr>
      <w:tr w14:paraId="01B82CF4">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042439C4">
            <w:pPr>
              <w:spacing w:line="276" w:lineRule="auto"/>
              <w:jc w:val="center"/>
              <w:rPr>
                <w:rFonts w:ascii="宋体" w:hAnsi="宋体" w:cs="宋体"/>
                <w:color w:val="000000"/>
                <w:kern w:val="0"/>
                <w:szCs w:val="21"/>
              </w:rPr>
            </w:pPr>
            <w:r>
              <w:rPr>
                <w:rFonts w:hint="eastAsia" w:ascii="宋体" w:hAnsi="宋体" w:cs="宋体"/>
                <w:color w:val="000000"/>
                <w:kern w:val="0"/>
                <w:szCs w:val="21"/>
              </w:rPr>
              <w:t>l000—5000</w:t>
            </w:r>
          </w:p>
        </w:tc>
        <w:tc>
          <w:tcPr>
            <w:tcW w:w="2024" w:type="dxa"/>
            <w:tcBorders>
              <w:top w:val="single" w:color="auto" w:sz="8" w:space="0"/>
              <w:left w:val="single" w:color="auto" w:sz="8" w:space="0"/>
              <w:bottom w:val="single" w:color="auto" w:sz="8" w:space="0"/>
              <w:right w:val="single" w:color="auto" w:sz="8" w:space="0"/>
            </w:tcBorders>
            <w:vAlign w:val="center"/>
          </w:tcPr>
          <w:p w14:paraId="7CC8B41F">
            <w:pPr>
              <w:spacing w:line="276" w:lineRule="auto"/>
              <w:jc w:val="center"/>
              <w:rPr>
                <w:rFonts w:ascii="宋体" w:hAnsi="宋体" w:cs="宋体"/>
                <w:color w:val="000000"/>
                <w:kern w:val="0"/>
                <w:szCs w:val="21"/>
              </w:rPr>
            </w:pPr>
            <w:r>
              <w:rPr>
                <w:rFonts w:hint="eastAsia" w:ascii="宋体" w:hAnsi="宋体" w:cs="宋体"/>
                <w:color w:val="000000"/>
                <w:kern w:val="0"/>
                <w:szCs w:val="21"/>
              </w:rPr>
              <w:t>0.5%</w:t>
            </w:r>
          </w:p>
        </w:tc>
        <w:tc>
          <w:tcPr>
            <w:tcW w:w="1800" w:type="dxa"/>
            <w:tcBorders>
              <w:top w:val="single" w:color="auto" w:sz="8" w:space="0"/>
              <w:left w:val="single" w:color="auto" w:sz="8" w:space="0"/>
              <w:bottom w:val="single" w:color="auto" w:sz="8" w:space="0"/>
              <w:right w:val="single" w:color="auto" w:sz="8" w:space="0"/>
            </w:tcBorders>
            <w:vAlign w:val="center"/>
          </w:tcPr>
          <w:p w14:paraId="3AB2F1A3">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2160" w:type="dxa"/>
            <w:tcBorders>
              <w:top w:val="single" w:color="auto" w:sz="8" w:space="0"/>
              <w:left w:val="single" w:color="auto" w:sz="8" w:space="0"/>
              <w:bottom w:val="single" w:color="auto" w:sz="8" w:space="0"/>
              <w:right w:val="single" w:color="auto" w:sz="8" w:space="0"/>
            </w:tcBorders>
            <w:vAlign w:val="center"/>
          </w:tcPr>
          <w:p w14:paraId="7DECD519">
            <w:pPr>
              <w:spacing w:line="276" w:lineRule="auto"/>
              <w:jc w:val="center"/>
              <w:rPr>
                <w:rFonts w:ascii="宋体" w:hAnsi="宋体" w:cs="宋体"/>
                <w:color w:val="000000"/>
                <w:kern w:val="0"/>
                <w:szCs w:val="21"/>
              </w:rPr>
            </w:pPr>
            <w:r>
              <w:rPr>
                <w:rFonts w:hint="eastAsia" w:ascii="宋体" w:hAnsi="宋体" w:cs="宋体"/>
                <w:color w:val="000000"/>
                <w:kern w:val="0"/>
                <w:szCs w:val="21"/>
              </w:rPr>
              <w:t>0.35%</w:t>
            </w:r>
          </w:p>
        </w:tc>
      </w:tr>
      <w:tr w14:paraId="31189C49">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11A12C57">
            <w:pPr>
              <w:spacing w:line="276" w:lineRule="auto"/>
              <w:jc w:val="center"/>
              <w:rPr>
                <w:rFonts w:ascii="宋体" w:hAnsi="宋体" w:cs="宋体"/>
                <w:color w:val="000000"/>
                <w:kern w:val="0"/>
                <w:szCs w:val="21"/>
              </w:rPr>
            </w:pPr>
            <w:r>
              <w:rPr>
                <w:rFonts w:hint="eastAsia" w:ascii="宋体" w:hAnsi="宋体" w:cs="宋体"/>
                <w:color w:val="000000"/>
                <w:kern w:val="0"/>
                <w:szCs w:val="21"/>
              </w:rPr>
              <w:t>5000-lOOOO</w:t>
            </w:r>
          </w:p>
        </w:tc>
        <w:tc>
          <w:tcPr>
            <w:tcW w:w="2024" w:type="dxa"/>
            <w:tcBorders>
              <w:top w:val="single" w:color="auto" w:sz="8" w:space="0"/>
              <w:left w:val="single" w:color="auto" w:sz="8" w:space="0"/>
              <w:bottom w:val="single" w:color="auto" w:sz="8" w:space="0"/>
              <w:right w:val="single" w:color="auto" w:sz="8" w:space="0"/>
            </w:tcBorders>
            <w:vAlign w:val="center"/>
          </w:tcPr>
          <w:p w14:paraId="6F2EB2B6">
            <w:pPr>
              <w:spacing w:line="276" w:lineRule="auto"/>
              <w:jc w:val="center"/>
              <w:rPr>
                <w:rFonts w:ascii="宋体" w:hAnsi="宋体" w:cs="宋体"/>
                <w:color w:val="000000"/>
                <w:kern w:val="0"/>
                <w:szCs w:val="21"/>
              </w:rPr>
            </w:pPr>
            <w:r>
              <w:rPr>
                <w:rFonts w:hint="eastAsia" w:ascii="宋体" w:hAnsi="宋体" w:cs="宋体"/>
                <w:color w:val="000000"/>
                <w:kern w:val="0"/>
                <w:szCs w:val="21"/>
              </w:rPr>
              <w:t>0.25%</w:t>
            </w:r>
          </w:p>
        </w:tc>
        <w:tc>
          <w:tcPr>
            <w:tcW w:w="1800" w:type="dxa"/>
            <w:tcBorders>
              <w:top w:val="single" w:color="auto" w:sz="8" w:space="0"/>
              <w:left w:val="single" w:color="auto" w:sz="8" w:space="0"/>
              <w:bottom w:val="single" w:color="auto" w:sz="8" w:space="0"/>
              <w:right w:val="single" w:color="auto" w:sz="8" w:space="0"/>
            </w:tcBorders>
            <w:vAlign w:val="center"/>
          </w:tcPr>
          <w:p w14:paraId="6D8AEE4B">
            <w:pPr>
              <w:spacing w:line="276" w:lineRule="auto"/>
              <w:jc w:val="center"/>
              <w:rPr>
                <w:rFonts w:ascii="宋体" w:hAnsi="宋体" w:cs="宋体"/>
                <w:color w:val="000000"/>
                <w:kern w:val="0"/>
                <w:szCs w:val="21"/>
              </w:rPr>
            </w:pPr>
            <w:r>
              <w:rPr>
                <w:rFonts w:hint="eastAsia" w:ascii="宋体" w:hAnsi="宋体" w:cs="宋体"/>
                <w:color w:val="000000"/>
                <w:kern w:val="0"/>
                <w:szCs w:val="21"/>
              </w:rPr>
              <w:t>0.1%</w:t>
            </w:r>
          </w:p>
        </w:tc>
        <w:tc>
          <w:tcPr>
            <w:tcW w:w="2160" w:type="dxa"/>
            <w:tcBorders>
              <w:top w:val="single" w:color="auto" w:sz="8" w:space="0"/>
              <w:left w:val="single" w:color="auto" w:sz="8" w:space="0"/>
              <w:bottom w:val="single" w:color="auto" w:sz="8" w:space="0"/>
              <w:right w:val="single" w:color="auto" w:sz="8" w:space="0"/>
            </w:tcBorders>
            <w:vAlign w:val="center"/>
          </w:tcPr>
          <w:p w14:paraId="05E4AEF5">
            <w:pPr>
              <w:spacing w:line="276" w:lineRule="auto"/>
              <w:jc w:val="center"/>
              <w:rPr>
                <w:rFonts w:ascii="宋体" w:hAnsi="宋体" w:cs="宋体"/>
                <w:color w:val="000000"/>
                <w:kern w:val="0"/>
                <w:szCs w:val="21"/>
              </w:rPr>
            </w:pPr>
            <w:r>
              <w:rPr>
                <w:rFonts w:hint="eastAsia" w:ascii="宋体" w:hAnsi="宋体" w:cs="宋体"/>
                <w:color w:val="000000"/>
                <w:kern w:val="0"/>
                <w:szCs w:val="21"/>
              </w:rPr>
              <w:t>0.2%</w:t>
            </w:r>
          </w:p>
        </w:tc>
      </w:tr>
      <w:tr w14:paraId="5F3E381D">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1830679A">
            <w:pPr>
              <w:spacing w:line="276" w:lineRule="auto"/>
              <w:jc w:val="center"/>
              <w:rPr>
                <w:rFonts w:ascii="宋体" w:hAnsi="宋体" w:cs="宋体"/>
                <w:color w:val="000000"/>
                <w:kern w:val="0"/>
                <w:szCs w:val="21"/>
              </w:rPr>
            </w:pPr>
            <w:r>
              <w:rPr>
                <w:rFonts w:hint="eastAsia" w:ascii="宋体" w:hAnsi="宋体" w:cs="宋体"/>
                <w:color w:val="000000"/>
                <w:kern w:val="0"/>
                <w:szCs w:val="21"/>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14:paraId="14033293">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1800" w:type="dxa"/>
            <w:tcBorders>
              <w:top w:val="single" w:color="auto" w:sz="8" w:space="0"/>
              <w:left w:val="single" w:color="auto" w:sz="8" w:space="0"/>
              <w:bottom w:val="single" w:color="auto" w:sz="8" w:space="0"/>
              <w:right w:val="single" w:color="auto" w:sz="8" w:space="0"/>
            </w:tcBorders>
            <w:vAlign w:val="center"/>
          </w:tcPr>
          <w:p w14:paraId="59B7EAA5">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c>
          <w:tcPr>
            <w:tcW w:w="2160" w:type="dxa"/>
            <w:tcBorders>
              <w:top w:val="single" w:color="auto" w:sz="8" w:space="0"/>
              <w:left w:val="single" w:color="auto" w:sz="8" w:space="0"/>
              <w:bottom w:val="single" w:color="auto" w:sz="8" w:space="0"/>
              <w:right w:val="single" w:color="auto" w:sz="8" w:space="0"/>
            </w:tcBorders>
            <w:vAlign w:val="center"/>
          </w:tcPr>
          <w:p w14:paraId="7FB1B373">
            <w:pPr>
              <w:spacing w:line="276" w:lineRule="auto"/>
              <w:jc w:val="center"/>
              <w:rPr>
                <w:rFonts w:ascii="宋体" w:hAnsi="宋体" w:cs="宋体"/>
                <w:color w:val="000000"/>
                <w:kern w:val="0"/>
                <w:szCs w:val="21"/>
              </w:rPr>
            </w:pPr>
            <w:r>
              <w:rPr>
                <w:rFonts w:hint="eastAsia" w:ascii="宋体" w:hAnsi="宋体" w:cs="宋体"/>
                <w:color w:val="000000"/>
                <w:kern w:val="0"/>
                <w:szCs w:val="21"/>
              </w:rPr>
              <w:t>0.05%</w:t>
            </w:r>
          </w:p>
        </w:tc>
      </w:tr>
      <w:tr w14:paraId="6CAFC854">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14:paraId="70FB9BC1">
            <w:pPr>
              <w:spacing w:line="276" w:lineRule="auto"/>
              <w:jc w:val="center"/>
              <w:rPr>
                <w:rFonts w:ascii="宋体" w:hAnsi="宋体" w:cs="宋体"/>
                <w:color w:val="000000"/>
                <w:kern w:val="0"/>
                <w:szCs w:val="21"/>
              </w:rPr>
            </w:pPr>
            <w:r>
              <w:rPr>
                <w:rFonts w:hint="eastAsia" w:ascii="宋体" w:hAnsi="宋体" w:cs="宋体"/>
                <w:color w:val="000000"/>
                <w:kern w:val="0"/>
                <w:szCs w:val="21"/>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14:paraId="7F93388A">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1800" w:type="dxa"/>
            <w:tcBorders>
              <w:top w:val="single" w:color="auto" w:sz="8" w:space="0"/>
              <w:left w:val="single" w:color="auto" w:sz="8" w:space="0"/>
              <w:bottom w:val="single" w:color="auto" w:sz="8" w:space="0"/>
              <w:right w:val="single" w:color="auto" w:sz="8" w:space="0"/>
            </w:tcBorders>
            <w:vAlign w:val="center"/>
          </w:tcPr>
          <w:p w14:paraId="4DED0908">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c>
          <w:tcPr>
            <w:tcW w:w="2160" w:type="dxa"/>
            <w:tcBorders>
              <w:top w:val="single" w:color="auto" w:sz="8" w:space="0"/>
              <w:left w:val="single" w:color="auto" w:sz="8" w:space="0"/>
              <w:bottom w:val="single" w:color="auto" w:sz="8" w:space="0"/>
              <w:right w:val="single" w:color="auto" w:sz="8" w:space="0"/>
            </w:tcBorders>
            <w:vAlign w:val="center"/>
          </w:tcPr>
          <w:p w14:paraId="19805E56">
            <w:pPr>
              <w:spacing w:line="276" w:lineRule="auto"/>
              <w:jc w:val="center"/>
              <w:rPr>
                <w:rFonts w:ascii="宋体" w:hAnsi="宋体" w:cs="宋体"/>
                <w:color w:val="000000"/>
                <w:kern w:val="0"/>
                <w:szCs w:val="21"/>
              </w:rPr>
            </w:pPr>
            <w:r>
              <w:rPr>
                <w:rFonts w:hint="eastAsia" w:ascii="宋体" w:hAnsi="宋体" w:cs="宋体"/>
                <w:color w:val="000000"/>
                <w:kern w:val="0"/>
                <w:szCs w:val="21"/>
              </w:rPr>
              <w:t>0.01%</w:t>
            </w:r>
          </w:p>
        </w:tc>
      </w:tr>
    </w:tbl>
    <w:p w14:paraId="2EA53C79">
      <w:pPr>
        <w:snapToGrid w:val="0"/>
        <w:spacing w:line="276" w:lineRule="auto"/>
        <w:ind w:firstLine="420" w:firstLineChars="200"/>
        <w:rPr>
          <w:rFonts w:ascii="宋体" w:hAnsi="宋体" w:cs="Arial"/>
          <w:szCs w:val="21"/>
        </w:rPr>
      </w:pPr>
      <w:r>
        <w:rPr>
          <w:rFonts w:hint="eastAsia" w:ascii="宋体" w:hAnsi="宋体" w:cs="Arial"/>
          <w:szCs w:val="21"/>
        </w:rPr>
        <w:t>注：代理服务收费按差额定率累进法计算。例如：某</w:t>
      </w:r>
      <w:r>
        <w:rPr>
          <w:rFonts w:hint="eastAsia" w:ascii="宋体" w:hAnsi="宋体" w:cs="Arial"/>
          <w:b/>
          <w:szCs w:val="21"/>
        </w:rPr>
        <w:t>货物</w:t>
      </w:r>
      <w:r>
        <w:rPr>
          <w:rFonts w:hint="eastAsia" w:ascii="宋体" w:hAnsi="宋体" w:cs="Arial"/>
          <w:szCs w:val="21"/>
        </w:rPr>
        <w:t>招标项目中标金额为600万元，计算代理服务收费金额如下：</w:t>
      </w:r>
    </w:p>
    <w:p w14:paraId="140DAE79">
      <w:pPr>
        <w:snapToGrid w:val="0"/>
        <w:spacing w:line="276" w:lineRule="auto"/>
        <w:ind w:firstLine="420" w:firstLineChars="200"/>
        <w:rPr>
          <w:rFonts w:ascii="宋体" w:hAnsi="宋体" w:cs="Arial"/>
          <w:szCs w:val="21"/>
        </w:rPr>
      </w:pPr>
      <w:r>
        <w:rPr>
          <w:rFonts w:hint="eastAsia" w:ascii="宋体" w:hAnsi="宋体" w:cs="Arial"/>
          <w:szCs w:val="21"/>
        </w:rPr>
        <w:t>100万元×1.5%=1.5万元</w:t>
      </w:r>
    </w:p>
    <w:p w14:paraId="6BEB1A7E">
      <w:pPr>
        <w:snapToGrid w:val="0"/>
        <w:spacing w:line="276" w:lineRule="auto"/>
        <w:ind w:firstLine="420" w:firstLineChars="200"/>
        <w:rPr>
          <w:rFonts w:ascii="宋体" w:hAnsi="宋体" w:cs="Arial"/>
          <w:szCs w:val="21"/>
        </w:rPr>
      </w:pPr>
      <w:r>
        <w:rPr>
          <w:rFonts w:hint="eastAsia" w:ascii="宋体" w:hAnsi="宋体" w:cs="Arial"/>
          <w:szCs w:val="21"/>
        </w:rPr>
        <w:t>(500-100)万元×1.1%=4.4万元</w:t>
      </w:r>
    </w:p>
    <w:p w14:paraId="35643901">
      <w:pPr>
        <w:snapToGrid w:val="0"/>
        <w:spacing w:line="276" w:lineRule="auto"/>
        <w:ind w:firstLine="420" w:firstLineChars="200"/>
        <w:rPr>
          <w:rFonts w:ascii="宋体" w:hAnsi="宋体" w:cs="Arial"/>
          <w:szCs w:val="21"/>
        </w:rPr>
      </w:pPr>
      <w:r>
        <w:rPr>
          <w:rFonts w:hint="eastAsia" w:ascii="宋体" w:hAnsi="宋体" w:cs="Arial"/>
          <w:szCs w:val="21"/>
        </w:rPr>
        <w:t>(600-500)万元×0.8%=0.8万元</w:t>
      </w:r>
    </w:p>
    <w:p w14:paraId="60EB9E1F">
      <w:pPr>
        <w:spacing w:line="276" w:lineRule="auto"/>
        <w:ind w:left="476"/>
        <w:rPr>
          <w:rFonts w:ascii="宋体" w:hAnsi="宋体"/>
          <w:szCs w:val="21"/>
          <w:lang w:val="zh-CN"/>
        </w:rPr>
      </w:pPr>
      <w:r>
        <w:rPr>
          <w:rFonts w:hint="eastAsia" w:ascii="宋体" w:hAnsi="宋体" w:cs="Arial"/>
          <w:szCs w:val="21"/>
        </w:rPr>
        <w:t>合计收费=1.5+4.4+0.8=6.7万元</w:t>
      </w:r>
    </w:p>
    <w:p w14:paraId="4A1E0565">
      <w:pPr>
        <w:keepNext/>
        <w:keepLines/>
        <w:numPr>
          <w:ilvl w:val="0"/>
          <w:numId w:val="1"/>
        </w:numPr>
        <w:spacing w:line="276" w:lineRule="auto"/>
        <w:ind w:left="426" w:hanging="426"/>
        <w:jc w:val="left"/>
        <w:outlineLvl w:val="1"/>
        <w:rPr>
          <w:rFonts w:ascii="宋体" w:hAnsi="宋体"/>
          <w:b/>
          <w:kern w:val="0"/>
          <w:szCs w:val="21"/>
          <w:lang w:val="zh-CN"/>
        </w:rPr>
      </w:pPr>
      <w:bookmarkStart w:id="16" w:name="_Toc97814999"/>
      <w:r>
        <w:rPr>
          <w:rFonts w:hint="eastAsia" w:ascii="宋体" w:hAnsi="宋体"/>
          <w:b/>
          <w:kern w:val="0"/>
          <w:szCs w:val="21"/>
          <w:lang w:val="zh-CN"/>
        </w:rPr>
        <w:t>招标文件</w:t>
      </w:r>
      <w:bookmarkEnd w:id="16"/>
    </w:p>
    <w:p w14:paraId="7CC1D060">
      <w:pPr>
        <w:numPr>
          <w:ilvl w:val="0"/>
          <w:numId w:val="2"/>
        </w:numPr>
        <w:spacing w:line="276" w:lineRule="auto"/>
        <w:rPr>
          <w:rFonts w:ascii="宋体" w:hAnsi="宋体"/>
          <w:b/>
          <w:szCs w:val="21"/>
          <w:lang w:val="zh-CN"/>
        </w:rPr>
      </w:pPr>
      <w:r>
        <w:rPr>
          <w:rFonts w:hint="eastAsia" w:ascii="宋体" w:hAnsi="宋体"/>
          <w:b/>
          <w:szCs w:val="21"/>
          <w:lang w:val="zh-CN"/>
        </w:rPr>
        <w:t>招标文件的构成</w:t>
      </w:r>
    </w:p>
    <w:p w14:paraId="3263E72A">
      <w:pPr>
        <w:tabs>
          <w:tab w:val="left" w:pos="476"/>
        </w:tabs>
        <w:spacing w:line="276" w:lineRule="auto"/>
        <w:ind w:left="476"/>
        <w:rPr>
          <w:rFonts w:ascii="宋体" w:hAnsi="宋体"/>
          <w:szCs w:val="21"/>
          <w:lang w:val="zh-CN"/>
        </w:rPr>
      </w:pPr>
      <w:r>
        <w:rPr>
          <w:rFonts w:hint="eastAsia" w:ascii="宋体" w:hAnsi="宋体"/>
          <w:szCs w:val="21"/>
          <w:lang w:val="zh-CN"/>
        </w:rPr>
        <w:t>第一章 招标公告（投标邀请书）</w:t>
      </w:r>
    </w:p>
    <w:p w14:paraId="3DA80C80">
      <w:pPr>
        <w:tabs>
          <w:tab w:val="left" w:pos="476"/>
        </w:tabs>
        <w:spacing w:line="276" w:lineRule="auto"/>
        <w:ind w:left="476"/>
        <w:rPr>
          <w:rFonts w:ascii="宋体" w:hAnsi="宋体"/>
          <w:szCs w:val="21"/>
          <w:lang w:val="zh-CN"/>
        </w:rPr>
      </w:pPr>
      <w:r>
        <w:rPr>
          <w:rFonts w:hint="eastAsia" w:ascii="宋体" w:hAnsi="宋体"/>
          <w:szCs w:val="21"/>
          <w:lang w:val="zh-CN"/>
        </w:rPr>
        <w:t>第二章 投标人须知</w:t>
      </w:r>
    </w:p>
    <w:p w14:paraId="72F466F5">
      <w:pPr>
        <w:tabs>
          <w:tab w:val="left" w:pos="476"/>
        </w:tabs>
        <w:spacing w:line="276" w:lineRule="auto"/>
        <w:ind w:left="476"/>
        <w:rPr>
          <w:rFonts w:ascii="宋体" w:hAnsi="宋体"/>
          <w:szCs w:val="21"/>
          <w:lang w:val="zh-CN"/>
        </w:rPr>
      </w:pPr>
      <w:r>
        <w:rPr>
          <w:rFonts w:hint="eastAsia" w:ascii="宋体" w:hAnsi="宋体"/>
          <w:szCs w:val="21"/>
          <w:lang w:val="zh-CN"/>
        </w:rPr>
        <w:t>第三章 技术、服务及商务要求</w:t>
      </w:r>
    </w:p>
    <w:p w14:paraId="251ECAC1">
      <w:pPr>
        <w:tabs>
          <w:tab w:val="left" w:pos="476"/>
        </w:tabs>
        <w:spacing w:line="276" w:lineRule="auto"/>
        <w:ind w:left="476"/>
        <w:rPr>
          <w:rFonts w:ascii="宋体" w:hAnsi="宋体"/>
          <w:szCs w:val="21"/>
          <w:lang w:val="zh-CN"/>
        </w:rPr>
      </w:pPr>
      <w:r>
        <w:rPr>
          <w:rFonts w:hint="eastAsia" w:ascii="宋体" w:hAnsi="宋体"/>
          <w:szCs w:val="21"/>
          <w:lang w:val="zh-CN"/>
        </w:rPr>
        <w:t>第四章 资格审查方法及标准</w:t>
      </w:r>
    </w:p>
    <w:p w14:paraId="29550A6F">
      <w:pPr>
        <w:tabs>
          <w:tab w:val="left" w:pos="476"/>
        </w:tabs>
        <w:spacing w:line="276" w:lineRule="auto"/>
        <w:ind w:left="476"/>
        <w:rPr>
          <w:rFonts w:ascii="宋体" w:hAnsi="宋体"/>
          <w:szCs w:val="21"/>
          <w:lang w:val="zh-CN"/>
        </w:rPr>
      </w:pPr>
      <w:r>
        <w:rPr>
          <w:rFonts w:hint="eastAsia" w:ascii="宋体" w:hAnsi="宋体"/>
          <w:szCs w:val="21"/>
          <w:lang w:val="zh-CN"/>
        </w:rPr>
        <w:t>第五章 评标方法、程序及标准</w:t>
      </w:r>
    </w:p>
    <w:p w14:paraId="3E7E0044">
      <w:pPr>
        <w:tabs>
          <w:tab w:val="left" w:pos="476"/>
        </w:tabs>
        <w:spacing w:line="276" w:lineRule="auto"/>
        <w:ind w:left="476"/>
        <w:rPr>
          <w:rFonts w:ascii="宋体" w:hAnsi="宋体"/>
          <w:szCs w:val="21"/>
          <w:lang w:val="zh-CN"/>
        </w:rPr>
      </w:pPr>
      <w:r>
        <w:rPr>
          <w:rFonts w:hint="eastAsia" w:ascii="宋体" w:hAnsi="宋体"/>
          <w:szCs w:val="21"/>
          <w:lang w:val="zh-CN"/>
        </w:rPr>
        <w:t>第六章 合同书格式</w:t>
      </w:r>
    </w:p>
    <w:p w14:paraId="02DD1689">
      <w:pPr>
        <w:tabs>
          <w:tab w:val="left" w:pos="476"/>
        </w:tabs>
        <w:spacing w:line="276" w:lineRule="auto"/>
        <w:ind w:left="476"/>
        <w:rPr>
          <w:rFonts w:ascii="宋体" w:hAnsi="宋体"/>
          <w:szCs w:val="21"/>
          <w:lang w:val="zh-CN"/>
        </w:rPr>
      </w:pPr>
      <w:r>
        <w:rPr>
          <w:rFonts w:hint="eastAsia" w:ascii="宋体" w:hAnsi="宋体"/>
          <w:szCs w:val="21"/>
          <w:lang w:val="zh-CN"/>
        </w:rPr>
        <w:t>第七章 投标文件格式</w:t>
      </w:r>
    </w:p>
    <w:p w14:paraId="76B63379">
      <w:pPr>
        <w:tabs>
          <w:tab w:val="left" w:pos="476"/>
        </w:tabs>
        <w:spacing w:line="276" w:lineRule="auto"/>
        <w:ind w:left="476"/>
        <w:rPr>
          <w:rFonts w:ascii="宋体" w:hAnsi="宋体"/>
          <w:szCs w:val="21"/>
          <w:lang w:val="zh-CN"/>
        </w:rPr>
      </w:pPr>
      <w:r>
        <w:rPr>
          <w:rFonts w:hint="eastAsia" w:ascii="宋体" w:hAnsi="宋体"/>
          <w:szCs w:val="21"/>
          <w:lang w:val="zh-CN"/>
        </w:rPr>
        <w:t>其 他 在招标过程中由采购代理机构发出的澄清、修改和补充文件等</w:t>
      </w:r>
    </w:p>
    <w:p w14:paraId="46E1A185">
      <w:pPr>
        <w:numPr>
          <w:ilvl w:val="0"/>
          <w:numId w:val="2"/>
        </w:numPr>
        <w:spacing w:line="276" w:lineRule="auto"/>
        <w:rPr>
          <w:rFonts w:ascii="宋体" w:hAnsi="宋体"/>
          <w:b/>
          <w:szCs w:val="21"/>
          <w:lang w:val="zh-CN"/>
        </w:rPr>
      </w:pPr>
      <w:r>
        <w:rPr>
          <w:rFonts w:hint="eastAsia" w:ascii="宋体" w:hAnsi="宋体"/>
          <w:b/>
          <w:szCs w:val="21"/>
          <w:lang w:val="zh-CN"/>
        </w:rPr>
        <w:t>招标文件疑问的提交</w:t>
      </w:r>
    </w:p>
    <w:p w14:paraId="58FE3FC2">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w:t>
      </w:r>
      <w:r>
        <w:rPr>
          <w:rFonts w:hint="eastAsia" w:ascii="宋体" w:hAnsi="宋体"/>
          <w:szCs w:val="21"/>
        </w:rPr>
        <w:t>获取招标文件后，应认真检查，如发现页数不全、附件缺失、印刷模糊等，应及时通知采购代理机构补全或更换，否则风险自负。</w:t>
      </w:r>
    </w:p>
    <w:p w14:paraId="2CE0EA84">
      <w:pPr>
        <w:numPr>
          <w:ilvl w:val="0"/>
          <w:numId w:val="7"/>
        </w:numPr>
        <w:spacing w:line="276" w:lineRule="auto"/>
        <w:ind w:left="476" w:hanging="476"/>
        <w:rPr>
          <w:rFonts w:ascii="宋体" w:hAnsi="宋体"/>
          <w:szCs w:val="21"/>
          <w:lang w:val="zh-CN"/>
        </w:rPr>
      </w:pPr>
      <w:r>
        <w:rPr>
          <w:rFonts w:hint="eastAsia" w:ascii="宋体" w:hAnsi="宋体"/>
          <w:szCs w:val="21"/>
          <w:lang w:val="zh-CN"/>
        </w:rPr>
        <w:t>潜在投标人对招标文件有疑问的，可以向采购代理机构提出询问，或在6.3规定的时间前以书面形式向采购代理机构提交疑问函。</w:t>
      </w:r>
    </w:p>
    <w:p w14:paraId="4B919927">
      <w:pPr>
        <w:numPr>
          <w:ilvl w:val="0"/>
          <w:numId w:val="7"/>
        </w:numPr>
        <w:spacing w:line="276" w:lineRule="auto"/>
        <w:ind w:left="476" w:hanging="476"/>
        <w:rPr>
          <w:rFonts w:ascii="宋体" w:hAnsi="宋体"/>
          <w:szCs w:val="21"/>
          <w:lang w:val="zh-CN"/>
        </w:rPr>
      </w:pPr>
      <w:r>
        <w:rPr>
          <w:rFonts w:hint="eastAsia" w:ascii="宋体" w:hAnsi="宋体"/>
          <w:b/>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szCs w:val="21"/>
          <w:lang w:val="zh-CN"/>
        </w:rPr>
        <w:t>。</w:t>
      </w:r>
    </w:p>
    <w:p w14:paraId="2BAD46C9">
      <w:pPr>
        <w:numPr>
          <w:ilvl w:val="0"/>
          <w:numId w:val="7"/>
        </w:numPr>
        <w:spacing w:line="276" w:lineRule="auto"/>
        <w:ind w:left="476" w:hanging="476"/>
        <w:rPr>
          <w:rFonts w:ascii="宋体" w:hAnsi="宋体"/>
          <w:szCs w:val="21"/>
          <w:lang w:val="zh-CN"/>
        </w:rPr>
      </w:pPr>
      <w:r>
        <w:rPr>
          <w:rFonts w:hint="eastAsia" w:ascii="宋体" w:hAnsi="宋体"/>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14:paraId="318149CA">
      <w:pPr>
        <w:numPr>
          <w:ilvl w:val="0"/>
          <w:numId w:val="2"/>
        </w:numPr>
        <w:spacing w:line="276" w:lineRule="auto"/>
        <w:rPr>
          <w:rFonts w:ascii="宋体" w:hAnsi="宋体"/>
          <w:b/>
          <w:szCs w:val="21"/>
          <w:lang w:val="zh-CN"/>
        </w:rPr>
      </w:pPr>
      <w:r>
        <w:rPr>
          <w:rFonts w:hint="eastAsia" w:ascii="宋体" w:hAnsi="宋体"/>
          <w:b/>
          <w:szCs w:val="21"/>
          <w:lang w:val="zh-CN"/>
        </w:rPr>
        <w:t>招标文件的澄清、修改</w:t>
      </w:r>
    </w:p>
    <w:p w14:paraId="47F889C6">
      <w:pPr>
        <w:numPr>
          <w:ilvl w:val="0"/>
          <w:numId w:val="8"/>
        </w:numPr>
        <w:spacing w:line="276" w:lineRule="auto"/>
        <w:ind w:left="476" w:hanging="476"/>
        <w:rPr>
          <w:rFonts w:ascii="宋体" w:hAnsi="宋体" w:cs="Helvetica"/>
          <w:kern w:val="0"/>
          <w:szCs w:val="21"/>
          <w:lang w:val="zh-CN"/>
        </w:rPr>
      </w:pPr>
      <w:r>
        <w:rPr>
          <w:rFonts w:hint="eastAsia" w:ascii="宋体" w:hAnsi="宋体"/>
          <w:szCs w:val="21"/>
          <w:lang w:val="zh-CN"/>
        </w:rPr>
        <w:t>采购人和采购代理机构可以对已发出的招标文件进行必要的澄清或者修改。</w:t>
      </w:r>
      <w:r>
        <w:rPr>
          <w:rFonts w:hint="eastAsia" w:ascii="宋体" w:hAnsi="宋体" w:cs="Helvetica"/>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szCs w:val="21"/>
          <w:lang w:val="zh-CN"/>
        </w:rPr>
        <w:t>15</w:t>
      </w:r>
      <w:r>
        <w:rPr>
          <w:rFonts w:hint="eastAsia" w:ascii="宋体" w:hAnsi="宋体" w:cs="Helvetica"/>
          <w:kern w:val="0"/>
          <w:szCs w:val="21"/>
          <w:lang w:val="zh-CN"/>
        </w:rPr>
        <w:t>日前，以书面形式通知所有获取招标文件的潜在投标人。</w:t>
      </w:r>
    </w:p>
    <w:p w14:paraId="24CA3E08">
      <w:pPr>
        <w:numPr>
          <w:ilvl w:val="0"/>
          <w:numId w:val="8"/>
        </w:numPr>
        <w:spacing w:line="276" w:lineRule="auto"/>
        <w:ind w:left="476" w:hanging="476"/>
        <w:rPr>
          <w:rFonts w:ascii="宋体" w:hAnsi="宋体"/>
          <w:szCs w:val="21"/>
          <w:lang w:val="zh-CN"/>
        </w:rPr>
      </w:pPr>
      <w:r>
        <w:rPr>
          <w:rFonts w:hint="eastAsia" w:ascii="宋体" w:hAnsi="宋体"/>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14:paraId="7DBA8F38">
      <w:pPr>
        <w:numPr>
          <w:ilvl w:val="0"/>
          <w:numId w:val="8"/>
        </w:numPr>
        <w:spacing w:line="276" w:lineRule="auto"/>
        <w:ind w:left="476" w:hanging="476"/>
        <w:rPr>
          <w:rFonts w:ascii="宋体" w:hAnsi="宋体"/>
          <w:szCs w:val="21"/>
          <w:lang w:val="zh-CN"/>
        </w:rPr>
      </w:pPr>
      <w:r>
        <w:rPr>
          <w:rFonts w:hint="eastAsia" w:ascii="宋体" w:hAnsi="宋体"/>
          <w:szCs w:val="21"/>
          <w:lang w:val="zh-CN"/>
        </w:rPr>
        <w:t>澄清或者修改的内容为招标文件的组成部分，并对潜在投标人具有约束力。潜在投标人在收到上述通知后，应立即以书面形式向采购代理机构确认收悉。</w:t>
      </w:r>
    </w:p>
    <w:p w14:paraId="79156122">
      <w:pPr>
        <w:numPr>
          <w:ilvl w:val="0"/>
          <w:numId w:val="8"/>
        </w:numPr>
        <w:spacing w:line="276" w:lineRule="auto"/>
        <w:ind w:left="476" w:hanging="476"/>
        <w:rPr>
          <w:rFonts w:ascii="宋体" w:hAnsi="宋体"/>
          <w:szCs w:val="21"/>
          <w:lang w:val="zh-CN"/>
        </w:rPr>
      </w:pPr>
      <w:r>
        <w:rPr>
          <w:rFonts w:hint="eastAsia" w:ascii="宋体" w:hAnsi="宋体"/>
          <w:szCs w:val="21"/>
          <w:lang w:val="zh-CN"/>
        </w:rPr>
        <w:t>招标文件中如有描述歧义或前后不一致的地方，评标委员会有权按公平、合理的原则进行评判，对同一条款的评判标准适用于每个投标人。</w:t>
      </w:r>
    </w:p>
    <w:p w14:paraId="443C570D">
      <w:pPr>
        <w:numPr>
          <w:ilvl w:val="0"/>
          <w:numId w:val="2"/>
        </w:numPr>
        <w:spacing w:line="276" w:lineRule="auto"/>
        <w:rPr>
          <w:rFonts w:ascii="宋体" w:hAnsi="宋体"/>
          <w:b/>
          <w:szCs w:val="21"/>
          <w:lang w:val="zh-CN"/>
        </w:rPr>
      </w:pPr>
      <w:r>
        <w:rPr>
          <w:rFonts w:hint="eastAsia" w:ascii="宋体" w:hAnsi="宋体"/>
          <w:b/>
          <w:szCs w:val="21"/>
          <w:lang w:val="zh-CN"/>
        </w:rPr>
        <w:t>现场考察</w:t>
      </w:r>
    </w:p>
    <w:p w14:paraId="59E477BF">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14:paraId="2CD2B50D">
      <w:pPr>
        <w:numPr>
          <w:ilvl w:val="0"/>
          <w:numId w:val="9"/>
        </w:numPr>
        <w:spacing w:line="276" w:lineRule="auto"/>
        <w:ind w:left="476" w:hanging="476"/>
        <w:rPr>
          <w:rFonts w:ascii="宋体" w:hAnsi="宋体"/>
          <w:szCs w:val="21"/>
          <w:lang w:val="zh-CN"/>
        </w:rPr>
      </w:pPr>
      <w:r>
        <w:rPr>
          <w:rFonts w:hint="eastAsia" w:ascii="宋体" w:hAnsi="宋体"/>
          <w:szCs w:val="21"/>
          <w:lang w:val="zh-CN"/>
        </w:rPr>
        <w:t>采购人向潜在投标人提供有关现场的数据和资料，是采购人现有的能被潜在投标人利用的客观资料，采购人对潜在投标人依此作出的任何推论、理解和结论均不负责任。</w:t>
      </w:r>
    </w:p>
    <w:p w14:paraId="2A788552">
      <w:pPr>
        <w:numPr>
          <w:ilvl w:val="0"/>
          <w:numId w:val="9"/>
        </w:numPr>
        <w:spacing w:line="276" w:lineRule="auto"/>
        <w:ind w:left="476" w:hanging="476"/>
        <w:rPr>
          <w:rFonts w:ascii="宋体" w:hAnsi="宋体"/>
          <w:szCs w:val="21"/>
          <w:lang w:val="zh-CN"/>
        </w:rPr>
      </w:pPr>
      <w:r>
        <w:rPr>
          <w:rFonts w:hint="eastAsia" w:ascii="宋体" w:hAnsi="宋体"/>
          <w:szCs w:val="21"/>
          <w:lang w:val="zh-CN"/>
        </w:rPr>
        <w:t>经采购人允许，潜在投标人可进入项目现场进行考察，但潜在投标人不得因此使采购人承担有关责任和蒙受损失。潜在投标人应自行承担现场考察的全部费用、责任和风险。</w:t>
      </w:r>
    </w:p>
    <w:p w14:paraId="6C9F6D35">
      <w:pPr>
        <w:keepNext/>
        <w:keepLines/>
        <w:numPr>
          <w:ilvl w:val="0"/>
          <w:numId w:val="1"/>
        </w:numPr>
        <w:spacing w:line="276" w:lineRule="auto"/>
        <w:ind w:left="426" w:hanging="426"/>
        <w:jc w:val="left"/>
        <w:outlineLvl w:val="1"/>
        <w:rPr>
          <w:rFonts w:ascii="宋体" w:hAnsi="宋体"/>
          <w:b/>
          <w:kern w:val="0"/>
          <w:szCs w:val="21"/>
          <w:lang w:val="zh-CN"/>
        </w:rPr>
      </w:pPr>
      <w:bookmarkStart w:id="17" w:name="_Toc97815000"/>
      <w:bookmarkStart w:id="18" w:name="_Toc278891593"/>
      <w:bookmarkStart w:id="19" w:name="_Toc494561940"/>
      <w:bookmarkStart w:id="20" w:name="_Toc272247696"/>
      <w:r>
        <w:rPr>
          <w:rFonts w:hint="eastAsia" w:ascii="宋体" w:hAnsi="宋体"/>
          <w:b/>
          <w:kern w:val="0"/>
          <w:szCs w:val="21"/>
          <w:lang w:val="zh-CN"/>
        </w:rPr>
        <w:t>投标文件</w:t>
      </w:r>
      <w:bookmarkEnd w:id="17"/>
      <w:bookmarkEnd w:id="18"/>
      <w:bookmarkEnd w:id="19"/>
      <w:bookmarkEnd w:id="20"/>
    </w:p>
    <w:p w14:paraId="3B2D82F7">
      <w:pPr>
        <w:numPr>
          <w:ilvl w:val="0"/>
          <w:numId w:val="2"/>
        </w:numPr>
        <w:spacing w:line="276" w:lineRule="auto"/>
        <w:rPr>
          <w:rFonts w:ascii="宋体" w:hAnsi="宋体"/>
          <w:b/>
          <w:szCs w:val="21"/>
          <w:lang w:val="zh-CN"/>
        </w:rPr>
      </w:pPr>
      <w:r>
        <w:rPr>
          <w:rFonts w:hint="eastAsia" w:ascii="宋体" w:hAnsi="宋体"/>
          <w:b/>
          <w:szCs w:val="21"/>
          <w:lang w:val="zh-CN"/>
        </w:rPr>
        <w:t>投标的语言和计量单位</w:t>
      </w:r>
    </w:p>
    <w:p w14:paraId="5C06092F">
      <w:pPr>
        <w:numPr>
          <w:ilvl w:val="0"/>
          <w:numId w:val="10"/>
        </w:numPr>
        <w:spacing w:line="276" w:lineRule="auto"/>
        <w:ind w:left="476" w:hanging="476"/>
        <w:rPr>
          <w:rFonts w:ascii="宋体" w:hAnsi="宋体"/>
          <w:szCs w:val="21"/>
          <w:lang w:val="zh-CN"/>
        </w:rPr>
      </w:pPr>
      <w:r>
        <w:rPr>
          <w:rFonts w:hint="eastAsia" w:ascii="宋体" w:hAnsi="宋体"/>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14:paraId="6E9B268A">
      <w:pPr>
        <w:numPr>
          <w:ilvl w:val="0"/>
          <w:numId w:val="10"/>
        </w:numPr>
        <w:spacing w:line="276" w:lineRule="auto"/>
        <w:ind w:left="476" w:hanging="476"/>
        <w:rPr>
          <w:rFonts w:ascii="宋体" w:hAnsi="宋体"/>
          <w:szCs w:val="21"/>
          <w:lang w:val="zh-CN"/>
        </w:rPr>
      </w:pPr>
      <w:r>
        <w:rPr>
          <w:rFonts w:hint="eastAsia" w:ascii="宋体" w:hAnsi="宋体"/>
          <w:szCs w:val="21"/>
          <w:lang w:val="zh-CN"/>
        </w:rPr>
        <w:t>除非招标文件</w:t>
      </w:r>
      <w:r>
        <w:rPr>
          <w:rFonts w:hint="eastAsia" w:ascii="宋体" w:hAnsi="宋体"/>
          <w:szCs w:val="21"/>
        </w:rPr>
        <w:t>中另有规定，计量单位均采用中华人民共和国法定的计量单位。</w:t>
      </w:r>
    </w:p>
    <w:p w14:paraId="51226D80">
      <w:pPr>
        <w:numPr>
          <w:ilvl w:val="0"/>
          <w:numId w:val="2"/>
        </w:numPr>
        <w:spacing w:line="276" w:lineRule="auto"/>
        <w:rPr>
          <w:rFonts w:ascii="宋体" w:hAnsi="宋体"/>
          <w:b/>
          <w:szCs w:val="21"/>
          <w:lang w:val="zh-CN"/>
        </w:rPr>
      </w:pPr>
      <w:r>
        <w:rPr>
          <w:rFonts w:hint="eastAsia" w:ascii="宋体" w:hAnsi="宋体"/>
          <w:b/>
          <w:szCs w:val="21"/>
          <w:lang w:val="zh-CN"/>
        </w:rPr>
        <w:t>投标文件的构成</w:t>
      </w:r>
    </w:p>
    <w:p w14:paraId="30CF9A99">
      <w:pPr>
        <w:numPr>
          <w:ilvl w:val="0"/>
          <w:numId w:val="11"/>
        </w:numPr>
        <w:spacing w:line="276" w:lineRule="auto"/>
        <w:ind w:left="567" w:hanging="567"/>
        <w:rPr>
          <w:rFonts w:ascii="宋体" w:hAnsi="宋体"/>
          <w:szCs w:val="21"/>
          <w:lang w:val="zh-CN"/>
        </w:rPr>
      </w:pPr>
      <w:r>
        <w:rPr>
          <w:rFonts w:hint="eastAsia" w:ascii="宋体" w:hAnsi="宋体"/>
          <w:szCs w:val="21"/>
          <w:lang w:val="zh-CN"/>
        </w:rPr>
        <w:t>投标人编制的投标文件应包括但不限于本文件第七章投标文件格式要求提供的内容。</w:t>
      </w:r>
    </w:p>
    <w:p w14:paraId="276AA3EB">
      <w:pPr>
        <w:numPr>
          <w:ilvl w:val="0"/>
          <w:numId w:val="2"/>
        </w:numPr>
        <w:spacing w:line="276" w:lineRule="auto"/>
        <w:rPr>
          <w:rFonts w:ascii="宋体" w:hAnsi="宋体"/>
          <w:b/>
          <w:szCs w:val="21"/>
          <w:lang w:val="zh-CN"/>
        </w:rPr>
      </w:pPr>
      <w:r>
        <w:rPr>
          <w:rFonts w:hint="eastAsia" w:ascii="宋体" w:hAnsi="宋体"/>
          <w:b/>
          <w:szCs w:val="21"/>
          <w:lang w:val="zh-CN"/>
        </w:rPr>
        <w:t>投标文件编制</w:t>
      </w:r>
    </w:p>
    <w:p w14:paraId="411F3B06">
      <w:pPr>
        <w:numPr>
          <w:ilvl w:val="0"/>
          <w:numId w:val="12"/>
        </w:numPr>
        <w:spacing w:line="276" w:lineRule="auto"/>
        <w:ind w:left="616" w:hanging="616"/>
        <w:rPr>
          <w:rFonts w:ascii="宋体" w:hAnsi="宋体"/>
          <w:szCs w:val="21"/>
          <w:lang w:val="zh-CN"/>
        </w:rPr>
      </w:pPr>
      <w:r>
        <w:rPr>
          <w:rFonts w:hint="eastAsia" w:ascii="宋体" w:hAnsi="宋体"/>
          <w:szCs w:val="21"/>
          <w:lang w:val="zh-CN"/>
        </w:rPr>
        <w:t>如本项目包含多个标包，投标人拟参与多个标包投标的，应按每标包要求分别编制、装订和封装（“装订和封装”指招标文件规定接收投标文件的情况）投标文件，并注明对应包号。</w:t>
      </w:r>
    </w:p>
    <w:p w14:paraId="6628280C">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投标人应认真阅读并充分理解招标文件的全部内容（包括所有的澄清、修改和补充文件），并对招标文件提出的条件和要求作出明确响应</w:t>
      </w:r>
      <w:r>
        <w:rPr>
          <w:rFonts w:hint="eastAsia" w:ascii="宋体" w:hAnsi="宋体"/>
          <w:szCs w:val="21"/>
        </w:rPr>
        <w:t>。如因投标人只填写和提供了招标文件要求的部分内容和附件，而给评审造成困难，其可能导致的结果和责任由投标人自行承担。</w:t>
      </w:r>
    </w:p>
    <w:p w14:paraId="2D955084">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投标人应按照招标文件第七章</w:t>
      </w:r>
      <w:r>
        <w:rPr>
          <w:rFonts w:hint="eastAsia" w:ascii="宋体" w:hAnsi="宋体"/>
          <w:szCs w:val="21"/>
        </w:rPr>
        <w:t>“</w:t>
      </w:r>
      <w:r>
        <w:rPr>
          <w:rFonts w:hint="eastAsia" w:ascii="宋体" w:hAnsi="宋体"/>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szCs w:val="21"/>
          <w:lang w:val="zh-CN"/>
        </w:rPr>
        <w:t>“无”、“不适用”、“未测试”、“没有相应指标”</w:t>
      </w:r>
      <w:r>
        <w:rPr>
          <w:rFonts w:hint="eastAsia" w:ascii="宋体" w:hAnsi="宋体"/>
          <w:szCs w:val="21"/>
          <w:lang w:val="zh-CN"/>
        </w:rPr>
        <w:t>等文字。如招标文件未规定格式的，相关格式由投标人自定。</w:t>
      </w:r>
    </w:p>
    <w:p w14:paraId="543EB0F8">
      <w:pPr>
        <w:numPr>
          <w:ilvl w:val="0"/>
          <w:numId w:val="12"/>
        </w:numPr>
        <w:spacing w:line="276" w:lineRule="auto"/>
        <w:ind w:left="616" w:hanging="616"/>
        <w:rPr>
          <w:rFonts w:ascii="宋体" w:hAnsi="宋体"/>
          <w:szCs w:val="21"/>
          <w:lang w:val="zh-CN"/>
        </w:rPr>
      </w:pPr>
      <w:r>
        <w:rPr>
          <w:rFonts w:hint="eastAsia" w:ascii="宋体" w:hAnsi="宋体"/>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14:paraId="0417EBD8">
      <w:pPr>
        <w:numPr>
          <w:ilvl w:val="0"/>
          <w:numId w:val="12"/>
        </w:numPr>
        <w:spacing w:line="276" w:lineRule="auto"/>
        <w:ind w:left="616" w:hanging="616"/>
        <w:rPr>
          <w:rFonts w:ascii="宋体" w:hAnsi="宋体"/>
          <w:szCs w:val="21"/>
          <w:lang w:val="zh-CN"/>
        </w:rPr>
      </w:pPr>
      <w:r>
        <w:rPr>
          <w:rFonts w:hint="eastAsia" w:ascii="宋体" w:hAnsi="宋体"/>
          <w:szCs w:val="21"/>
        </w:rPr>
        <w:t>投标人应</w:t>
      </w:r>
      <w:r>
        <w:rPr>
          <w:rFonts w:hint="eastAsia" w:ascii="宋体" w:hAnsi="宋体"/>
          <w:color w:val="0C0C0C"/>
          <w:szCs w:val="21"/>
          <w:lang w:val="zh-CN"/>
        </w:rPr>
        <w:t>对所提交全部资料的真实性</w:t>
      </w:r>
      <w:r>
        <w:rPr>
          <w:rFonts w:hint="eastAsia" w:ascii="宋体" w:hAnsi="宋体"/>
          <w:szCs w:val="21"/>
        </w:rPr>
        <w:t>、合法性承担法律责任，</w:t>
      </w:r>
      <w:r>
        <w:rPr>
          <w:rFonts w:hint="eastAsia" w:ascii="宋体" w:hAnsi="宋体"/>
          <w:color w:val="0C0C0C"/>
          <w:szCs w:val="21"/>
          <w:lang w:val="zh-CN"/>
        </w:rPr>
        <w:t>如有虚假，将依法承担相应责任。投标人应自觉接受采购人</w:t>
      </w:r>
      <w:r>
        <w:rPr>
          <w:rFonts w:ascii="宋体" w:hAnsi="宋体"/>
          <w:color w:val="0C0C0C"/>
          <w:szCs w:val="21"/>
          <w:lang w:val="zh-CN"/>
        </w:rPr>
        <w:t>或</w:t>
      </w:r>
      <w:r>
        <w:rPr>
          <w:rFonts w:hint="eastAsia" w:ascii="宋体" w:hAnsi="宋体"/>
          <w:color w:val="0C0C0C"/>
          <w:szCs w:val="21"/>
          <w:lang w:val="zh-CN"/>
        </w:rPr>
        <w:t>采购代理机构对其中任何资料进一步核实的要求。</w:t>
      </w:r>
    </w:p>
    <w:p w14:paraId="24BF7777">
      <w:pPr>
        <w:numPr>
          <w:ilvl w:val="0"/>
          <w:numId w:val="2"/>
        </w:numPr>
        <w:spacing w:line="276" w:lineRule="auto"/>
        <w:rPr>
          <w:rFonts w:ascii="宋体" w:hAnsi="宋体"/>
          <w:b/>
          <w:szCs w:val="21"/>
          <w:lang w:val="zh-CN"/>
        </w:rPr>
      </w:pPr>
      <w:r>
        <w:rPr>
          <w:rFonts w:hint="eastAsia" w:ascii="宋体" w:hAnsi="宋体"/>
          <w:b/>
          <w:szCs w:val="21"/>
          <w:lang w:val="zh-CN"/>
        </w:rPr>
        <w:t>投标报价</w:t>
      </w:r>
    </w:p>
    <w:p w14:paraId="6056DA55">
      <w:pPr>
        <w:numPr>
          <w:ilvl w:val="0"/>
          <w:numId w:val="13"/>
        </w:numPr>
        <w:spacing w:line="276" w:lineRule="auto"/>
        <w:ind w:left="616" w:hanging="616"/>
        <w:rPr>
          <w:rFonts w:ascii="宋体" w:hAnsi="宋体"/>
          <w:szCs w:val="21"/>
          <w:lang w:val="zh-CN"/>
        </w:rPr>
      </w:pPr>
      <w:r>
        <w:rPr>
          <w:rFonts w:hint="eastAsia" w:ascii="宋体" w:hAnsi="宋体"/>
          <w:szCs w:val="21"/>
          <w:lang w:val="zh-CN"/>
        </w:rPr>
        <w:t>除非招标文件另有要求，投标人所提供的货物（工程或服务）</w:t>
      </w:r>
      <w:r>
        <w:rPr>
          <w:rFonts w:hint="eastAsia" w:ascii="宋体" w:hAnsi="宋体" w:cs="宋体"/>
          <w:snapToGrid w:val="0"/>
          <w:szCs w:val="21"/>
          <w:lang w:val="zh-CN"/>
        </w:rPr>
        <w:t>均应以人民币作为货币单位</w:t>
      </w:r>
      <w:r>
        <w:rPr>
          <w:rFonts w:hint="eastAsia" w:ascii="宋体" w:hAnsi="宋体"/>
          <w:szCs w:val="21"/>
          <w:lang w:val="zh-CN"/>
        </w:rPr>
        <w:t>。</w:t>
      </w:r>
    </w:p>
    <w:p w14:paraId="7F02E15E">
      <w:pPr>
        <w:numPr>
          <w:ilvl w:val="0"/>
          <w:numId w:val="13"/>
        </w:numPr>
        <w:spacing w:line="276" w:lineRule="auto"/>
        <w:ind w:left="616" w:hanging="616"/>
        <w:rPr>
          <w:rFonts w:ascii="宋体" w:hAnsi="宋体"/>
          <w:szCs w:val="21"/>
          <w:lang w:val="zh-CN"/>
        </w:rPr>
      </w:pPr>
      <w:r>
        <w:rPr>
          <w:rFonts w:hint="eastAsia" w:ascii="宋体" w:hAnsi="宋体"/>
          <w:szCs w:val="21"/>
          <w:lang w:val="zh-CN"/>
        </w:rPr>
        <w:t>招标文件允许以多种货币报价的，在进行价格评审时，以投标文件递交当日中国银行总行首次发布的外币对人民币的现汇卖出价进行报价货币对人民币的转换以计算评审价格。</w:t>
      </w:r>
    </w:p>
    <w:p w14:paraId="2C8CC1F8">
      <w:pPr>
        <w:numPr>
          <w:ilvl w:val="0"/>
          <w:numId w:val="13"/>
        </w:numPr>
        <w:spacing w:line="276" w:lineRule="auto"/>
        <w:ind w:left="616" w:hanging="616"/>
        <w:rPr>
          <w:rFonts w:ascii="宋体" w:hAnsi="宋体"/>
          <w:szCs w:val="21"/>
          <w:lang w:val="zh-CN"/>
        </w:rPr>
      </w:pPr>
      <w:r>
        <w:rPr>
          <w:rFonts w:hint="eastAsia" w:ascii="宋体" w:hAnsi="宋体"/>
          <w:szCs w:val="21"/>
          <w:lang w:val="zh-CN"/>
        </w:rPr>
        <w:t>本采购项目预算金额详见第一章招标公告（投标邀请书）。投标人的报价不得超过该预算金额，</w:t>
      </w:r>
      <w:r>
        <w:rPr>
          <w:rFonts w:hint="eastAsia" w:ascii="宋体" w:hAnsi="宋体"/>
          <w:b/>
          <w:szCs w:val="21"/>
          <w:lang w:val="zh-CN"/>
        </w:rPr>
        <w:t>否则按无效投标处理</w:t>
      </w:r>
      <w:r>
        <w:rPr>
          <w:rFonts w:hint="eastAsia" w:ascii="宋体" w:hAnsi="宋体"/>
          <w:szCs w:val="21"/>
          <w:lang w:val="zh-CN"/>
        </w:rPr>
        <w:t>。招标文件设置了最高限价的，投标人的报价不得超过最高限价，</w:t>
      </w:r>
      <w:r>
        <w:rPr>
          <w:rFonts w:hint="eastAsia" w:ascii="宋体" w:hAnsi="宋体"/>
          <w:b/>
          <w:bCs/>
          <w:szCs w:val="21"/>
          <w:lang w:val="zh-CN"/>
        </w:rPr>
        <w:t>否则按无效投标处理。</w:t>
      </w:r>
      <w:r>
        <w:rPr>
          <w:rFonts w:hint="eastAsia" w:ascii="宋体" w:hAnsi="宋体"/>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14:paraId="2EFA1372">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szCs w:val="21"/>
          <w:lang w:val="zh-CN"/>
        </w:rPr>
        <w:t>报价中不得缺、漏项或只投其中的部分内容，否则按照无效投标处理</w:t>
      </w:r>
      <w:r>
        <w:rPr>
          <w:rFonts w:hint="eastAsia" w:ascii="宋体" w:hAnsi="宋体"/>
          <w:szCs w:val="21"/>
          <w:lang w:val="zh-CN"/>
        </w:rPr>
        <w:t>。</w:t>
      </w:r>
    </w:p>
    <w:p w14:paraId="4AC8D9C6">
      <w:pPr>
        <w:numPr>
          <w:ilvl w:val="0"/>
          <w:numId w:val="13"/>
        </w:numPr>
        <w:spacing w:line="276" w:lineRule="auto"/>
        <w:ind w:left="616" w:hanging="616"/>
        <w:rPr>
          <w:rFonts w:ascii="宋体" w:hAnsi="宋体"/>
          <w:szCs w:val="21"/>
          <w:lang w:val="zh-CN"/>
        </w:rPr>
      </w:pPr>
      <w:r>
        <w:rPr>
          <w:rFonts w:hint="eastAsia" w:ascii="宋体" w:hAnsi="宋体"/>
          <w:szCs w:val="21"/>
          <w:lang w:val="zh-CN"/>
        </w:rPr>
        <w:t>对于招标文件未列明，而投标人认为必需的其他费用也需列入其投标总价。在合同实施时，采购人将不予支付投标人没有列入的项目费用，并认为此项目的费用已包括在其投标总价中。</w:t>
      </w:r>
    </w:p>
    <w:p w14:paraId="16576736">
      <w:pPr>
        <w:numPr>
          <w:ilvl w:val="0"/>
          <w:numId w:val="13"/>
        </w:numPr>
        <w:spacing w:line="276" w:lineRule="auto"/>
        <w:ind w:left="616" w:hanging="616"/>
        <w:rPr>
          <w:rFonts w:ascii="宋体" w:hAnsi="宋体"/>
          <w:szCs w:val="21"/>
          <w:lang w:val="zh-CN"/>
        </w:rPr>
      </w:pPr>
      <w:r>
        <w:rPr>
          <w:rFonts w:hint="eastAsia" w:ascii="宋体" w:hAnsi="宋体"/>
          <w:szCs w:val="21"/>
          <w:lang w:val="zh-CN"/>
        </w:rPr>
        <w:t>每一种规格的货物（工程或服务）只允许有一个报价，</w:t>
      </w:r>
      <w:r>
        <w:rPr>
          <w:rFonts w:hint="eastAsia" w:ascii="宋体" w:hAnsi="宋体"/>
          <w:b/>
          <w:szCs w:val="21"/>
          <w:lang w:val="zh-CN"/>
        </w:rPr>
        <w:t>否则按照无效投标处理</w:t>
      </w:r>
      <w:r>
        <w:rPr>
          <w:rFonts w:hint="eastAsia" w:ascii="宋体" w:hAnsi="宋体"/>
          <w:szCs w:val="21"/>
          <w:lang w:val="zh-CN"/>
        </w:rPr>
        <w:t>。</w:t>
      </w:r>
    </w:p>
    <w:p w14:paraId="321F33C5">
      <w:pPr>
        <w:numPr>
          <w:ilvl w:val="0"/>
          <w:numId w:val="13"/>
        </w:numPr>
        <w:spacing w:line="276" w:lineRule="auto"/>
        <w:ind w:left="616" w:hanging="616"/>
        <w:rPr>
          <w:rFonts w:ascii="宋体" w:hAnsi="宋体"/>
          <w:szCs w:val="21"/>
          <w:lang w:val="zh-CN"/>
        </w:rPr>
      </w:pPr>
      <w:r>
        <w:rPr>
          <w:rFonts w:hint="eastAsia" w:ascii="宋体" w:hAnsi="宋体"/>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14:paraId="7211EC66">
      <w:pPr>
        <w:numPr>
          <w:ilvl w:val="0"/>
          <w:numId w:val="13"/>
        </w:numPr>
        <w:spacing w:line="276" w:lineRule="auto"/>
        <w:ind w:left="616" w:hanging="616"/>
        <w:rPr>
          <w:rFonts w:ascii="宋体" w:hAnsi="宋体"/>
          <w:szCs w:val="21"/>
          <w:lang w:val="zh-CN"/>
        </w:rPr>
      </w:pPr>
      <w:r>
        <w:rPr>
          <w:rFonts w:hint="eastAsia" w:ascii="宋体" w:hAnsi="宋体" w:cs="宋体"/>
          <w:snapToGrid w:val="0"/>
          <w:szCs w:val="21"/>
          <w:lang w:val="zh-CN"/>
        </w:rPr>
        <w:t>中标人负责本项目所需的售后服务等全部工作，招标文件另有规定的除外。</w:t>
      </w:r>
    </w:p>
    <w:p w14:paraId="34A6EB1C">
      <w:pPr>
        <w:numPr>
          <w:ilvl w:val="0"/>
          <w:numId w:val="2"/>
        </w:numPr>
        <w:spacing w:line="276" w:lineRule="auto"/>
        <w:rPr>
          <w:rFonts w:ascii="宋体" w:hAnsi="宋体"/>
          <w:b/>
          <w:szCs w:val="21"/>
          <w:lang w:val="zh-CN"/>
        </w:rPr>
      </w:pPr>
      <w:r>
        <w:rPr>
          <w:rFonts w:hint="eastAsia" w:ascii="宋体" w:hAnsi="宋体"/>
          <w:b/>
          <w:szCs w:val="21"/>
          <w:lang w:val="zh-CN"/>
        </w:rPr>
        <w:t>备选方案</w:t>
      </w:r>
    </w:p>
    <w:p w14:paraId="029653F0">
      <w:pPr>
        <w:numPr>
          <w:ilvl w:val="0"/>
          <w:numId w:val="14"/>
        </w:numPr>
        <w:spacing w:line="276" w:lineRule="auto"/>
        <w:ind w:left="567" w:hanging="616"/>
        <w:rPr>
          <w:rFonts w:ascii="宋体" w:hAnsi="宋体"/>
          <w:szCs w:val="21"/>
          <w:lang w:val="zh-CN"/>
        </w:rPr>
      </w:pPr>
      <w:r>
        <w:rPr>
          <w:rFonts w:hint="eastAsia" w:ascii="宋体" w:hAnsi="宋体"/>
          <w:szCs w:val="21"/>
          <w:lang w:val="zh-CN"/>
        </w:rPr>
        <w:t>只允许投标人提供一个投标方案（招标文件中要求提供备选方案的除外），</w:t>
      </w:r>
      <w:r>
        <w:rPr>
          <w:rFonts w:hint="eastAsia" w:ascii="宋体" w:hAnsi="宋体"/>
          <w:b/>
          <w:szCs w:val="21"/>
          <w:lang w:val="zh-CN"/>
        </w:rPr>
        <w:t>否则按照无效投标处理</w:t>
      </w:r>
      <w:r>
        <w:rPr>
          <w:rFonts w:hint="eastAsia" w:ascii="宋体" w:hAnsi="宋体"/>
          <w:szCs w:val="21"/>
          <w:lang w:val="zh-CN"/>
        </w:rPr>
        <w:t>。</w:t>
      </w:r>
    </w:p>
    <w:p w14:paraId="5C1ECB98">
      <w:pPr>
        <w:numPr>
          <w:ilvl w:val="0"/>
          <w:numId w:val="14"/>
        </w:numPr>
        <w:spacing w:line="276" w:lineRule="auto"/>
        <w:ind w:left="567" w:hanging="616"/>
        <w:rPr>
          <w:rFonts w:ascii="宋体" w:hAnsi="宋体"/>
          <w:szCs w:val="21"/>
          <w:lang w:val="zh-CN"/>
        </w:rPr>
      </w:pPr>
      <w:r>
        <w:rPr>
          <w:rFonts w:hint="eastAsia" w:ascii="宋体" w:hAnsi="宋体"/>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14:paraId="247562E9">
      <w:pPr>
        <w:numPr>
          <w:ilvl w:val="0"/>
          <w:numId w:val="2"/>
        </w:numPr>
        <w:spacing w:line="276" w:lineRule="auto"/>
        <w:rPr>
          <w:rFonts w:ascii="宋体" w:hAnsi="宋体"/>
          <w:b/>
          <w:szCs w:val="21"/>
          <w:lang w:val="zh-CN"/>
        </w:rPr>
      </w:pPr>
      <w:r>
        <w:rPr>
          <w:rFonts w:hint="eastAsia" w:ascii="宋体" w:hAnsi="宋体"/>
          <w:b/>
          <w:szCs w:val="21"/>
          <w:lang w:val="zh-CN"/>
        </w:rPr>
        <w:t>中标后分包</w:t>
      </w:r>
    </w:p>
    <w:p w14:paraId="46604336">
      <w:pPr>
        <w:numPr>
          <w:ilvl w:val="0"/>
          <w:numId w:val="15"/>
        </w:numPr>
        <w:spacing w:line="276" w:lineRule="auto"/>
        <w:rPr>
          <w:rFonts w:ascii="宋体" w:hAnsi="宋体"/>
          <w:szCs w:val="21"/>
          <w:lang w:val="zh-CN"/>
        </w:rPr>
      </w:pPr>
      <w:r>
        <w:rPr>
          <w:rFonts w:hint="eastAsia" w:ascii="宋体" w:hAnsi="宋体"/>
          <w:szCs w:val="21"/>
          <w:lang w:val="zh-CN"/>
        </w:rPr>
        <w:t xml:space="preserve"> 本项目是否允许中标后分包详见《投标人须知前附表》。</w:t>
      </w:r>
    </w:p>
    <w:p w14:paraId="75FF3BCA">
      <w:pPr>
        <w:numPr>
          <w:ilvl w:val="0"/>
          <w:numId w:val="15"/>
        </w:numPr>
        <w:spacing w:line="276" w:lineRule="auto"/>
        <w:ind w:left="567" w:hanging="567"/>
        <w:rPr>
          <w:rFonts w:ascii="宋体" w:hAnsi="宋体"/>
          <w:szCs w:val="21"/>
          <w:lang w:val="zh-CN"/>
        </w:rPr>
      </w:pPr>
      <w:r>
        <w:rPr>
          <w:rFonts w:hint="eastAsia" w:ascii="宋体" w:hAnsi="宋体"/>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14:paraId="5BA5B808">
      <w:pPr>
        <w:numPr>
          <w:ilvl w:val="0"/>
          <w:numId w:val="2"/>
        </w:numPr>
        <w:spacing w:line="276" w:lineRule="auto"/>
        <w:rPr>
          <w:rFonts w:ascii="宋体" w:hAnsi="宋体"/>
          <w:b/>
          <w:szCs w:val="21"/>
          <w:lang w:val="zh-CN"/>
        </w:rPr>
      </w:pPr>
      <w:r>
        <w:rPr>
          <w:rFonts w:hint="eastAsia" w:ascii="宋体" w:hAnsi="宋体"/>
          <w:b/>
          <w:szCs w:val="21"/>
          <w:lang w:val="zh-CN"/>
        </w:rPr>
        <w:t>联合体投标</w:t>
      </w:r>
    </w:p>
    <w:p w14:paraId="7F91EA49">
      <w:pPr>
        <w:numPr>
          <w:ilvl w:val="0"/>
          <w:numId w:val="16"/>
        </w:numPr>
        <w:spacing w:line="276" w:lineRule="auto"/>
        <w:ind w:left="616" w:hanging="616"/>
        <w:rPr>
          <w:rFonts w:ascii="宋体" w:hAnsi="宋体"/>
          <w:szCs w:val="21"/>
          <w:lang w:val="zh-CN"/>
        </w:rPr>
      </w:pPr>
      <w:r>
        <w:rPr>
          <w:rFonts w:hint="eastAsia" w:ascii="宋体" w:hAnsi="宋体"/>
          <w:szCs w:val="21"/>
          <w:lang w:val="zh-CN"/>
        </w:rPr>
        <w:t>本项目是否允许联合体投标详见《投标人须知前附表》。</w:t>
      </w:r>
    </w:p>
    <w:p w14:paraId="1BD5FB7E">
      <w:pPr>
        <w:numPr>
          <w:ilvl w:val="0"/>
          <w:numId w:val="16"/>
        </w:numPr>
        <w:spacing w:line="276" w:lineRule="auto"/>
        <w:ind w:left="616" w:hanging="616"/>
        <w:rPr>
          <w:rFonts w:ascii="宋体" w:hAnsi="宋体"/>
          <w:szCs w:val="21"/>
          <w:lang w:val="zh-CN"/>
        </w:rPr>
      </w:pPr>
      <w:r>
        <w:rPr>
          <w:rFonts w:hint="eastAsia" w:ascii="宋体" w:hAnsi="宋体"/>
          <w:szCs w:val="21"/>
          <w:lang w:val="zh-CN"/>
        </w:rPr>
        <w:t>两个以上的自然人、法人或者其他组织可以组成一个联合体，以一个投标人的身份共同参加政府采购。</w:t>
      </w:r>
    </w:p>
    <w:p w14:paraId="7B1DC5BF">
      <w:pPr>
        <w:numPr>
          <w:ilvl w:val="0"/>
          <w:numId w:val="16"/>
        </w:numPr>
        <w:spacing w:line="276" w:lineRule="auto"/>
        <w:rPr>
          <w:rFonts w:ascii="宋体" w:hAnsi="宋体"/>
          <w:szCs w:val="21"/>
          <w:lang w:val="zh-CN"/>
        </w:rPr>
      </w:pPr>
      <w:r>
        <w:rPr>
          <w:rFonts w:hint="eastAsia" w:ascii="宋体" w:hAnsi="宋体"/>
          <w:szCs w:val="21"/>
          <w:lang w:val="zh-CN"/>
        </w:rPr>
        <w:t>以联合体形式进行政府采购的，参加联合体的投标人均应当具备《中华人民共和国政府采购法》第二十二条规定的条件，并应当向采购人提交</w:t>
      </w:r>
      <w:r>
        <w:t>联合体协议书</w:t>
      </w:r>
      <w:r>
        <w:rPr>
          <w:rFonts w:hint="eastAsia" w:ascii="宋体" w:hAnsi="宋体"/>
          <w:szCs w:val="21"/>
          <w:lang w:val="zh-CN"/>
        </w:rPr>
        <w:t>，载明联合体各方承担的工作和义务。</w:t>
      </w:r>
    </w:p>
    <w:p w14:paraId="40381A56">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以联合体形式参加政府采购活动的，联合体各方不得再单独参加或者与其他投标人另外组成联合体参加同一合同项下的政府采购活动。</w:t>
      </w:r>
    </w:p>
    <w:p w14:paraId="43572916">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联合体中标的，联合体各方应当共同与采购人</w:t>
      </w:r>
      <w:r>
        <w:rPr>
          <w:rFonts w:hint="eastAsia" w:ascii="宋体" w:hAnsi="宋体"/>
          <w:color w:val="0C0C0C"/>
          <w:szCs w:val="21"/>
          <w:lang w:val="zh-CN"/>
        </w:rPr>
        <w:t>签订采购合同，</w:t>
      </w:r>
      <w:r>
        <w:rPr>
          <w:rFonts w:hint="eastAsia" w:ascii="宋体" w:hAnsi="宋体"/>
          <w:color w:val="0C0C0C"/>
          <w:szCs w:val="21"/>
        </w:rPr>
        <w:t>就采购合同约定的事项对采购人承担连带责任</w:t>
      </w:r>
      <w:r>
        <w:rPr>
          <w:rFonts w:hint="eastAsia" w:ascii="宋体" w:hAnsi="宋体"/>
          <w:szCs w:val="21"/>
          <w:lang w:val="zh-CN"/>
        </w:rPr>
        <w:t>。</w:t>
      </w:r>
    </w:p>
    <w:p w14:paraId="01D014A7">
      <w:pPr>
        <w:numPr>
          <w:ilvl w:val="0"/>
          <w:numId w:val="16"/>
        </w:numPr>
        <w:spacing w:line="276" w:lineRule="auto"/>
        <w:ind w:left="616" w:hanging="616"/>
        <w:rPr>
          <w:rFonts w:ascii="宋体" w:hAnsi="宋体"/>
          <w:szCs w:val="21"/>
          <w:lang w:val="zh-CN"/>
        </w:rPr>
      </w:pPr>
      <w:r>
        <w:rPr>
          <w:rFonts w:hint="eastAsia" w:ascii="宋体" w:hAnsi="宋体"/>
          <w:szCs w:val="21"/>
          <w:lang w:val="zh-CN"/>
        </w:rPr>
        <w:t>联合体中有同类资质的投标人按照联合体分工承担相同工作的，应当按照资质等级较低的投标人确定资质等级。</w:t>
      </w:r>
    </w:p>
    <w:p w14:paraId="26B4EE1C">
      <w:pPr>
        <w:numPr>
          <w:ilvl w:val="0"/>
          <w:numId w:val="16"/>
        </w:numPr>
        <w:spacing w:line="276" w:lineRule="auto"/>
        <w:ind w:left="616" w:hanging="616"/>
        <w:rPr>
          <w:rFonts w:ascii="宋体" w:hAnsi="宋体"/>
          <w:szCs w:val="21"/>
          <w:lang w:val="zh-CN"/>
        </w:rPr>
      </w:pPr>
      <w:r>
        <w:rPr>
          <w:rFonts w:hint="eastAsia" w:ascii="宋体" w:hAnsi="宋体"/>
          <w:szCs w:val="21"/>
          <w:lang w:val="zh-CN"/>
        </w:rPr>
        <w:t>以联合体形式参与投标的，其政府采购政策价格扣除相关规定详见第五章“评标方法、程序及标准”。</w:t>
      </w:r>
    </w:p>
    <w:p w14:paraId="061F7ECC">
      <w:pPr>
        <w:numPr>
          <w:ilvl w:val="0"/>
          <w:numId w:val="2"/>
        </w:numPr>
        <w:spacing w:line="276" w:lineRule="auto"/>
        <w:rPr>
          <w:rFonts w:ascii="宋体" w:hAnsi="宋体"/>
          <w:b/>
          <w:szCs w:val="21"/>
          <w:lang w:val="zh-CN"/>
        </w:rPr>
      </w:pPr>
      <w:r>
        <w:rPr>
          <w:rFonts w:hint="eastAsia" w:ascii="宋体" w:hAnsi="宋体"/>
          <w:b/>
          <w:szCs w:val="21"/>
          <w:lang w:val="zh-CN"/>
        </w:rPr>
        <w:t>资格证明文件</w:t>
      </w:r>
    </w:p>
    <w:p w14:paraId="014FFB54">
      <w:pPr>
        <w:numPr>
          <w:ilvl w:val="0"/>
          <w:numId w:val="17"/>
        </w:numPr>
        <w:spacing w:line="276" w:lineRule="auto"/>
        <w:ind w:left="616" w:hanging="616"/>
        <w:rPr>
          <w:rFonts w:ascii="宋体" w:hAnsi="宋体"/>
          <w:szCs w:val="21"/>
          <w:lang w:val="zh-CN"/>
        </w:rPr>
      </w:pPr>
      <w:r>
        <w:rPr>
          <w:rFonts w:hint="eastAsia" w:ascii="宋体" w:hAnsi="宋体"/>
          <w:szCs w:val="21"/>
          <w:lang w:val="zh-CN"/>
        </w:rPr>
        <w:t>投标人应按本节及第四章资格审查方法及标准中</w:t>
      </w:r>
      <w:r>
        <w:rPr>
          <w:rFonts w:ascii="宋体" w:hAnsi="宋体"/>
          <w:szCs w:val="21"/>
          <w:lang w:val="zh-CN"/>
        </w:rPr>
        <w:t>《</w:t>
      </w:r>
      <w:r>
        <w:rPr>
          <w:rFonts w:hint="eastAsia" w:ascii="宋体" w:hAnsi="宋体"/>
          <w:szCs w:val="21"/>
          <w:lang w:val="zh-CN"/>
        </w:rPr>
        <w:t>资格审查表》的要求，提供足以证明其符合资格要求且中标后有能力履行合同的文件，并作为其投标文件的组成部分。</w:t>
      </w:r>
    </w:p>
    <w:p w14:paraId="7469873A">
      <w:pPr>
        <w:numPr>
          <w:ilvl w:val="0"/>
          <w:numId w:val="17"/>
        </w:numPr>
        <w:spacing w:line="276" w:lineRule="auto"/>
        <w:ind w:left="616" w:hanging="616"/>
        <w:rPr>
          <w:rFonts w:ascii="宋体" w:hAnsi="宋体"/>
          <w:szCs w:val="21"/>
          <w:lang w:val="zh-CN"/>
        </w:rPr>
      </w:pPr>
      <w:r>
        <w:rPr>
          <w:rFonts w:hint="eastAsia" w:ascii="宋体" w:hAnsi="宋体"/>
          <w:szCs w:val="21"/>
          <w:lang w:val="zh-CN"/>
        </w:rPr>
        <w:t>证明材料仅限于投标人单位本身，母公司、股东单位和子公司的材料不能作为证明材料，但投标人单位兼并的企业的材料可作为证明材料。</w:t>
      </w:r>
    </w:p>
    <w:p w14:paraId="0F75A161">
      <w:pPr>
        <w:numPr>
          <w:ilvl w:val="0"/>
          <w:numId w:val="17"/>
        </w:numPr>
        <w:spacing w:line="276" w:lineRule="auto"/>
        <w:ind w:left="616" w:hanging="616"/>
        <w:rPr>
          <w:rFonts w:ascii="宋体" w:hAnsi="宋体"/>
          <w:szCs w:val="21"/>
          <w:lang w:val="zh-CN"/>
        </w:rPr>
      </w:pPr>
      <w:r>
        <w:rPr>
          <w:rFonts w:hint="eastAsia" w:ascii="宋体" w:hAnsi="宋体"/>
          <w:szCs w:val="21"/>
          <w:lang w:val="zh-CN"/>
        </w:rPr>
        <w:t>资格证明文件正本应为原件清晰复印件，</w:t>
      </w:r>
      <w:r>
        <w:rPr>
          <w:rFonts w:hint="eastAsia" w:ascii="宋体" w:hAnsi="宋体"/>
          <w:b/>
          <w:szCs w:val="21"/>
          <w:lang w:val="zh-CN"/>
        </w:rPr>
        <w:t>否则按照无效投标处理</w:t>
      </w:r>
      <w:r>
        <w:rPr>
          <w:rFonts w:hint="eastAsia" w:ascii="宋体" w:hAnsi="宋体"/>
          <w:szCs w:val="21"/>
        </w:rPr>
        <w:t>，</w:t>
      </w:r>
      <w:r>
        <w:rPr>
          <w:rFonts w:hint="eastAsia" w:ascii="宋体" w:hAnsi="宋体"/>
          <w:szCs w:val="21"/>
          <w:lang w:val="zh-CN"/>
        </w:rPr>
        <w:t>副本可为正本的复印件。</w:t>
      </w:r>
    </w:p>
    <w:p w14:paraId="2EBCB512">
      <w:pPr>
        <w:numPr>
          <w:ilvl w:val="0"/>
          <w:numId w:val="2"/>
        </w:numPr>
        <w:spacing w:line="276" w:lineRule="auto"/>
        <w:rPr>
          <w:rFonts w:ascii="宋体" w:hAnsi="宋体"/>
          <w:szCs w:val="21"/>
          <w:lang w:val="zh-CN"/>
        </w:rPr>
      </w:pPr>
      <w:r>
        <w:rPr>
          <w:rFonts w:hint="eastAsia" w:ascii="宋体" w:hAnsi="宋体"/>
          <w:b/>
          <w:szCs w:val="21"/>
          <w:lang w:val="zh-CN"/>
        </w:rPr>
        <w:t>投标保证金</w:t>
      </w:r>
    </w:p>
    <w:p w14:paraId="187B3B2C">
      <w:pPr>
        <w:numPr>
          <w:ilvl w:val="0"/>
          <w:numId w:val="18"/>
        </w:numPr>
        <w:spacing w:line="276" w:lineRule="auto"/>
        <w:ind w:left="616" w:hanging="616"/>
        <w:rPr>
          <w:rFonts w:ascii="宋体" w:hAnsi="宋体"/>
          <w:szCs w:val="21"/>
          <w:lang w:val="zh-CN"/>
        </w:rPr>
      </w:pPr>
      <w:r>
        <w:rPr>
          <w:rFonts w:hint="eastAsia" w:ascii="宋体" w:hAnsi="宋体"/>
          <w:szCs w:val="21"/>
          <w:lang w:val="zh-CN"/>
        </w:rPr>
        <w:t>是否交纳投标保证金及递交要求详见本章《投标人须知前附表》。</w:t>
      </w:r>
    </w:p>
    <w:p w14:paraId="4A99D356">
      <w:pPr>
        <w:numPr>
          <w:ilvl w:val="0"/>
          <w:numId w:val="18"/>
        </w:numPr>
        <w:spacing w:line="276" w:lineRule="auto"/>
        <w:ind w:left="616" w:hanging="616"/>
        <w:rPr>
          <w:rFonts w:ascii="宋体" w:hAnsi="宋体"/>
          <w:szCs w:val="21"/>
          <w:lang w:val="zh-CN"/>
        </w:rPr>
      </w:pPr>
      <w:r>
        <w:rPr>
          <w:rFonts w:hint="eastAsia" w:ascii="宋体" w:hAnsi="宋体"/>
          <w:szCs w:val="21"/>
          <w:lang w:val="zh-CN"/>
        </w:rPr>
        <w:t>招标文件要求交纳保证金的，投标人应在投标文件中提供已交纳保证金的凭证。投标人</w:t>
      </w:r>
      <w:r>
        <w:rPr>
          <w:rFonts w:hint="eastAsia" w:ascii="宋体" w:hAnsi="宋体"/>
          <w:b/>
          <w:szCs w:val="21"/>
          <w:lang w:val="zh-CN"/>
        </w:rPr>
        <w:t>同时参加多个标包投标的，应按标包分别交纳投标保证金。</w:t>
      </w:r>
      <w:r>
        <w:rPr>
          <w:rFonts w:hint="eastAsia" w:ascii="宋体" w:hAnsi="宋体"/>
          <w:szCs w:val="21"/>
          <w:lang w:val="zh-CN"/>
        </w:rPr>
        <w:t>投标人应在投标文件递交截至时间前，按规定将投标保证金汇入招标文件指定专用账户。</w:t>
      </w:r>
    </w:p>
    <w:p w14:paraId="0A4D679B">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投标保证金应按以下方式递交：</w:t>
      </w:r>
    </w:p>
    <w:p w14:paraId="568C6539">
      <w:pPr>
        <w:numPr>
          <w:ilvl w:val="0"/>
          <w:numId w:val="19"/>
        </w:numPr>
        <w:spacing w:line="276" w:lineRule="auto"/>
        <w:rPr>
          <w:rFonts w:ascii="宋体" w:hAnsi="宋体"/>
          <w:szCs w:val="21"/>
          <w:lang w:val="zh-CN"/>
        </w:rPr>
      </w:pPr>
      <w:r>
        <w:rPr>
          <w:rFonts w:hint="eastAsia" w:ascii="宋体" w:hAnsi="宋体"/>
          <w:szCs w:val="21"/>
          <w:lang w:val="zh-CN"/>
        </w:rPr>
        <w:t>应以电汇或网上银行方式汇入保证金账户，不得以个人名义、不得以现金方式交纳。</w:t>
      </w:r>
    </w:p>
    <w:p w14:paraId="63141339">
      <w:pPr>
        <w:numPr>
          <w:ilvl w:val="0"/>
          <w:numId w:val="19"/>
        </w:numPr>
        <w:spacing w:line="276" w:lineRule="auto"/>
        <w:rPr>
          <w:rFonts w:ascii="宋体" w:hAnsi="宋体"/>
          <w:szCs w:val="21"/>
          <w:lang w:val="zh-CN"/>
        </w:rPr>
      </w:pPr>
      <w:r>
        <w:rPr>
          <w:rFonts w:hint="eastAsia" w:ascii="宋体" w:hAnsi="宋体"/>
          <w:szCs w:val="21"/>
          <w:lang w:val="zh-CN"/>
        </w:rPr>
        <w:t>到账时间以到达指定账户时间为准。</w:t>
      </w:r>
    </w:p>
    <w:p w14:paraId="1432518B">
      <w:pPr>
        <w:numPr>
          <w:ilvl w:val="0"/>
          <w:numId w:val="18"/>
        </w:numPr>
        <w:spacing w:line="276" w:lineRule="auto"/>
        <w:ind w:left="616" w:hanging="616"/>
        <w:rPr>
          <w:rFonts w:ascii="宋体" w:hAnsi="宋体"/>
          <w:szCs w:val="21"/>
          <w:lang w:val="zh-CN"/>
        </w:rPr>
      </w:pPr>
      <w:r>
        <w:rPr>
          <w:rFonts w:hint="eastAsia" w:ascii="宋体" w:hAnsi="宋体"/>
          <w:b/>
          <w:szCs w:val="21"/>
          <w:lang w:val="zh-CN"/>
        </w:rPr>
        <w:t>未按招标文件要求递交投标保证金，或交纳保证金的账户名称与投标人名称不一致的按照无效投标处理</w:t>
      </w:r>
      <w:r>
        <w:rPr>
          <w:rFonts w:hint="eastAsia" w:ascii="宋体" w:hAnsi="宋体"/>
          <w:szCs w:val="21"/>
          <w:lang w:val="zh-CN"/>
        </w:rPr>
        <w:t>。</w:t>
      </w:r>
    </w:p>
    <w:p w14:paraId="696F012F">
      <w:pPr>
        <w:numPr>
          <w:ilvl w:val="0"/>
          <w:numId w:val="18"/>
        </w:numPr>
        <w:spacing w:line="276" w:lineRule="auto"/>
        <w:ind w:left="616" w:hanging="616"/>
        <w:rPr>
          <w:rFonts w:ascii="宋体" w:hAnsi="宋体"/>
          <w:szCs w:val="21"/>
          <w:lang w:val="zh-CN"/>
        </w:rPr>
      </w:pPr>
      <w:r>
        <w:rPr>
          <w:rFonts w:hint="eastAsia" w:ascii="宋体" w:hAnsi="宋体"/>
          <w:szCs w:val="21"/>
          <w:lang w:val="zh-CN"/>
        </w:rPr>
        <w:t>采购代理机构将在自中标通知书发出之日起</w:t>
      </w:r>
      <w:r>
        <w:rPr>
          <w:rFonts w:hint="eastAsia" w:ascii="宋体" w:hAnsi="宋体"/>
          <w:b/>
          <w:szCs w:val="21"/>
          <w:lang w:val="zh-CN"/>
        </w:rPr>
        <w:t>5</w:t>
      </w:r>
      <w:r>
        <w:rPr>
          <w:rFonts w:hint="eastAsia" w:ascii="宋体" w:hAnsi="宋体"/>
          <w:szCs w:val="21"/>
          <w:lang w:val="zh-CN"/>
        </w:rPr>
        <w:t>个工作日内（如无质疑或投诉）退还未中标人的投标保证金；自政府采购合同签订之日起</w:t>
      </w:r>
      <w:r>
        <w:rPr>
          <w:rFonts w:hint="eastAsia" w:ascii="宋体" w:hAnsi="宋体"/>
          <w:b/>
          <w:szCs w:val="21"/>
          <w:lang w:val="zh-CN"/>
        </w:rPr>
        <w:t>5</w:t>
      </w:r>
      <w:r>
        <w:rPr>
          <w:rFonts w:hint="eastAsia" w:ascii="宋体" w:hAnsi="宋体"/>
          <w:szCs w:val="21"/>
          <w:lang w:val="zh-CN"/>
        </w:rPr>
        <w:t>个工作日内退还中标人的投标保证金。</w:t>
      </w:r>
    </w:p>
    <w:p w14:paraId="628D510C">
      <w:pPr>
        <w:numPr>
          <w:ilvl w:val="0"/>
          <w:numId w:val="18"/>
        </w:numPr>
        <w:spacing w:line="276" w:lineRule="auto"/>
        <w:ind w:left="616" w:hanging="616"/>
        <w:rPr>
          <w:rFonts w:ascii="宋体" w:hAnsi="宋体"/>
          <w:szCs w:val="21"/>
          <w:lang w:val="zh-CN"/>
        </w:rPr>
      </w:pPr>
      <w:r>
        <w:rPr>
          <w:rFonts w:hint="eastAsia" w:ascii="宋体" w:hAnsi="宋体" w:cs="Helvetic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14:paraId="626B258E">
      <w:pPr>
        <w:numPr>
          <w:ilvl w:val="0"/>
          <w:numId w:val="18"/>
        </w:numPr>
        <w:spacing w:line="276" w:lineRule="auto"/>
        <w:ind w:left="616" w:hanging="616"/>
        <w:rPr>
          <w:rFonts w:ascii="宋体" w:hAnsi="宋体"/>
          <w:szCs w:val="21"/>
          <w:lang w:val="zh-CN"/>
        </w:rPr>
      </w:pPr>
      <w:r>
        <w:rPr>
          <w:rFonts w:hint="eastAsia" w:ascii="宋体" w:hAnsi="宋体"/>
          <w:szCs w:val="21"/>
          <w:lang w:val="zh-CN"/>
        </w:rPr>
        <w:t>投标保证金将直接退还至投标人交纳时的账户，不以现金方式退还。</w:t>
      </w:r>
    </w:p>
    <w:p w14:paraId="438C9D84">
      <w:pPr>
        <w:numPr>
          <w:ilvl w:val="0"/>
          <w:numId w:val="18"/>
        </w:numPr>
        <w:spacing w:line="276" w:lineRule="auto"/>
        <w:ind w:left="616" w:hanging="616"/>
        <w:rPr>
          <w:rFonts w:ascii="宋体" w:hAnsi="宋体"/>
          <w:b/>
          <w:szCs w:val="21"/>
          <w:lang w:val="zh-CN"/>
        </w:rPr>
      </w:pPr>
      <w:r>
        <w:rPr>
          <w:rFonts w:hint="eastAsia" w:ascii="宋体" w:hAnsi="宋体"/>
          <w:b/>
          <w:szCs w:val="21"/>
          <w:lang w:val="zh-CN"/>
        </w:rPr>
        <w:t>投标人有下列情形之一的，其投标保证金不予退还：</w:t>
      </w:r>
    </w:p>
    <w:p w14:paraId="04839E22">
      <w:pPr>
        <w:numPr>
          <w:ilvl w:val="0"/>
          <w:numId w:val="20"/>
        </w:numPr>
        <w:spacing w:line="276" w:lineRule="auto"/>
        <w:rPr>
          <w:rFonts w:ascii="宋体" w:hAnsi="宋体"/>
          <w:szCs w:val="21"/>
          <w:lang w:val="zh-CN"/>
        </w:rPr>
      </w:pPr>
      <w:r>
        <w:rPr>
          <w:rFonts w:hint="eastAsia" w:ascii="宋体" w:hAnsi="宋体"/>
          <w:szCs w:val="21"/>
          <w:lang w:val="zh-CN"/>
        </w:rPr>
        <w:t>在投标文件有效期内撤销投标文件的；</w:t>
      </w:r>
    </w:p>
    <w:p w14:paraId="48563546">
      <w:pPr>
        <w:numPr>
          <w:ilvl w:val="0"/>
          <w:numId w:val="20"/>
        </w:numPr>
        <w:spacing w:line="276" w:lineRule="auto"/>
        <w:rPr>
          <w:rFonts w:ascii="宋体" w:hAnsi="宋体"/>
          <w:szCs w:val="21"/>
          <w:lang w:val="zh-CN"/>
        </w:rPr>
      </w:pPr>
      <w:r>
        <w:rPr>
          <w:rFonts w:hint="eastAsia" w:ascii="宋体" w:hAnsi="宋体"/>
          <w:szCs w:val="21"/>
          <w:lang w:val="zh-CN"/>
        </w:rPr>
        <w:t>在投标文件中提供虚假材料的；</w:t>
      </w:r>
    </w:p>
    <w:p w14:paraId="2E469DBD">
      <w:pPr>
        <w:numPr>
          <w:ilvl w:val="0"/>
          <w:numId w:val="20"/>
        </w:numPr>
        <w:spacing w:line="276" w:lineRule="auto"/>
        <w:rPr>
          <w:rFonts w:ascii="宋体" w:hAnsi="宋体"/>
          <w:szCs w:val="21"/>
          <w:lang w:val="zh-CN"/>
        </w:rPr>
      </w:pPr>
      <w:r>
        <w:rPr>
          <w:rFonts w:hint="eastAsia" w:ascii="宋体" w:hAnsi="宋体"/>
          <w:szCs w:val="21"/>
          <w:lang w:val="zh-CN"/>
        </w:rPr>
        <w:t>中标后无正当理由拒绝签订政府采购合同的；</w:t>
      </w:r>
    </w:p>
    <w:p w14:paraId="661E374C">
      <w:pPr>
        <w:numPr>
          <w:ilvl w:val="0"/>
          <w:numId w:val="20"/>
        </w:numPr>
        <w:spacing w:line="276" w:lineRule="auto"/>
        <w:rPr>
          <w:rFonts w:ascii="宋体" w:hAnsi="宋体"/>
          <w:szCs w:val="21"/>
          <w:lang w:val="zh-CN"/>
        </w:rPr>
      </w:pPr>
      <w:r>
        <w:rPr>
          <w:rFonts w:hint="eastAsia" w:ascii="宋体" w:hAnsi="宋体"/>
          <w:szCs w:val="21"/>
          <w:lang w:val="zh-CN"/>
        </w:rPr>
        <w:t>串通投标、恶意串通的；</w:t>
      </w:r>
    </w:p>
    <w:p w14:paraId="303C3E12">
      <w:pPr>
        <w:numPr>
          <w:ilvl w:val="0"/>
          <w:numId w:val="20"/>
        </w:numPr>
        <w:spacing w:line="276" w:lineRule="auto"/>
        <w:rPr>
          <w:rFonts w:ascii="宋体" w:hAnsi="宋体"/>
          <w:szCs w:val="21"/>
          <w:lang w:val="zh-CN"/>
        </w:rPr>
      </w:pPr>
      <w:r>
        <w:rPr>
          <w:rFonts w:hint="eastAsia" w:ascii="宋体" w:hAnsi="宋体"/>
          <w:szCs w:val="21"/>
          <w:lang w:val="zh-CN"/>
        </w:rPr>
        <w:t>法律、法规和招标文件中规定的其它不予退还投标保证金的情形。</w:t>
      </w:r>
    </w:p>
    <w:p w14:paraId="1225FBC1">
      <w:pPr>
        <w:numPr>
          <w:ilvl w:val="0"/>
          <w:numId w:val="2"/>
        </w:numPr>
        <w:spacing w:line="276" w:lineRule="auto"/>
        <w:rPr>
          <w:rFonts w:ascii="宋体" w:hAnsi="宋体"/>
          <w:b/>
          <w:szCs w:val="21"/>
          <w:lang w:val="zh-CN"/>
        </w:rPr>
      </w:pPr>
      <w:r>
        <w:rPr>
          <w:rFonts w:hint="eastAsia" w:ascii="宋体" w:hAnsi="宋体"/>
          <w:b/>
          <w:szCs w:val="21"/>
          <w:lang w:val="zh-CN"/>
        </w:rPr>
        <w:t>投标有效期</w:t>
      </w:r>
    </w:p>
    <w:p w14:paraId="5637CBF7">
      <w:pPr>
        <w:numPr>
          <w:ilvl w:val="0"/>
          <w:numId w:val="21"/>
        </w:numPr>
        <w:spacing w:line="276" w:lineRule="auto"/>
        <w:ind w:left="616" w:hanging="616"/>
        <w:rPr>
          <w:rFonts w:ascii="宋体" w:hAnsi="宋体"/>
          <w:szCs w:val="21"/>
          <w:lang w:val="zh-CN"/>
        </w:rPr>
      </w:pPr>
      <w:r>
        <w:rPr>
          <w:rFonts w:hint="eastAsia" w:ascii="宋体" w:hAnsi="宋体"/>
          <w:szCs w:val="21"/>
          <w:lang w:val="zh-CN"/>
        </w:rPr>
        <w:t>投标有效期详见本章《投标人须知前附表》中的规定。</w:t>
      </w:r>
      <w:r>
        <w:rPr>
          <w:rFonts w:hint="eastAsia" w:ascii="宋体" w:hAnsi="宋体" w:cs="Helvetica"/>
          <w:kern w:val="0"/>
          <w:szCs w:val="21"/>
          <w:lang w:val="zh-CN"/>
        </w:rPr>
        <w:t>投标文件中承诺的投标有效期应当不少于招标文件中载明的投标有效期。</w:t>
      </w:r>
      <w:r>
        <w:rPr>
          <w:rFonts w:hint="eastAsia" w:ascii="宋体" w:hAnsi="宋体" w:cs="Helvetica"/>
          <w:b/>
          <w:kern w:val="0"/>
          <w:szCs w:val="21"/>
          <w:lang w:val="zh-CN"/>
        </w:rPr>
        <w:t>投标有效期不足的，</w:t>
      </w:r>
      <w:r>
        <w:rPr>
          <w:rFonts w:hint="eastAsia" w:ascii="宋体" w:hAnsi="宋体"/>
          <w:b/>
          <w:szCs w:val="21"/>
          <w:lang w:val="zh-CN"/>
        </w:rPr>
        <w:t>按照无效投标处理。</w:t>
      </w:r>
    </w:p>
    <w:p w14:paraId="3598AD0E">
      <w:pPr>
        <w:numPr>
          <w:ilvl w:val="0"/>
          <w:numId w:val="21"/>
        </w:numPr>
        <w:spacing w:line="276" w:lineRule="auto"/>
        <w:ind w:left="616" w:hanging="616"/>
        <w:rPr>
          <w:rFonts w:ascii="宋体" w:hAnsi="宋体"/>
          <w:szCs w:val="21"/>
          <w:lang w:val="zh-CN"/>
        </w:rPr>
      </w:pPr>
      <w:r>
        <w:rPr>
          <w:rFonts w:hint="eastAsia" w:ascii="宋体" w:hAnsi="宋体"/>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14:paraId="3D33C242">
      <w:pPr>
        <w:numPr>
          <w:ilvl w:val="0"/>
          <w:numId w:val="2"/>
        </w:numPr>
        <w:spacing w:line="276" w:lineRule="auto"/>
        <w:rPr>
          <w:rFonts w:ascii="宋体" w:hAnsi="宋体"/>
          <w:b/>
          <w:szCs w:val="21"/>
          <w:lang w:val="zh-CN"/>
        </w:rPr>
      </w:pPr>
      <w:r>
        <w:rPr>
          <w:rFonts w:hint="eastAsia" w:ascii="宋体" w:hAnsi="宋体"/>
          <w:b/>
          <w:szCs w:val="21"/>
          <w:lang w:val="zh-CN"/>
        </w:rPr>
        <w:t>投标文件形式、样品及现场演示</w:t>
      </w:r>
    </w:p>
    <w:p w14:paraId="05B04575">
      <w:pPr>
        <w:spacing w:line="276" w:lineRule="auto"/>
        <w:ind w:left="567" w:hanging="567" w:hangingChars="270"/>
        <w:rPr>
          <w:rFonts w:ascii="宋体" w:hAnsi="宋体"/>
          <w:szCs w:val="21"/>
        </w:rPr>
      </w:pPr>
      <w:r>
        <w:rPr>
          <w:rFonts w:hint="eastAsia" w:ascii="宋体" w:hAnsi="宋体"/>
          <w:szCs w:val="21"/>
        </w:rPr>
        <w:t>19.1</w:t>
      </w:r>
      <w:r>
        <w:rPr>
          <w:rFonts w:hint="eastAsia" w:ascii="宋体" w:hAnsi="宋体"/>
          <w:b/>
          <w:szCs w:val="21"/>
        </w:rPr>
        <w:t>投标文件形式</w:t>
      </w:r>
    </w:p>
    <w:p w14:paraId="5665470F">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投标文件</w:t>
      </w:r>
      <w:r>
        <w:rPr>
          <w:rFonts w:hint="eastAsia" w:ascii="宋体" w:hAnsi="宋体"/>
          <w:szCs w:val="21"/>
          <w:lang w:val="zh-CN"/>
        </w:rPr>
        <w:t>包括正本、副本及单独提供的法定代表人授权委托书（或法定代表人身份证明书）。</w:t>
      </w:r>
    </w:p>
    <w:p w14:paraId="0663F513">
      <w:pPr>
        <w:numPr>
          <w:ilvl w:val="0"/>
          <w:numId w:val="22"/>
        </w:numPr>
        <w:spacing w:line="276" w:lineRule="auto"/>
        <w:rPr>
          <w:rFonts w:ascii="宋体" w:hAnsi="宋体"/>
          <w:szCs w:val="21"/>
          <w:lang w:val="zh-CN"/>
        </w:rPr>
      </w:pPr>
      <w:r>
        <w:rPr>
          <w:rFonts w:hint="eastAsia" w:ascii="宋体" w:hAnsi="宋体"/>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14:paraId="43BD9F96">
      <w:pPr>
        <w:numPr>
          <w:ilvl w:val="0"/>
          <w:numId w:val="22"/>
        </w:numPr>
        <w:spacing w:line="276" w:lineRule="auto"/>
        <w:rPr>
          <w:rFonts w:ascii="宋体" w:hAnsi="宋体" w:cs="宋体"/>
          <w:snapToGrid w:val="0"/>
          <w:szCs w:val="21"/>
          <w:lang w:val="zh-CN"/>
        </w:rPr>
      </w:pPr>
      <w:r>
        <w:rPr>
          <w:rFonts w:hint="eastAsia" w:ascii="宋体" w:hAnsi="宋体"/>
          <w:szCs w:val="21"/>
          <w:lang w:val="zh-CN"/>
        </w:rPr>
        <w:t>投标文件</w:t>
      </w:r>
      <w:r>
        <w:rPr>
          <w:rFonts w:hint="eastAsia" w:ascii="宋体" w:hAnsi="宋体" w:cs="宋体"/>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14:paraId="5CA0147C">
      <w:pPr>
        <w:numPr>
          <w:ilvl w:val="0"/>
          <w:numId w:val="22"/>
        </w:numPr>
        <w:spacing w:line="276" w:lineRule="auto"/>
        <w:rPr>
          <w:rFonts w:ascii="宋体" w:hAnsi="宋体"/>
          <w:szCs w:val="21"/>
          <w:lang w:val="zh-CN"/>
        </w:rPr>
      </w:pPr>
      <w:r>
        <w:rPr>
          <w:rFonts w:hint="eastAsia" w:ascii="宋体" w:hAnsi="宋体" w:cs="宋体"/>
          <w:snapToGrid w:val="0"/>
          <w:szCs w:val="21"/>
          <w:lang w:val="zh-CN"/>
        </w:rPr>
        <w:t>投标文</w:t>
      </w:r>
      <w:r>
        <w:rPr>
          <w:rFonts w:hint="eastAsia" w:ascii="宋体" w:hAnsi="宋体"/>
          <w:szCs w:val="21"/>
          <w:lang w:val="zh-CN"/>
        </w:rPr>
        <w:t>件中的任何行间插字、涂改和增删，必须由法定代表人或授权代表在旁边签名才有效。</w:t>
      </w:r>
    </w:p>
    <w:p w14:paraId="043EAE78">
      <w:pPr>
        <w:numPr>
          <w:ilvl w:val="0"/>
          <w:numId w:val="22"/>
        </w:numPr>
        <w:spacing w:line="276" w:lineRule="auto"/>
        <w:rPr>
          <w:rFonts w:ascii="宋体" w:hAnsi="宋体"/>
          <w:szCs w:val="21"/>
          <w:lang w:val="zh-CN"/>
        </w:rPr>
      </w:pPr>
      <w:r>
        <w:rPr>
          <w:rFonts w:hint="eastAsia" w:ascii="宋体" w:hAnsi="宋体"/>
          <w:szCs w:val="21"/>
          <w:lang w:val="zh-CN"/>
        </w:rPr>
        <w:t>投标文件应当采用不可拆卸的方法装订，对未经装订的投标文件可能发生的文件散落或缺损及由此产生的后果由投标人承担。</w:t>
      </w:r>
    </w:p>
    <w:p w14:paraId="73B7E7C4">
      <w:pPr>
        <w:numPr>
          <w:ilvl w:val="0"/>
          <w:numId w:val="22"/>
        </w:numPr>
        <w:spacing w:line="276" w:lineRule="auto"/>
        <w:rPr>
          <w:rFonts w:ascii="宋体" w:hAnsi="宋体"/>
          <w:szCs w:val="21"/>
          <w:lang w:val="zh-CN"/>
        </w:rPr>
      </w:pPr>
      <w:r>
        <w:rPr>
          <w:rFonts w:hint="eastAsia" w:ascii="宋体" w:hAnsi="宋体"/>
          <w:szCs w:val="21"/>
          <w:lang w:val="zh-CN"/>
        </w:rPr>
        <w:t>投标文件正本、副本应进行密封包装，封包加盖投标人公章，并注明项目编号、包号、项目名称、投标人名称及“（**时间）前不得启封”的字样。</w:t>
      </w:r>
    </w:p>
    <w:p w14:paraId="7143308D">
      <w:pPr>
        <w:numPr>
          <w:ilvl w:val="0"/>
          <w:numId w:val="22"/>
        </w:numPr>
        <w:spacing w:line="276" w:lineRule="auto"/>
        <w:rPr>
          <w:rFonts w:ascii="宋体" w:hAnsi="宋体" w:cs="宋体"/>
          <w:snapToGrid w:val="0"/>
          <w:szCs w:val="21"/>
          <w:lang w:val="zh-CN"/>
        </w:rPr>
      </w:pPr>
      <w:r>
        <w:rPr>
          <w:rFonts w:hint="eastAsia" w:ascii="宋体" w:hAnsi="宋体"/>
          <w:szCs w:val="21"/>
          <w:lang w:val="zh-CN"/>
        </w:rPr>
        <w:t>如果未按要</w:t>
      </w:r>
      <w:r>
        <w:rPr>
          <w:rFonts w:hint="eastAsia" w:ascii="宋体" w:hAnsi="宋体"/>
          <w:szCs w:val="21"/>
        </w:rPr>
        <w:t>求密封或加写标记存在错误</w:t>
      </w:r>
      <w:r>
        <w:rPr>
          <w:rFonts w:hint="eastAsia" w:ascii="宋体" w:hAnsi="宋体"/>
          <w:szCs w:val="21"/>
          <w:lang w:val="zh-CN"/>
        </w:rPr>
        <w:t>，采购代理机构对其误投或提前启封概不负责。</w:t>
      </w:r>
    </w:p>
    <w:p w14:paraId="39AA9639">
      <w:pPr>
        <w:spacing w:line="276" w:lineRule="auto"/>
        <w:ind w:left="567" w:hanging="567" w:hangingChars="270"/>
        <w:rPr>
          <w:rFonts w:ascii="宋体" w:hAnsi="宋体" w:cs="宋体"/>
          <w:snapToGrid w:val="0"/>
          <w:kern w:val="0"/>
          <w:szCs w:val="21"/>
          <w:lang w:val="zh-CN"/>
        </w:rPr>
      </w:pPr>
      <w:r>
        <w:rPr>
          <w:rFonts w:hint="eastAsia" w:ascii="宋体" w:hAnsi="宋体"/>
          <w:szCs w:val="21"/>
        </w:rPr>
        <w:t>19.</w:t>
      </w:r>
      <w:r>
        <w:rPr>
          <w:rFonts w:ascii="宋体" w:hAnsi="宋体"/>
          <w:szCs w:val="21"/>
        </w:rPr>
        <w:t>2</w:t>
      </w:r>
      <w:r>
        <w:rPr>
          <w:rFonts w:hint="eastAsia" w:ascii="宋体" w:hAnsi="宋体"/>
          <w:b/>
          <w:szCs w:val="21"/>
        </w:rPr>
        <w:t>样品</w:t>
      </w:r>
    </w:p>
    <w:p w14:paraId="6051CC11">
      <w:pPr>
        <w:numPr>
          <w:ilvl w:val="0"/>
          <w:numId w:val="23"/>
        </w:numPr>
        <w:spacing w:line="276" w:lineRule="auto"/>
        <w:rPr>
          <w:rFonts w:ascii="宋体" w:hAnsi="宋体"/>
          <w:szCs w:val="21"/>
          <w:lang w:val="zh-CN"/>
        </w:rPr>
      </w:pPr>
      <w:r>
        <w:rPr>
          <w:rFonts w:hint="eastAsia" w:ascii="宋体" w:hAnsi="宋体" w:cs="宋体"/>
          <w:szCs w:val="21"/>
        </w:rPr>
        <w:t>本项</w:t>
      </w:r>
      <w:r>
        <w:rPr>
          <w:rFonts w:hint="eastAsia" w:ascii="宋体" w:hAnsi="宋体"/>
          <w:szCs w:val="21"/>
          <w:lang w:val="zh-CN"/>
        </w:rPr>
        <w:t>目是否接收样品详见《投标人须知前附表》。</w:t>
      </w:r>
    </w:p>
    <w:p w14:paraId="3D0E8D54">
      <w:pPr>
        <w:numPr>
          <w:ilvl w:val="0"/>
          <w:numId w:val="23"/>
        </w:numPr>
        <w:spacing w:line="276" w:lineRule="auto"/>
        <w:rPr>
          <w:rFonts w:ascii="宋体" w:hAnsi="宋体"/>
          <w:szCs w:val="21"/>
          <w:lang w:val="zh-CN"/>
        </w:rPr>
      </w:pPr>
      <w:r>
        <w:rPr>
          <w:rFonts w:hint="eastAsia" w:ascii="宋体" w:hAnsi="宋体"/>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14:paraId="7250B198">
      <w:pPr>
        <w:numPr>
          <w:ilvl w:val="0"/>
          <w:numId w:val="23"/>
        </w:numPr>
        <w:spacing w:line="276" w:lineRule="auto"/>
        <w:rPr>
          <w:rFonts w:ascii="宋体" w:hAnsi="宋体" w:cs="宋体"/>
          <w:snapToGrid w:val="0"/>
          <w:kern w:val="0"/>
          <w:szCs w:val="21"/>
          <w:lang w:val="zh-CN"/>
        </w:rPr>
      </w:pPr>
      <w:r>
        <w:rPr>
          <w:rFonts w:hint="eastAsia" w:ascii="宋体" w:hAnsi="宋体"/>
          <w:szCs w:val="21"/>
          <w:lang w:val="zh-CN"/>
        </w:rPr>
        <w:t>采购活</w:t>
      </w:r>
      <w:r>
        <w:rPr>
          <w:rFonts w:hint="eastAsia" w:ascii="宋体" w:hAnsi="宋体" w:cs="宋体"/>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14:paraId="1CBA0B82">
      <w:pPr>
        <w:spacing w:line="276" w:lineRule="auto"/>
        <w:ind w:left="420" w:hanging="420" w:hangingChars="200"/>
        <w:rPr>
          <w:rFonts w:ascii="宋体" w:hAnsi="宋体"/>
          <w:szCs w:val="21"/>
          <w:lang w:val="zh-CN"/>
        </w:rPr>
      </w:pPr>
      <w:r>
        <w:rPr>
          <w:rFonts w:hint="eastAsia" w:ascii="宋体" w:hAnsi="宋体"/>
          <w:szCs w:val="21"/>
        </w:rPr>
        <w:t>19.</w:t>
      </w:r>
      <w:r>
        <w:rPr>
          <w:rFonts w:ascii="宋体" w:hAnsi="宋体"/>
          <w:szCs w:val="21"/>
        </w:rPr>
        <w:t>3</w:t>
      </w:r>
      <w:r>
        <w:rPr>
          <w:rFonts w:hint="eastAsia" w:ascii="宋体" w:hAnsi="宋体"/>
          <w:b/>
          <w:szCs w:val="21"/>
        </w:rPr>
        <w:t xml:space="preserve"> 现场演示</w:t>
      </w:r>
    </w:p>
    <w:p w14:paraId="2858344C">
      <w:pPr>
        <w:spacing w:line="276" w:lineRule="auto"/>
        <w:ind w:firstLine="567" w:firstLineChars="270"/>
        <w:rPr>
          <w:rFonts w:ascii="宋体" w:hAnsi="宋体"/>
          <w:b/>
          <w:szCs w:val="21"/>
        </w:rPr>
      </w:pPr>
      <w:r>
        <w:rPr>
          <w:rFonts w:hint="eastAsia" w:ascii="宋体" w:hAnsi="宋体" w:cs="宋体"/>
          <w:snapToGrid w:val="0"/>
          <w:kern w:val="0"/>
          <w:szCs w:val="21"/>
          <w:lang w:val="zh-CN"/>
        </w:rPr>
        <w:t>本项目在评审时是否需要演示及相关要求详见</w:t>
      </w:r>
      <w:r>
        <w:rPr>
          <w:rFonts w:hint="eastAsia" w:ascii="宋体" w:hAnsi="宋体"/>
          <w:szCs w:val="21"/>
          <w:lang w:val="zh-CN"/>
        </w:rPr>
        <w:t>《投标人须知前附表》。</w:t>
      </w:r>
    </w:p>
    <w:p w14:paraId="5ADB18AE">
      <w:pPr>
        <w:numPr>
          <w:ilvl w:val="0"/>
          <w:numId w:val="2"/>
        </w:numPr>
        <w:spacing w:line="276" w:lineRule="auto"/>
        <w:rPr>
          <w:rFonts w:ascii="宋体" w:hAnsi="宋体"/>
          <w:b/>
          <w:szCs w:val="21"/>
          <w:lang w:val="zh-CN"/>
        </w:rPr>
      </w:pPr>
      <w:r>
        <w:rPr>
          <w:rFonts w:hint="eastAsia" w:ascii="宋体" w:hAnsi="宋体"/>
          <w:b/>
          <w:szCs w:val="21"/>
          <w:lang w:val="zh-CN"/>
        </w:rPr>
        <w:t>投标文件递交</w:t>
      </w:r>
    </w:p>
    <w:p w14:paraId="224EB995">
      <w:pPr>
        <w:tabs>
          <w:tab w:val="left" w:pos="567"/>
        </w:tabs>
        <w:spacing w:line="276" w:lineRule="auto"/>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.1 投标人递交投标文件的截止时间：见</w:t>
      </w:r>
      <w:r>
        <w:rPr>
          <w:rFonts w:hint="eastAsia" w:ascii="宋体" w:hAnsi="宋体"/>
          <w:szCs w:val="21"/>
          <w:lang w:val="zh-CN"/>
        </w:rPr>
        <w:t>《投标人须知前附表》</w:t>
      </w:r>
      <w:r>
        <w:rPr>
          <w:rFonts w:hint="eastAsia" w:ascii="宋体" w:hAnsi="宋体"/>
          <w:szCs w:val="21"/>
        </w:rPr>
        <w:t>。</w:t>
      </w:r>
    </w:p>
    <w:p w14:paraId="413251F6">
      <w:pPr>
        <w:spacing w:line="276" w:lineRule="auto"/>
        <w:ind w:left="525" w:hanging="525" w:hangingChars="250"/>
        <w:rPr>
          <w:rFonts w:ascii="宋体" w:hAnsi="宋体"/>
          <w:szCs w:val="21"/>
        </w:rPr>
      </w:pPr>
      <w:r>
        <w:rPr>
          <w:rFonts w:hint="eastAsia" w:ascii="宋体" w:hAnsi="宋体"/>
          <w:szCs w:val="21"/>
        </w:rPr>
        <w:t>2</w:t>
      </w:r>
      <w:r>
        <w:rPr>
          <w:rFonts w:ascii="宋体" w:hAnsi="宋体"/>
          <w:szCs w:val="21"/>
        </w:rPr>
        <w:t>0</w:t>
      </w:r>
      <w:r>
        <w:rPr>
          <w:rFonts w:hint="eastAsia" w:ascii="宋体" w:hAnsi="宋体"/>
          <w:szCs w:val="21"/>
        </w:rPr>
        <w:t>.2投标人应当在投标截止时间前，按</w:t>
      </w:r>
      <w:r>
        <w:rPr>
          <w:rFonts w:ascii="宋体" w:hAnsi="宋体"/>
          <w:szCs w:val="21"/>
        </w:rPr>
        <w:t>要求</w:t>
      </w:r>
      <w:r>
        <w:rPr>
          <w:rFonts w:hint="eastAsia" w:ascii="宋体" w:hAnsi="宋体"/>
          <w:szCs w:val="21"/>
        </w:rPr>
        <w:t>将投标文件递交或邮寄送达（如招标公告允许接收邮寄），递交地点见《投标人须知前附表》。</w:t>
      </w:r>
      <w:r>
        <w:rPr>
          <w:rFonts w:hint="eastAsia" w:ascii="宋体" w:hAnsi="宋体" w:cs="宋体"/>
          <w:kern w:val="0"/>
          <w:szCs w:val="21"/>
        </w:rPr>
        <w:t>采购代理机构</w:t>
      </w:r>
      <w:r>
        <w:rPr>
          <w:rFonts w:hint="eastAsia" w:ascii="宋体" w:hAnsi="宋体"/>
          <w:szCs w:val="21"/>
        </w:rPr>
        <w:t>收到投标文件后向投标人出具签收凭证。逾期送达的或者未送达指定地点的，</w:t>
      </w:r>
      <w:r>
        <w:rPr>
          <w:rFonts w:hint="eastAsia" w:ascii="宋体" w:hAnsi="宋体" w:cs="宋体"/>
          <w:kern w:val="0"/>
          <w:szCs w:val="21"/>
        </w:rPr>
        <w:t>采购人和采购代理机构</w:t>
      </w:r>
      <w:r>
        <w:rPr>
          <w:rFonts w:hint="eastAsia" w:ascii="宋体" w:hAnsi="宋体"/>
          <w:szCs w:val="21"/>
        </w:rPr>
        <w:t>将拒收。</w:t>
      </w:r>
    </w:p>
    <w:p w14:paraId="427F131F">
      <w:pPr>
        <w:spacing w:line="276" w:lineRule="auto"/>
        <w:ind w:left="567" w:hanging="567" w:hangingChars="270"/>
        <w:rPr>
          <w:rFonts w:ascii="宋体" w:hAnsi="宋体" w:cs="Helvetica"/>
          <w:kern w:val="0"/>
          <w:szCs w:val="21"/>
          <w:lang w:val="zh-CN"/>
        </w:rPr>
      </w:pPr>
      <w:r>
        <w:rPr>
          <w:rFonts w:hint="eastAsia" w:ascii="宋体" w:hAnsi="宋体"/>
          <w:szCs w:val="21"/>
        </w:rPr>
        <w:t>2</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 xml:space="preserve"> 除《投标人须知前附表》另有规定外，投标人所递交的投标文件不予退还。</w:t>
      </w:r>
    </w:p>
    <w:p w14:paraId="200D746A">
      <w:pPr>
        <w:numPr>
          <w:ilvl w:val="0"/>
          <w:numId w:val="2"/>
        </w:numPr>
        <w:spacing w:line="276" w:lineRule="auto"/>
        <w:rPr>
          <w:rFonts w:ascii="宋体" w:hAnsi="宋体"/>
          <w:b/>
          <w:szCs w:val="21"/>
          <w:lang w:val="zh-CN"/>
        </w:rPr>
      </w:pPr>
      <w:r>
        <w:rPr>
          <w:rFonts w:hint="eastAsia" w:ascii="宋体" w:hAnsi="宋体"/>
          <w:b/>
          <w:szCs w:val="21"/>
          <w:lang w:val="zh-CN"/>
        </w:rPr>
        <w:t>投标文件的修改和撤回</w:t>
      </w:r>
    </w:p>
    <w:p w14:paraId="3F37CC6B">
      <w:pPr>
        <w:spacing w:line="276" w:lineRule="auto"/>
        <w:ind w:left="525" w:hanging="525" w:hangingChars="250"/>
        <w:rPr>
          <w:rFonts w:ascii="宋体" w:hAnsi="宋体"/>
          <w:szCs w:val="21"/>
          <w:lang w:val="zh-CN"/>
        </w:rPr>
      </w:pPr>
      <w:r>
        <w:rPr>
          <w:rFonts w:hint="eastAsia" w:ascii="宋体" w:hAnsi="宋体"/>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14:paraId="5AA9EA67">
      <w:pPr>
        <w:spacing w:line="276" w:lineRule="auto"/>
        <w:ind w:left="525" w:hanging="525" w:hangingChars="250"/>
        <w:rPr>
          <w:rFonts w:ascii="宋体" w:hAnsi="宋体"/>
          <w:szCs w:val="21"/>
          <w:lang w:val="zh-CN"/>
        </w:rPr>
      </w:pPr>
      <w:r>
        <w:rPr>
          <w:rFonts w:hint="eastAsia" w:ascii="宋体" w:hAnsi="宋体"/>
          <w:szCs w:val="21"/>
          <w:lang w:val="zh-CN"/>
        </w:rPr>
        <w:t>21.</w:t>
      </w:r>
      <w:r>
        <w:rPr>
          <w:rFonts w:ascii="宋体" w:hAnsi="宋体"/>
          <w:szCs w:val="21"/>
          <w:lang w:val="zh-CN"/>
        </w:rPr>
        <w:t xml:space="preserve">2 </w:t>
      </w:r>
      <w:r>
        <w:rPr>
          <w:rFonts w:hint="eastAsia" w:ascii="宋体" w:hAnsi="宋体"/>
          <w:szCs w:val="21"/>
          <w:lang w:val="zh-CN"/>
        </w:rPr>
        <w:t>投标有效期内投标人不得撤销其投标文件，否则按照本章“投标保证金”的规定其投标保证金不予退还。</w:t>
      </w:r>
    </w:p>
    <w:p w14:paraId="439260D6">
      <w:pPr>
        <w:keepNext/>
        <w:keepLines/>
        <w:numPr>
          <w:ilvl w:val="0"/>
          <w:numId w:val="1"/>
        </w:numPr>
        <w:spacing w:line="276" w:lineRule="auto"/>
        <w:ind w:left="426" w:hanging="426"/>
        <w:jc w:val="left"/>
        <w:outlineLvl w:val="1"/>
        <w:rPr>
          <w:rFonts w:ascii="宋体" w:hAnsi="宋体"/>
          <w:b/>
          <w:kern w:val="0"/>
          <w:szCs w:val="21"/>
          <w:lang w:val="zh-CN"/>
        </w:rPr>
      </w:pPr>
      <w:bookmarkStart w:id="21" w:name="_Toc272247698"/>
      <w:bookmarkStart w:id="22" w:name="_Toc494561942"/>
      <w:bookmarkStart w:id="23" w:name="_Toc278891595"/>
      <w:bookmarkStart w:id="24" w:name="_Toc97815001"/>
      <w:r>
        <w:rPr>
          <w:rFonts w:hint="eastAsia" w:ascii="宋体" w:hAnsi="宋体"/>
          <w:b/>
          <w:kern w:val="0"/>
          <w:szCs w:val="21"/>
          <w:lang w:val="zh-CN"/>
        </w:rPr>
        <w:t>开标与评标</w:t>
      </w:r>
      <w:bookmarkEnd w:id="21"/>
      <w:bookmarkEnd w:id="22"/>
      <w:bookmarkEnd w:id="23"/>
      <w:bookmarkEnd w:id="24"/>
    </w:p>
    <w:p w14:paraId="6199CF67">
      <w:pPr>
        <w:numPr>
          <w:ilvl w:val="0"/>
          <w:numId w:val="2"/>
        </w:numPr>
        <w:spacing w:line="276" w:lineRule="auto"/>
        <w:rPr>
          <w:rFonts w:ascii="宋体" w:hAnsi="宋体"/>
          <w:b/>
          <w:szCs w:val="21"/>
          <w:lang w:val="zh-CN"/>
        </w:rPr>
      </w:pPr>
      <w:r>
        <w:rPr>
          <w:rFonts w:hint="eastAsia" w:ascii="宋体" w:hAnsi="宋体"/>
          <w:b/>
          <w:szCs w:val="21"/>
          <w:lang w:val="zh-CN"/>
        </w:rPr>
        <w:t>开标</w:t>
      </w:r>
    </w:p>
    <w:p w14:paraId="64B67E34">
      <w:pPr>
        <w:numPr>
          <w:ilvl w:val="0"/>
          <w:numId w:val="24"/>
        </w:numPr>
        <w:spacing w:line="276" w:lineRule="auto"/>
        <w:ind w:left="616" w:hanging="616"/>
        <w:rPr>
          <w:rFonts w:ascii="宋体" w:hAnsi="宋体"/>
          <w:szCs w:val="21"/>
          <w:lang w:val="zh-CN"/>
        </w:rPr>
      </w:pPr>
      <w:r>
        <w:rPr>
          <w:rFonts w:hint="eastAsia" w:ascii="宋体" w:hAnsi="宋体" w:cs="宋体"/>
          <w:kern w:val="0"/>
          <w:szCs w:val="21"/>
        </w:rPr>
        <w:t>采购代理机构在第一章</w:t>
      </w:r>
      <w:r>
        <w:rPr>
          <w:rFonts w:hint="eastAsia" w:ascii="宋体" w:hAnsi="宋体"/>
          <w:szCs w:val="21"/>
          <w:lang w:val="zh-CN"/>
        </w:rPr>
        <w:t>“招标公告（投标邀请书）”中约定的日期、时间和地点组织开标。</w:t>
      </w:r>
    </w:p>
    <w:p w14:paraId="48147E49">
      <w:pPr>
        <w:numPr>
          <w:ilvl w:val="0"/>
          <w:numId w:val="24"/>
        </w:numPr>
        <w:spacing w:line="276" w:lineRule="auto"/>
        <w:ind w:left="616" w:hanging="616"/>
        <w:rPr>
          <w:rFonts w:ascii="宋体" w:hAnsi="宋体" w:cs="宋体"/>
          <w:kern w:val="0"/>
          <w:szCs w:val="21"/>
        </w:rPr>
      </w:pPr>
      <w:r>
        <w:rPr>
          <w:rFonts w:hint="eastAsia" w:ascii="宋体" w:hAnsi="宋体"/>
          <w:szCs w:val="21"/>
          <w:lang w:val="zh-CN"/>
        </w:rPr>
        <w:t>投标</w:t>
      </w:r>
      <w:r>
        <w:rPr>
          <w:rFonts w:hint="eastAsia" w:ascii="宋体" w:hAnsi="宋体" w:cs="宋体"/>
          <w:kern w:val="0"/>
          <w:szCs w:val="21"/>
        </w:rPr>
        <w:t>人法定代表人或其授权代表应携带有效身份证明参加项目开标会，投标人未参加开标的，视同认可开标结果。截止投标文件递交时间，投标人不足3家的，不进行开标。</w:t>
      </w:r>
    </w:p>
    <w:p w14:paraId="553D97DA">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开标时，由投标人或其推选的代表检查投标文件的密封情况，经确认无误后由招标代理机构工作人员当众拆封，宣布投标人名称、投标价格和招标文件规定的需要宣布的其他内容。</w:t>
      </w:r>
    </w:p>
    <w:p w14:paraId="36F75E29">
      <w:pPr>
        <w:numPr>
          <w:ilvl w:val="0"/>
          <w:numId w:val="24"/>
        </w:numPr>
        <w:spacing w:line="276" w:lineRule="auto"/>
        <w:ind w:left="616" w:hanging="616"/>
        <w:rPr>
          <w:rFonts w:ascii="宋体" w:hAnsi="宋体" w:cs="宋体"/>
          <w:kern w:val="0"/>
          <w:szCs w:val="21"/>
        </w:rPr>
      </w:pPr>
      <w:r>
        <w:rPr>
          <w:rFonts w:hint="eastAsia" w:ascii="宋体" w:hAnsi="宋体" w:cs="宋体"/>
          <w:kern w:val="0"/>
          <w:szCs w:val="21"/>
        </w:rPr>
        <w:t>招标代理机构负责对开标过程进行记录，由参加开标的各投标人代表和相关工作人员对开标记录进行签字确认。</w:t>
      </w:r>
    </w:p>
    <w:p w14:paraId="4AE42E2D">
      <w:pPr>
        <w:numPr>
          <w:ilvl w:val="0"/>
          <w:numId w:val="24"/>
        </w:numPr>
        <w:spacing w:line="276" w:lineRule="auto"/>
        <w:ind w:left="616" w:hanging="616"/>
        <w:rPr>
          <w:rFonts w:ascii="宋体" w:hAnsi="宋体"/>
          <w:szCs w:val="21"/>
          <w:lang w:val="zh-CN"/>
        </w:rPr>
      </w:pPr>
      <w:r>
        <w:rPr>
          <w:rFonts w:hint="eastAsia" w:ascii="宋体" w:hAnsi="宋体" w:cs="宋体"/>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szCs w:val="21"/>
          <w:lang w:val="zh-CN"/>
        </w:rPr>
        <w:t>回避申请。</w:t>
      </w:r>
    </w:p>
    <w:p w14:paraId="2ECC41AD">
      <w:pPr>
        <w:numPr>
          <w:ilvl w:val="0"/>
          <w:numId w:val="2"/>
        </w:numPr>
        <w:spacing w:line="276" w:lineRule="auto"/>
        <w:rPr>
          <w:rFonts w:ascii="宋体" w:hAnsi="宋体"/>
          <w:b/>
          <w:szCs w:val="21"/>
          <w:lang w:val="zh-CN"/>
        </w:rPr>
      </w:pPr>
      <w:r>
        <w:rPr>
          <w:rFonts w:hint="eastAsia" w:ascii="宋体" w:hAnsi="宋体"/>
          <w:b/>
          <w:szCs w:val="21"/>
          <w:lang w:val="zh-CN"/>
        </w:rPr>
        <w:t>资格审查</w:t>
      </w:r>
    </w:p>
    <w:p w14:paraId="6D004EB4">
      <w:pPr>
        <w:numPr>
          <w:ilvl w:val="0"/>
          <w:numId w:val="25"/>
        </w:numPr>
        <w:spacing w:line="276" w:lineRule="auto"/>
        <w:ind w:left="616" w:hanging="616"/>
        <w:rPr>
          <w:rFonts w:ascii="宋体" w:hAnsi="宋体"/>
          <w:bCs/>
          <w:szCs w:val="21"/>
          <w:lang w:val="zh-CN"/>
        </w:rPr>
      </w:pPr>
      <w:r>
        <w:rPr>
          <w:rFonts w:hint="eastAsia" w:ascii="宋体" w:hAnsi="宋体"/>
          <w:bCs/>
          <w:szCs w:val="21"/>
          <w:lang w:val="zh-CN"/>
        </w:rPr>
        <w:t>开标结束后，采购人与采购代理机构依据法律、法规及招标文件的规定，对投标人的资格进行审查，审查办法详见第四章“资格审查方法及标准”。</w:t>
      </w:r>
    </w:p>
    <w:p w14:paraId="3FD84CD2">
      <w:pPr>
        <w:numPr>
          <w:ilvl w:val="0"/>
          <w:numId w:val="2"/>
        </w:numPr>
        <w:spacing w:line="276" w:lineRule="auto"/>
        <w:rPr>
          <w:rFonts w:ascii="宋体" w:hAnsi="宋体"/>
          <w:b/>
          <w:szCs w:val="21"/>
          <w:lang w:val="zh-CN"/>
        </w:rPr>
      </w:pPr>
      <w:r>
        <w:rPr>
          <w:rFonts w:hint="eastAsia" w:ascii="宋体" w:hAnsi="宋体"/>
          <w:b/>
          <w:szCs w:val="21"/>
          <w:lang w:val="zh-CN"/>
        </w:rPr>
        <w:t>评标方法</w:t>
      </w:r>
    </w:p>
    <w:p w14:paraId="6807F0D3">
      <w:pPr>
        <w:numPr>
          <w:ilvl w:val="0"/>
          <w:numId w:val="26"/>
        </w:numPr>
        <w:spacing w:line="276" w:lineRule="auto"/>
        <w:ind w:left="616" w:hanging="616"/>
        <w:rPr>
          <w:rFonts w:ascii="宋体" w:hAnsi="宋体"/>
          <w:bCs/>
          <w:szCs w:val="21"/>
          <w:lang w:val="zh-CN"/>
        </w:rPr>
      </w:pPr>
      <w:r>
        <w:rPr>
          <w:rFonts w:hint="eastAsia" w:ascii="宋体" w:hAnsi="宋体"/>
          <w:bCs/>
          <w:szCs w:val="21"/>
          <w:lang w:val="zh-CN"/>
        </w:rPr>
        <w:t>根据</w:t>
      </w:r>
      <w:r>
        <w:rPr>
          <w:rFonts w:hint="eastAsia" w:ascii="宋体" w:hAnsi="宋体"/>
          <w:bCs/>
          <w:color w:val="0D0D0D"/>
          <w:szCs w:val="21"/>
          <w:lang w:val="zh-CN"/>
        </w:rPr>
        <w:t>《政府采购货物和服务招标投标管理办法》（财政部令第87号）</w:t>
      </w:r>
      <w:r>
        <w:rPr>
          <w:rFonts w:hint="eastAsia" w:ascii="宋体" w:hAnsi="宋体"/>
          <w:bCs/>
          <w:szCs w:val="21"/>
          <w:lang w:val="zh-CN"/>
        </w:rPr>
        <w:t>规定</w:t>
      </w:r>
      <w:r>
        <w:rPr>
          <w:rFonts w:ascii="宋体" w:hAnsi="宋体"/>
          <w:bCs/>
          <w:szCs w:val="21"/>
          <w:lang w:val="zh-CN"/>
        </w:rPr>
        <w:t>，</w:t>
      </w:r>
      <w:r>
        <w:rPr>
          <w:rFonts w:hint="eastAsia" w:ascii="宋体" w:hAnsi="宋体"/>
          <w:bCs/>
          <w:szCs w:val="21"/>
          <w:lang w:val="zh-CN"/>
        </w:rPr>
        <w:t>评标方法分为最低评标价法和综合评分法。本项目所</w:t>
      </w:r>
      <w:r>
        <w:rPr>
          <w:rFonts w:ascii="宋体" w:hAnsi="宋体"/>
          <w:bCs/>
          <w:szCs w:val="21"/>
          <w:lang w:val="zh-CN"/>
        </w:rPr>
        <w:t>采用评标方法</w:t>
      </w:r>
      <w:r>
        <w:rPr>
          <w:rFonts w:hint="eastAsia" w:ascii="宋体" w:hAnsi="宋体"/>
          <w:bCs/>
          <w:szCs w:val="21"/>
          <w:lang w:val="zh-CN"/>
        </w:rPr>
        <w:t>见《投标人须知前附表》。</w:t>
      </w:r>
    </w:p>
    <w:p w14:paraId="13AEB502">
      <w:pPr>
        <w:numPr>
          <w:ilvl w:val="0"/>
          <w:numId w:val="2"/>
        </w:numPr>
        <w:spacing w:line="276" w:lineRule="auto"/>
        <w:rPr>
          <w:rFonts w:ascii="宋体" w:hAnsi="宋体"/>
          <w:b/>
          <w:szCs w:val="21"/>
          <w:lang w:val="zh-CN"/>
        </w:rPr>
      </w:pPr>
      <w:r>
        <w:rPr>
          <w:rFonts w:hint="eastAsia" w:ascii="宋体" w:hAnsi="宋体"/>
          <w:b/>
          <w:szCs w:val="21"/>
          <w:lang w:val="zh-CN"/>
        </w:rPr>
        <w:t>评标委员会的组成</w:t>
      </w:r>
    </w:p>
    <w:p w14:paraId="3062C5D9">
      <w:pPr>
        <w:numPr>
          <w:ilvl w:val="0"/>
          <w:numId w:val="27"/>
        </w:numPr>
        <w:spacing w:line="276" w:lineRule="auto"/>
        <w:ind w:left="616" w:hanging="616"/>
        <w:rPr>
          <w:rFonts w:ascii="宋体" w:hAnsi="宋体"/>
          <w:szCs w:val="21"/>
          <w:lang w:val="zh-CN"/>
        </w:rPr>
      </w:pPr>
      <w:r>
        <w:rPr>
          <w:rFonts w:hint="eastAsia" w:ascii="宋体" w:hAnsi="宋体" w:cs="Helvetica"/>
          <w:kern w:val="0"/>
          <w:szCs w:val="21"/>
          <w:lang w:val="zh-CN"/>
        </w:rPr>
        <w:t>评标委员会由采购人代表和评审专家组成，成员人数应当为5人或5人以上单数，其中评审专家不得少于成员总数的三分之二；</w:t>
      </w:r>
      <w:r>
        <w:rPr>
          <w:rFonts w:hint="eastAsia" w:ascii="宋体" w:hAnsi="宋体"/>
          <w:szCs w:val="21"/>
          <w:lang w:val="zh-CN"/>
        </w:rPr>
        <w:t>采购预算金额在1000万元及以上、技术复杂或社会影响较大的项目，评标委员会成员人数应当为7人及以上单数。</w:t>
      </w:r>
    </w:p>
    <w:p w14:paraId="584CF18B">
      <w:pPr>
        <w:numPr>
          <w:ilvl w:val="0"/>
          <w:numId w:val="27"/>
        </w:numPr>
        <w:spacing w:line="276" w:lineRule="auto"/>
        <w:ind w:left="616" w:hanging="616"/>
        <w:rPr>
          <w:rFonts w:ascii="宋体" w:hAnsi="宋体"/>
          <w:szCs w:val="21"/>
          <w:lang w:val="zh-CN"/>
        </w:rPr>
      </w:pPr>
      <w:r>
        <w:rPr>
          <w:rFonts w:hint="eastAsia" w:ascii="宋体" w:hAnsi="宋体" w:cs="Helvetica"/>
          <w:kern w:val="0"/>
          <w:szCs w:val="21"/>
          <w:lang w:val="zh-CN"/>
        </w:rPr>
        <w:t>评审专家</w:t>
      </w:r>
      <w:r>
        <w:rPr>
          <w:rFonts w:hint="eastAsia" w:ascii="宋体" w:hAnsi="宋体"/>
          <w:szCs w:val="21"/>
          <w:lang w:val="zh-CN"/>
        </w:rPr>
        <w:t>依法从政府采购专家库中随机抽取。对技术复杂、专业性强的采购项目，通过随机方式难以确定合适评审专家的，经主管预算单位同意，采购人可以自行选定相应专业领域的评审专家。</w:t>
      </w:r>
    </w:p>
    <w:p w14:paraId="1ADB47ED">
      <w:pPr>
        <w:numPr>
          <w:ilvl w:val="0"/>
          <w:numId w:val="2"/>
        </w:numPr>
        <w:spacing w:line="276" w:lineRule="auto"/>
        <w:rPr>
          <w:rFonts w:ascii="宋体" w:hAnsi="宋体"/>
          <w:b/>
          <w:szCs w:val="21"/>
          <w:lang w:val="zh-CN"/>
        </w:rPr>
      </w:pPr>
      <w:r>
        <w:rPr>
          <w:rFonts w:hint="eastAsia" w:ascii="宋体" w:hAnsi="宋体"/>
          <w:b/>
          <w:szCs w:val="21"/>
          <w:lang w:val="zh-CN"/>
        </w:rPr>
        <w:t>评标程序</w:t>
      </w:r>
    </w:p>
    <w:p w14:paraId="69630E2F">
      <w:pPr>
        <w:numPr>
          <w:ilvl w:val="0"/>
          <w:numId w:val="28"/>
        </w:numPr>
        <w:spacing w:line="276" w:lineRule="auto"/>
        <w:ind w:left="616" w:hanging="616"/>
        <w:rPr>
          <w:rFonts w:ascii="宋体" w:hAnsi="宋体"/>
          <w:szCs w:val="21"/>
          <w:lang w:val="zh-CN"/>
        </w:rPr>
      </w:pPr>
      <w:r>
        <w:rPr>
          <w:rFonts w:hint="eastAsia" w:ascii="宋体" w:hAnsi="宋体" w:cs="Helvetica"/>
          <w:kern w:val="0"/>
          <w:szCs w:val="21"/>
          <w:lang w:val="zh-CN"/>
        </w:rPr>
        <w:t>评标委员会负责具体评标事务，并独立履行下列职责：</w:t>
      </w:r>
    </w:p>
    <w:p w14:paraId="18241F08">
      <w:pPr>
        <w:numPr>
          <w:ilvl w:val="0"/>
          <w:numId w:val="29"/>
        </w:numPr>
        <w:spacing w:line="276" w:lineRule="auto"/>
        <w:rPr>
          <w:rFonts w:ascii="宋体" w:hAnsi="宋体"/>
          <w:szCs w:val="21"/>
          <w:lang w:val="zh-CN"/>
        </w:rPr>
      </w:pPr>
      <w:r>
        <w:rPr>
          <w:rFonts w:hint="eastAsia" w:ascii="宋体" w:hAnsi="宋体"/>
          <w:szCs w:val="21"/>
          <w:lang w:val="zh-CN"/>
        </w:rPr>
        <w:t>审查、评价投标文件是否符合招标文件的商务、技术等实质性要求；</w:t>
      </w:r>
    </w:p>
    <w:p w14:paraId="3CC73658">
      <w:pPr>
        <w:numPr>
          <w:ilvl w:val="0"/>
          <w:numId w:val="29"/>
        </w:numPr>
        <w:spacing w:line="276" w:lineRule="auto"/>
        <w:rPr>
          <w:rFonts w:ascii="宋体" w:hAnsi="宋体"/>
          <w:szCs w:val="21"/>
          <w:lang w:val="zh-CN"/>
        </w:rPr>
      </w:pPr>
      <w:r>
        <w:rPr>
          <w:rFonts w:hint="eastAsia" w:ascii="宋体" w:hAnsi="宋体"/>
          <w:szCs w:val="21"/>
          <w:lang w:val="zh-CN"/>
        </w:rPr>
        <w:t>要求投标人对投标文件有关事项作出澄清或者说明；</w:t>
      </w:r>
    </w:p>
    <w:p w14:paraId="417CAFE6">
      <w:pPr>
        <w:numPr>
          <w:ilvl w:val="0"/>
          <w:numId w:val="29"/>
        </w:numPr>
        <w:spacing w:line="276" w:lineRule="auto"/>
        <w:rPr>
          <w:rFonts w:ascii="宋体" w:hAnsi="宋体"/>
          <w:szCs w:val="21"/>
          <w:lang w:val="zh-CN"/>
        </w:rPr>
      </w:pPr>
      <w:r>
        <w:rPr>
          <w:rFonts w:hint="eastAsia" w:ascii="宋体" w:hAnsi="宋体"/>
          <w:szCs w:val="21"/>
          <w:lang w:val="zh-CN"/>
        </w:rPr>
        <w:t>对投标文件进行综合比较和评价；</w:t>
      </w:r>
    </w:p>
    <w:p w14:paraId="6774F3E7">
      <w:pPr>
        <w:numPr>
          <w:ilvl w:val="0"/>
          <w:numId w:val="29"/>
        </w:numPr>
        <w:spacing w:line="276" w:lineRule="auto"/>
        <w:rPr>
          <w:rFonts w:ascii="宋体" w:hAnsi="宋体"/>
          <w:szCs w:val="21"/>
          <w:lang w:val="zh-CN"/>
        </w:rPr>
      </w:pPr>
      <w:r>
        <w:rPr>
          <w:rFonts w:hint="eastAsia" w:ascii="宋体" w:hAnsi="宋体"/>
          <w:szCs w:val="21"/>
          <w:lang w:val="zh-CN"/>
        </w:rPr>
        <w:t>确定中标候选人名单或中标人；</w:t>
      </w:r>
    </w:p>
    <w:p w14:paraId="0CBDCD99">
      <w:pPr>
        <w:numPr>
          <w:ilvl w:val="0"/>
          <w:numId w:val="29"/>
        </w:numPr>
        <w:spacing w:line="276" w:lineRule="auto"/>
        <w:rPr>
          <w:rFonts w:ascii="宋体" w:hAnsi="宋体"/>
          <w:szCs w:val="21"/>
          <w:lang w:val="zh-CN"/>
        </w:rPr>
      </w:pPr>
      <w:r>
        <w:rPr>
          <w:rFonts w:hint="eastAsia" w:ascii="宋体" w:hAnsi="宋体"/>
          <w:szCs w:val="21"/>
          <w:lang w:val="zh-CN"/>
        </w:rPr>
        <w:t>向采购人、采购代理机构或者有关部门报告评标中发现的违法行为。</w:t>
      </w:r>
    </w:p>
    <w:p w14:paraId="6885108A">
      <w:pPr>
        <w:numPr>
          <w:ilvl w:val="0"/>
          <w:numId w:val="28"/>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评标程序详见第五章“评标方法、程序及标准”。</w:t>
      </w:r>
    </w:p>
    <w:p w14:paraId="53D8738B">
      <w:pPr>
        <w:keepNext/>
        <w:keepLines/>
        <w:numPr>
          <w:ilvl w:val="0"/>
          <w:numId w:val="1"/>
        </w:numPr>
        <w:spacing w:line="276" w:lineRule="auto"/>
        <w:ind w:left="426" w:hanging="426"/>
        <w:jc w:val="left"/>
        <w:outlineLvl w:val="1"/>
        <w:rPr>
          <w:rFonts w:ascii="宋体" w:hAnsi="宋体"/>
          <w:b/>
          <w:kern w:val="0"/>
          <w:szCs w:val="21"/>
          <w:lang w:val="zh-CN"/>
        </w:rPr>
      </w:pPr>
      <w:bookmarkStart w:id="25" w:name="_Toc494561943"/>
      <w:bookmarkStart w:id="26" w:name="_Toc97815002"/>
      <w:r>
        <w:rPr>
          <w:rFonts w:hint="eastAsia" w:ascii="宋体" w:hAnsi="宋体"/>
          <w:b/>
          <w:kern w:val="0"/>
          <w:szCs w:val="21"/>
          <w:lang w:val="zh-CN"/>
        </w:rPr>
        <w:t>投标人信用信息及查询</w:t>
      </w:r>
      <w:bookmarkEnd w:id="25"/>
      <w:bookmarkEnd w:id="26"/>
    </w:p>
    <w:p w14:paraId="31D58D8A">
      <w:pPr>
        <w:numPr>
          <w:ilvl w:val="0"/>
          <w:numId w:val="2"/>
        </w:numPr>
        <w:spacing w:line="276" w:lineRule="auto"/>
        <w:rPr>
          <w:rFonts w:ascii="宋体" w:hAnsi="宋体"/>
          <w:b/>
          <w:szCs w:val="21"/>
          <w:lang w:val="zh-CN"/>
        </w:rPr>
      </w:pPr>
      <w:r>
        <w:rPr>
          <w:rFonts w:hint="eastAsia" w:ascii="宋体" w:hAnsi="宋体"/>
          <w:b/>
          <w:szCs w:val="21"/>
          <w:lang w:val="zh-CN"/>
        </w:rPr>
        <w:t>信用信息查询渠道及使用规则</w:t>
      </w:r>
    </w:p>
    <w:p w14:paraId="68A3AC24">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kern w:val="0"/>
          <w:szCs w:val="21"/>
        </w:rPr>
        <w:t>及“中国政府采购网”</w:t>
      </w:r>
      <w:r>
        <w:rPr>
          <w:rFonts w:hint="eastAsia" w:ascii="宋体" w:hAnsi="宋体" w:cs="Helvetica"/>
          <w:kern w:val="0"/>
          <w:szCs w:val="21"/>
          <w:lang w:val="zh-CN"/>
        </w:rPr>
        <w:t>。</w:t>
      </w:r>
    </w:p>
    <w:p w14:paraId="6A0FC614">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列入失信被执行人、</w:t>
      </w:r>
      <w:r>
        <w:rPr>
          <w:rFonts w:hint="eastAsia" w:ascii="宋体" w:hAnsi="宋体"/>
          <w:szCs w:val="21"/>
        </w:rPr>
        <w:t>重大税收违法失信主体</w:t>
      </w:r>
      <w:r>
        <w:rPr>
          <w:rFonts w:hint="eastAsia" w:ascii="宋体" w:hAnsi="宋体" w:cs="Helvetica"/>
          <w:kern w:val="0"/>
          <w:szCs w:val="21"/>
          <w:lang w:val="zh-CN"/>
        </w:rPr>
        <w:t>、政府采购严重违法失信行为记录名单的投标人，采购代理机构</w:t>
      </w:r>
      <w:r>
        <w:rPr>
          <w:rFonts w:hint="eastAsia" w:ascii="宋体" w:hAnsi="宋体" w:cs="Helvetica"/>
          <w:b/>
          <w:kern w:val="0"/>
          <w:szCs w:val="21"/>
          <w:lang w:val="zh-CN"/>
        </w:rPr>
        <w:t>拒绝</w:t>
      </w:r>
      <w:r>
        <w:rPr>
          <w:rFonts w:hint="eastAsia" w:ascii="宋体" w:hAnsi="宋体" w:cs="Helvetica"/>
          <w:kern w:val="0"/>
          <w:szCs w:val="21"/>
          <w:lang w:val="zh-CN"/>
        </w:rPr>
        <w:t>其参与政府采购活动。</w:t>
      </w:r>
    </w:p>
    <w:p w14:paraId="7A2EE7C5">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14:paraId="747E7017">
      <w:pPr>
        <w:numPr>
          <w:ilvl w:val="0"/>
          <w:numId w:val="30"/>
        </w:numPr>
        <w:spacing w:line="276" w:lineRule="auto"/>
        <w:ind w:left="616" w:hanging="616"/>
        <w:rPr>
          <w:rFonts w:ascii="宋体" w:hAnsi="宋体" w:cs="Helvetica"/>
          <w:kern w:val="0"/>
          <w:szCs w:val="21"/>
          <w:lang w:val="zh-CN"/>
        </w:rPr>
      </w:pPr>
      <w:r>
        <w:rPr>
          <w:rFonts w:hint="eastAsia" w:ascii="宋体" w:hAnsi="宋体" w:cs="Helvetic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kern w:val="0"/>
          <w:szCs w:val="21"/>
          <w:lang w:val="zh-CN"/>
        </w:rPr>
        <w:t>无效投标处理</w:t>
      </w:r>
      <w:r>
        <w:rPr>
          <w:rFonts w:hint="eastAsia" w:ascii="宋体" w:hAnsi="宋体" w:cs="Helvetica"/>
          <w:kern w:val="0"/>
          <w:szCs w:val="21"/>
          <w:lang w:val="zh-CN"/>
        </w:rPr>
        <w:t>。</w:t>
      </w:r>
    </w:p>
    <w:p w14:paraId="319F288E">
      <w:pPr>
        <w:keepNext/>
        <w:keepLines/>
        <w:numPr>
          <w:ilvl w:val="0"/>
          <w:numId w:val="1"/>
        </w:numPr>
        <w:spacing w:line="276" w:lineRule="auto"/>
        <w:ind w:left="426" w:hanging="426"/>
        <w:jc w:val="left"/>
        <w:outlineLvl w:val="1"/>
        <w:rPr>
          <w:rFonts w:ascii="宋体" w:hAnsi="宋体"/>
          <w:b/>
          <w:kern w:val="0"/>
          <w:szCs w:val="21"/>
          <w:lang w:val="zh-CN"/>
        </w:rPr>
      </w:pPr>
      <w:bookmarkStart w:id="27" w:name="_Toc97815003"/>
      <w:bookmarkStart w:id="28" w:name="_Toc494561944"/>
      <w:r>
        <w:rPr>
          <w:rFonts w:hint="eastAsia" w:ascii="宋体" w:hAnsi="宋体"/>
          <w:b/>
          <w:kern w:val="0"/>
          <w:szCs w:val="21"/>
          <w:lang w:val="zh-CN"/>
        </w:rPr>
        <w:t>中标与合同</w:t>
      </w:r>
      <w:bookmarkEnd w:id="27"/>
      <w:bookmarkEnd w:id="28"/>
    </w:p>
    <w:p w14:paraId="41E38F5A">
      <w:pPr>
        <w:numPr>
          <w:ilvl w:val="0"/>
          <w:numId w:val="2"/>
        </w:numPr>
        <w:spacing w:line="276" w:lineRule="auto"/>
        <w:rPr>
          <w:rFonts w:ascii="宋体" w:hAnsi="宋体"/>
          <w:b/>
          <w:szCs w:val="21"/>
          <w:lang w:val="zh-CN"/>
        </w:rPr>
      </w:pPr>
      <w:r>
        <w:rPr>
          <w:rFonts w:hint="eastAsia" w:ascii="宋体" w:hAnsi="宋体"/>
          <w:b/>
          <w:szCs w:val="21"/>
          <w:lang w:val="zh-CN"/>
        </w:rPr>
        <w:t>确定中标人</w:t>
      </w:r>
    </w:p>
    <w:p w14:paraId="51FF3946">
      <w:pPr>
        <w:numPr>
          <w:ilvl w:val="0"/>
          <w:numId w:val="31"/>
        </w:numPr>
        <w:spacing w:line="276" w:lineRule="auto"/>
        <w:ind w:left="616" w:hanging="616"/>
        <w:rPr>
          <w:rFonts w:ascii="宋体" w:hAnsi="宋体"/>
          <w:szCs w:val="21"/>
          <w:lang w:val="zh-CN"/>
        </w:rPr>
      </w:pPr>
      <w:r>
        <w:rPr>
          <w:rFonts w:hint="eastAsia" w:ascii="宋体" w:hAnsi="宋体" w:cs="宋体"/>
          <w:color w:val="333333"/>
          <w:kern w:val="0"/>
          <w:szCs w:val="21"/>
        </w:rPr>
        <w:t>采购代理机构应当在评标结束后2个工作日内将评标报告送采购人。</w:t>
      </w:r>
    </w:p>
    <w:p w14:paraId="47451A81">
      <w:pPr>
        <w:numPr>
          <w:ilvl w:val="0"/>
          <w:numId w:val="31"/>
        </w:numPr>
        <w:spacing w:line="276" w:lineRule="auto"/>
        <w:ind w:left="616" w:hanging="616"/>
        <w:rPr>
          <w:rFonts w:ascii="宋体" w:hAnsi="宋体"/>
          <w:szCs w:val="21"/>
          <w:lang w:val="zh-CN"/>
        </w:rPr>
      </w:pPr>
      <w:r>
        <w:rPr>
          <w:rFonts w:hint="eastAsia" w:ascii="宋体" w:hAnsi="宋体" w:cs="Helvetica"/>
          <w:kern w:val="0"/>
          <w:szCs w:val="21"/>
          <w:lang w:val="zh-CN"/>
        </w:rPr>
        <w:t>采购人收到评标报告5个工作日内，按评标报告推荐的中标候选人顺序确定中标人。</w:t>
      </w:r>
    </w:p>
    <w:p w14:paraId="4116AC2B">
      <w:pPr>
        <w:numPr>
          <w:ilvl w:val="0"/>
          <w:numId w:val="31"/>
        </w:numPr>
        <w:spacing w:line="276" w:lineRule="auto"/>
        <w:ind w:left="616" w:hanging="616"/>
        <w:rPr>
          <w:rFonts w:ascii="宋体" w:hAnsi="宋体"/>
          <w:szCs w:val="21"/>
          <w:lang w:val="zh-CN"/>
        </w:rPr>
      </w:pPr>
      <w:r>
        <w:rPr>
          <w:rFonts w:hint="eastAsia" w:ascii="宋体" w:hAnsi="宋体"/>
          <w:szCs w:val="21"/>
          <w:lang w:val="zh-CN"/>
        </w:rPr>
        <w:t>允许投标人同时参与多标包投标的，确定中标候选人的办法详见《投标人须知前附表》。</w:t>
      </w:r>
    </w:p>
    <w:p w14:paraId="1DD7B747">
      <w:pPr>
        <w:numPr>
          <w:ilvl w:val="0"/>
          <w:numId w:val="31"/>
        </w:numPr>
        <w:spacing w:line="276" w:lineRule="auto"/>
        <w:ind w:left="616" w:hanging="616"/>
        <w:rPr>
          <w:rFonts w:ascii="宋体" w:hAnsi="宋体"/>
          <w:szCs w:val="21"/>
          <w:lang w:val="zh-CN"/>
        </w:rPr>
      </w:pPr>
      <w:r>
        <w:rPr>
          <w:rFonts w:hint="eastAsia" w:ascii="宋体" w:hAnsi="宋体" w:cs="Helvetica"/>
          <w:kern w:val="0"/>
          <w:szCs w:val="21"/>
          <w:lang w:val="zh-CN"/>
        </w:rPr>
        <w:t>中标候选人并列的：</w:t>
      </w:r>
    </w:p>
    <w:p w14:paraId="779EE778">
      <w:pPr>
        <w:numPr>
          <w:ilvl w:val="0"/>
          <w:numId w:val="32"/>
        </w:numPr>
        <w:spacing w:line="276" w:lineRule="auto"/>
        <w:rPr>
          <w:rFonts w:ascii="宋体" w:hAnsi="宋体"/>
          <w:szCs w:val="21"/>
          <w:lang w:val="zh-CN"/>
        </w:rPr>
      </w:pPr>
      <w:r>
        <w:rPr>
          <w:rFonts w:hint="eastAsia" w:ascii="宋体" w:hAnsi="宋体"/>
          <w:szCs w:val="21"/>
          <w:lang w:val="zh-CN"/>
        </w:rPr>
        <w:t>采用最低评标价法的，评审结果按投标报价由低到高顺序排列。投标报价相同的并列，由采购人确定或者采购人委托评标委员会以投票方式确定中标人。</w:t>
      </w:r>
    </w:p>
    <w:p w14:paraId="2622EE24">
      <w:pPr>
        <w:numPr>
          <w:ilvl w:val="0"/>
          <w:numId w:val="32"/>
        </w:numPr>
        <w:spacing w:line="276" w:lineRule="auto"/>
        <w:rPr>
          <w:rFonts w:ascii="宋体" w:hAnsi="宋体"/>
          <w:szCs w:val="21"/>
          <w:lang w:val="zh-CN"/>
        </w:rPr>
      </w:pPr>
      <w:r>
        <w:rPr>
          <w:rFonts w:hint="eastAsia" w:ascii="宋体" w:hAnsi="宋体"/>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14:paraId="2516A52F">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中标人的数量有其他规定的，按招标文件相关规定执行。</w:t>
      </w:r>
    </w:p>
    <w:p w14:paraId="70CBC833">
      <w:pPr>
        <w:numPr>
          <w:ilvl w:val="0"/>
          <w:numId w:val="31"/>
        </w:numPr>
        <w:spacing w:line="276" w:lineRule="auto"/>
        <w:ind w:left="616" w:hanging="616"/>
        <w:rPr>
          <w:rFonts w:ascii="宋体" w:hAnsi="宋体"/>
          <w:strike/>
          <w:szCs w:val="21"/>
          <w:lang w:val="zh-CN"/>
        </w:rPr>
      </w:pPr>
      <w:r>
        <w:rPr>
          <w:rFonts w:hint="eastAsia" w:ascii="宋体" w:hAnsi="宋体"/>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14:paraId="54CC3B58">
      <w:pPr>
        <w:numPr>
          <w:ilvl w:val="0"/>
          <w:numId w:val="31"/>
        </w:numPr>
        <w:spacing w:line="276" w:lineRule="auto"/>
        <w:ind w:left="616" w:hanging="616"/>
        <w:rPr>
          <w:rFonts w:ascii="宋体" w:hAnsi="宋体"/>
          <w:strike/>
          <w:szCs w:val="21"/>
          <w:lang w:val="zh-CN"/>
        </w:rPr>
      </w:pPr>
      <w:r>
        <w:rPr>
          <w:rFonts w:hint="eastAsia" w:ascii="宋体" w:hAnsi="宋体" w:cs="Helvetica"/>
          <w:kern w:val="0"/>
          <w:szCs w:val="21"/>
          <w:lang w:val="zh-CN"/>
        </w:rPr>
        <w:t>中标通知书发出后，采购人不得违法改变中标结果，中标人无正当理由不得放弃中标。</w:t>
      </w:r>
      <w:r>
        <w:rPr>
          <w:rFonts w:hint="eastAsia" w:ascii="宋体" w:hAnsi="宋体" w:cs="宋体"/>
          <w:snapToGrid w:val="0"/>
          <w:szCs w:val="21"/>
          <w:lang w:val="zh-CN"/>
        </w:rPr>
        <w:t>中标人应向采购人提供完整的投标文件存档。</w:t>
      </w:r>
    </w:p>
    <w:p w14:paraId="3A0D91AF">
      <w:pPr>
        <w:numPr>
          <w:ilvl w:val="0"/>
          <w:numId w:val="31"/>
        </w:numPr>
        <w:spacing w:line="276" w:lineRule="auto"/>
        <w:ind w:left="616" w:hanging="616"/>
        <w:rPr>
          <w:rFonts w:ascii="宋体" w:hAnsi="宋体"/>
          <w:szCs w:val="21"/>
          <w:lang w:val="zh-CN"/>
        </w:rPr>
      </w:pPr>
      <w:r>
        <w:rPr>
          <w:rFonts w:hint="eastAsia" w:ascii="宋体" w:hAnsi="宋体"/>
          <w:szCs w:val="21"/>
          <w:lang w:val="zh-CN"/>
        </w:rPr>
        <w:t>中标人拒绝与采购人签订合同的，采购人可以按照评标报告推荐的中标候选人名单排序，确定下一候选人为中标人，也可以重新开展政府采购活动。</w:t>
      </w:r>
    </w:p>
    <w:p w14:paraId="359AC3F0">
      <w:pPr>
        <w:numPr>
          <w:ilvl w:val="0"/>
          <w:numId w:val="2"/>
        </w:numPr>
        <w:spacing w:line="276" w:lineRule="auto"/>
        <w:rPr>
          <w:rFonts w:ascii="宋体" w:hAnsi="宋体"/>
          <w:b/>
          <w:szCs w:val="21"/>
          <w:lang w:val="zh-CN"/>
        </w:rPr>
      </w:pPr>
      <w:r>
        <w:rPr>
          <w:rFonts w:hint="eastAsia" w:ascii="宋体" w:hAnsi="宋体"/>
          <w:b/>
          <w:szCs w:val="21"/>
          <w:lang w:val="zh-CN"/>
        </w:rPr>
        <w:t>合同授予</w:t>
      </w:r>
    </w:p>
    <w:p w14:paraId="0D5B8E1B">
      <w:pPr>
        <w:numPr>
          <w:ilvl w:val="0"/>
          <w:numId w:val="33"/>
        </w:numPr>
        <w:spacing w:line="276" w:lineRule="auto"/>
        <w:ind w:left="616" w:hanging="616"/>
        <w:rPr>
          <w:rFonts w:ascii="宋体" w:hAnsi="宋体"/>
          <w:b/>
          <w:bCs/>
          <w:szCs w:val="21"/>
          <w:lang w:val="zh-CN"/>
        </w:rPr>
      </w:pPr>
      <w:r>
        <w:rPr>
          <w:rFonts w:hint="eastAsia" w:ascii="宋体" w:hAnsi="宋体"/>
          <w:szCs w:val="21"/>
          <w:lang w:val="zh-CN"/>
        </w:rPr>
        <w:t>除本章“确定中标人”规定及其他法律规定的情形外，</w:t>
      </w:r>
      <w:r>
        <w:rPr>
          <w:rFonts w:hint="eastAsia" w:ascii="宋体" w:hAnsi="宋体"/>
          <w:b/>
          <w:bCs/>
          <w:szCs w:val="21"/>
          <w:lang w:val="zh-CN"/>
        </w:rPr>
        <w:t>采购人把合同授予被确定为实质上响应招标文件要求且排名第一的中标人。</w:t>
      </w:r>
    </w:p>
    <w:p w14:paraId="0C6752F7">
      <w:pPr>
        <w:numPr>
          <w:ilvl w:val="0"/>
          <w:numId w:val="2"/>
        </w:numPr>
        <w:spacing w:line="276" w:lineRule="auto"/>
        <w:rPr>
          <w:rFonts w:ascii="宋体" w:hAnsi="宋体"/>
          <w:b/>
          <w:szCs w:val="21"/>
          <w:lang w:val="zh-CN"/>
        </w:rPr>
      </w:pPr>
      <w:r>
        <w:rPr>
          <w:rFonts w:hint="eastAsia" w:ascii="宋体" w:hAnsi="宋体"/>
          <w:b/>
          <w:szCs w:val="21"/>
          <w:lang w:val="zh-CN"/>
        </w:rPr>
        <w:t>合同签订</w:t>
      </w:r>
    </w:p>
    <w:p w14:paraId="72E68733">
      <w:pPr>
        <w:numPr>
          <w:ilvl w:val="0"/>
          <w:numId w:val="34"/>
        </w:numPr>
        <w:spacing w:line="276" w:lineRule="auto"/>
        <w:ind w:left="567" w:hanging="567"/>
        <w:rPr>
          <w:rFonts w:ascii="宋体" w:hAnsi="宋体"/>
          <w:szCs w:val="21"/>
          <w:lang w:val="zh-CN"/>
        </w:rPr>
      </w:pPr>
      <w:bookmarkStart w:id="29" w:name="_Toc278891597"/>
      <w:bookmarkStart w:id="30" w:name="_Toc272247700"/>
      <w:r>
        <w:rPr>
          <w:rFonts w:hint="eastAsia" w:ascii="宋体" w:hAnsi="宋体"/>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14:paraId="10DD9595">
      <w:pPr>
        <w:numPr>
          <w:ilvl w:val="0"/>
          <w:numId w:val="34"/>
        </w:numPr>
        <w:spacing w:line="276" w:lineRule="auto"/>
        <w:ind w:left="616" w:hanging="616"/>
        <w:rPr>
          <w:rFonts w:ascii="宋体" w:hAnsi="宋体"/>
          <w:szCs w:val="21"/>
          <w:lang w:val="zh-CN"/>
        </w:rPr>
      </w:pPr>
      <w:r>
        <w:rPr>
          <w:rFonts w:hint="eastAsia" w:ascii="宋体" w:hAnsi="宋体"/>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14:paraId="1FC037E4">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采购人不得向中标人提出任何不合理的要求作为签订合同的条件。</w:t>
      </w:r>
    </w:p>
    <w:p w14:paraId="2C2CF999">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政府采购合同应当包括采购人与中标人的名称和住所、标的、数量、质量、价款或者报酬、履行期限及地点和方式、验收要求、违约责任、解决争议的方法等内容。</w:t>
      </w:r>
    </w:p>
    <w:p w14:paraId="54703F44">
      <w:pPr>
        <w:numPr>
          <w:ilvl w:val="0"/>
          <w:numId w:val="34"/>
        </w:numPr>
        <w:tabs>
          <w:tab w:val="left" w:pos="616"/>
        </w:tabs>
        <w:spacing w:line="276" w:lineRule="auto"/>
        <w:ind w:left="616" w:hanging="616"/>
        <w:rPr>
          <w:rFonts w:ascii="宋体" w:hAnsi="宋体"/>
          <w:szCs w:val="21"/>
          <w:lang w:val="zh-CN"/>
        </w:rPr>
      </w:pPr>
      <w:r>
        <w:rPr>
          <w:rFonts w:hint="eastAsia" w:ascii="宋体" w:hAnsi="宋体"/>
          <w:szCs w:val="21"/>
          <w:lang w:val="zh-CN"/>
        </w:rPr>
        <w:t>付款方式，详见《投标人须知前附表》。</w:t>
      </w:r>
    </w:p>
    <w:p w14:paraId="713807FD">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采购人与中标人应当根据合同的约定依法履行合同义务。政府采购合同的履行、违约责任和解决争议的方法等适用《中华人民共和国民法典》。</w:t>
      </w:r>
    </w:p>
    <w:p w14:paraId="0D977185">
      <w:pPr>
        <w:numPr>
          <w:ilvl w:val="0"/>
          <w:numId w:val="34"/>
        </w:numPr>
        <w:tabs>
          <w:tab w:val="left" w:pos="616"/>
        </w:tabs>
        <w:spacing w:line="276" w:lineRule="auto"/>
        <w:ind w:left="616" w:hanging="616"/>
        <w:rPr>
          <w:rFonts w:ascii="宋体" w:hAnsi="宋体"/>
          <w:szCs w:val="21"/>
          <w:lang w:val="zh-CN"/>
        </w:rPr>
      </w:pPr>
      <w:r>
        <w:rPr>
          <w:rFonts w:hint="eastAsia" w:ascii="宋体" w:hAnsi="宋体" w:cs="Helvetica"/>
          <w:kern w:val="0"/>
          <w:szCs w:val="21"/>
          <w:lang w:val="zh-CN"/>
        </w:rPr>
        <w:t>采购人应当加强对中标人的履约管理，并按照采购合同约定，及时向中标人支付采购资金。对于中标人违反采购合同约定的行为，采购人应当及时处理，依法追究其违约责任。</w:t>
      </w:r>
    </w:p>
    <w:p w14:paraId="05EAB17E">
      <w:pPr>
        <w:keepNext/>
        <w:keepLines/>
        <w:numPr>
          <w:ilvl w:val="0"/>
          <w:numId w:val="1"/>
        </w:numPr>
        <w:spacing w:line="276" w:lineRule="auto"/>
        <w:ind w:left="426" w:hanging="426"/>
        <w:jc w:val="left"/>
        <w:outlineLvl w:val="1"/>
        <w:rPr>
          <w:rFonts w:ascii="宋体" w:hAnsi="宋体"/>
          <w:b/>
          <w:kern w:val="0"/>
          <w:szCs w:val="21"/>
          <w:lang w:val="zh-CN"/>
        </w:rPr>
      </w:pPr>
      <w:bookmarkStart w:id="31" w:name="_Toc494561945"/>
      <w:bookmarkStart w:id="32" w:name="_Toc97815004"/>
      <w:r>
        <w:rPr>
          <w:rFonts w:hint="eastAsia" w:ascii="宋体" w:hAnsi="宋体"/>
          <w:b/>
          <w:kern w:val="0"/>
          <w:szCs w:val="21"/>
          <w:lang w:val="zh-CN"/>
        </w:rPr>
        <w:t>采购信息公告</w:t>
      </w:r>
      <w:bookmarkEnd w:id="31"/>
      <w:bookmarkEnd w:id="32"/>
    </w:p>
    <w:p w14:paraId="17A7EEC4">
      <w:pPr>
        <w:numPr>
          <w:ilvl w:val="0"/>
          <w:numId w:val="2"/>
        </w:numPr>
        <w:spacing w:line="276" w:lineRule="auto"/>
        <w:rPr>
          <w:rFonts w:ascii="宋体" w:hAnsi="宋体" w:cs="Helvetica"/>
          <w:b/>
          <w:color w:val="0D0D0D"/>
          <w:kern w:val="0"/>
          <w:szCs w:val="21"/>
          <w:lang w:val="zh-CN"/>
        </w:rPr>
      </w:pPr>
      <w:r>
        <w:rPr>
          <w:rFonts w:hint="eastAsia" w:ascii="宋体" w:hAnsi="宋体"/>
          <w:b/>
          <w:szCs w:val="21"/>
          <w:lang w:val="zh-CN"/>
        </w:rPr>
        <w:t>公告的媒体及规定</w:t>
      </w:r>
    </w:p>
    <w:p w14:paraId="207F8D54">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Helvetica"/>
          <w:kern w:val="0"/>
          <w:szCs w:val="21"/>
          <w:lang w:val="zh-CN"/>
        </w:rPr>
        <w:t>采购代理机构在招标活动中</w:t>
      </w:r>
      <w:r>
        <w:rPr>
          <w:rFonts w:hint="eastAsia" w:ascii="宋体" w:hAnsi="宋体" w:cs="宋体"/>
          <w:kern w:val="0"/>
          <w:szCs w:val="21"/>
          <w:lang w:val="zh-CN"/>
        </w:rPr>
        <w:t>的公告、补充、更正、结果等采购信息均依法在政府采购监管部门指定媒体上发布。</w:t>
      </w:r>
    </w:p>
    <w:p w14:paraId="585D84DD">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采购代理机构在自中标人确定之日起2个工作日内，在政府采购监管部门指定媒体上公告中标结果，中标公告的公示期为1个工作日。</w:t>
      </w:r>
    </w:p>
    <w:p w14:paraId="16BEF8B7">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资格审查未通过的投标人可在中标公告质疑有效期内按公告中的联系方式获知本人的资格审查情况。</w:t>
      </w:r>
    </w:p>
    <w:p w14:paraId="37584392">
      <w:pPr>
        <w:numPr>
          <w:ilvl w:val="0"/>
          <w:numId w:val="35"/>
        </w:numPr>
        <w:tabs>
          <w:tab w:val="left" w:pos="616"/>
        </w:tabs>
        <w:spacing w:line="276" w:lineRule="auto"/>
        <w:ind w:left="616" w:hanging="616"/>
        <w:rPr>
          <w:rFonts w:ascii="宋体" w:hAnsi="宋体" w:cs="宋体"/>
          <w:kern w:val="0"/>
          <w:szCs w:val="21"/>
          <w:lang w:val="zh-CN"/>
        </w:rPr>
      </w:pPr>
      <w:r>
        <w:rPr>
          <w:rFonts w:hint="eastAsia" w:ascii="宋体" w:hAnsi="宋体" w:cs="宋体"/>
          <w:kern w:val="0"/>
          <w:szCs w:val="21"/>
          <w:lang w:val="zh-CN"/>
        </w:rPr>
        <w:t>采用综合评分法评审的项目，未中标人可在中标公告质疑有效期内按公告中的联系方式获知本人的评审得分与排序。</w:t>
      </w:r>
    </w:p>
    <w:p w14:paraId="50250FA1">
      <w:pPr>
        <w:keepNext/>
        <w:keepLines/>
        <w:numPr>
          <w:ilvl w:val="0"/>
          <w:numId w:val="1"/>
        </w:numPr>
        <w:spacing w:line="276" w:lineRule="auto"/>
        <w:ind w:left="426" w:hanging="426"/>
        <w:jc w:val="left"/>
        <w:outlineLvl w:val="1"/>
        <w:rPr>
          <w:rFonts w:ascii="宋体" w:hAnsi="宋体"/>
          <w:b/>
          <w:kern w:val="0"/>
          <w:szCs w:val="21"/>
          <w:lang w:val="zh-CN"/>
        </w:rPr>
      </w:pPr>
      <w:bookmarkStart w:id="33" w:name="_Toc97815005"/>
      <w:bookmarkStart w:id="34" w:name="_Toc494561946"/>
      <w:r>
        <w:rPr>
          <w:rFonts w:hint="eastAsia" w:ascii="宋体" w:hAnsi="宋体"/>
          <w:b/>
          <w:kern w:val="0"/>
          <w:szCs w:val="21"/>
          <w:lang w:val="zh-CN"/>
        </w:rPr>
        <w:t>质疑</w:t>
      </w:r>
      <w:bookmarkEnd w:id="29"/>
      <w:bookmarkEnd w:id="30"/>
      <w:r>
        <w:rPr>
          <w:rFonts w:hint="eastAsia" w:ascii="宋体" w:hAnsi="宋体"/>
          <w:b/>
          <w:kern w:val="0"/>
          <w:szCs w:val="21"/>
          <w:lang w:val="zh-CN"/>
        </w:rPr>
        <w:t>及提交</w:t>
      </w:r>
      <w:bookmarkEnd w:id="33"/>
      <w:bookmarkEnd w:id="34"/>
    </w:p>
    <w:p w14:paraId="38D57A4A">
      <w:pPr>
        <w:numPr>
          <w:ilvl w:val="0"/>
          <w:numId w:val="2"/>
        </w:numPr>
        <w:spacing w:line="276" w:lineRule="auto"/>
        <w:rPr>
          <w:rFonts w:ascii="宋体" w:hAnsi="宋体"/>
          <w:b/>
          <w:szCs w:val="21"/>
          <w:lang w:val="zh-CN"/>
        </w:rPr>
      </w:pPr>
      <w:r>
        <w:rPr>
          <w:rFonts w:hint="eastAsia" w:ascii="宋体" w:hAnsi="宋体"/>
          <w:b/>
          <w:szCs w:val="21"/>
          <w:lang w:val="zh-CN"/>
        </w:rPr>
        <w:t>质疑及提交</w:t>
      </w:r>
    </w:p>
    <w:p w14:paraId="70C14AD0">
      <w:pPr>
        <w:spacing w:line="276" w:lineRule="auto"/>
        <w:ind w:firstLine="420" w:firstLineChars="200"/>
        <w:rPr>
          <w:rFonts w:ascii="宋体" w:hAnsi="宋体"/>
          <w:szCs w:val="21"/>
          <w:lang w:val="zh-CN"/>
        </w:rPr>
      </w:pPr>
      <w:r>
        <w:rPr>
          <w:rFonts w:hint="eastAsia" w:ascii="宋体" w:hAnsi="宋体"/>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14:paraId="425FF6E9">
      <w:pPr>
        <w:numPr>
          <w:ilvl w:val="0"/>
          <w:numId w:val="2"/>
        </w:numPr>
        <w:spacing w:line="276" w:lineRule="auto"/>
        <w:rPr>
          <w:rFonts w:ascii="宋体" w:hAnsi="宋体"/>
          <w:b/>
          <w:szCs w:val="21"/>
          <w:lang w:val="zh-CN"/>
        </w:rPr>
      </w:pPr>
      <w:r>
        <w:rPr>
          <w:rFonts w:hint="eastAsia" w:ascii="宋体" w:hAnsi="宋体"/>
          <w:b/>
          <w:szCs w:val="21"/>
          <w:lang w:val="zh-CN"/>
        </w:rPr>
        <w:t>投标人应知其权益受到损害之日是指：</w:t>
      </w:r>
    </w:p>
    <w:p w14:paraId="76903177">
      <w:pPr>
        <w:numPr>
          <w:ilvl w:val="0"/>
          <w:numId w:val="36"/>
        </w:numPr>
        <w:spacing w:line="276" w:lineRule="auto"/>
        <w:ind w:left="616" w:hanging="616"/>
        <w:rPr>
          <w:rFonts w:ascii="宋体" w:hAnsi="宋体"/>
          <w:szCs w:val="21"/>
          <w:lang w:val="zh-CN"/>
        </w:rPr>
      </w:pPr>
      <w:r>
        <w:rPr>
          <w:rFonts w:hint="eastAsia" w:ascii="宋体" w:hAnsi="宋体"/>
          <w:szCs w:val="21"/>
          <w:lang w:val="zh-CN"/>
        </w:rPr>
        <w:t>对可以质疑的招标文件提出质疑的，为收到招标文件之日或者招标文件公告期限届满之日；</w:t>
      </w:r>
    </w:p>
    <w:p w14:paraId="14C6A6DB">
      <w:pPr>
        <w:numPr>
          <w:ilvl w:val="0"/>
          <w:numId w:val="36"/>
        </w:numPr>
        <w:spacing w:line="276" w:lineRule="auto"/>
        <w:ind w:left="616" w:hanging="616"/>
        <w:rPr>
          <w:rFonts w:ascii="宋体" w:hAnsi="宋体"/>
          <w:szCs w:val="21"/>
          <w:lang w:val="zh-CN"/>
        </w:rPr>
      </w:pPr>
      <w:r>
        <w:rPr>
          <w:rFonts w:hint="eastAsia" w:ascii="宋体" w:hAnsi="宋体"/>
          <w:szCs w:val="21"/>
          <w:lang w:val="zh-CN"/>
        </w:rPr>
        <w:t>对招标过程提出质疑的，为各招标程序环节结束之日；</w:t>
      </w:r>
    </w:p>
    <w:p w14:paraId="23FBE685">
      <w:pPr>
        <w:numPr>
          <w:ilvl w:val="0"/>
          <w:numId w:val="36"/>
        </w:numPr>
        <w:spacing w:line="276" w:lineRule="auto"/>
        <w:ind w:left="616" w:hanging="616"/>
        <w:rPr>
          <w:rFonts w:ascii="宋体" w:hAnsi="宋体"/>
          <w:szCs w:val="21"/>
          <w:lang w:val="zh-CN"/>
        </w:rPr>
      </w:pPr>
      <w:r>
        <w:rPr>
          <w:rFonts w:hint="eastAsia" w:ascii="宋体" w:hAnsi="宋体"/>
          <w:szCs w:val="21"/>
          <w:lang w:val="zh-CN"/>
        </w:rPr>
        <w:t>对中标结果提出质疑的，为中标公告期限届满之日。</w:t>
      </w:r>
    </w:p>
    <w:p w14:paraId="11C73052">
      <w:pPr>
        <w:numPr>
          <w:ilvl w:val="0"/>
          <w:numId w:val="2"/>
        </w:numPr>
        <w:spacing w:line="276" w:lineRule="auto"/>
        <w:rPr>
          <w:rFonts w:ascii="宋体" w:hAnsi="宋体"/>
          <w:b/>
          <w:szCs w:val="21"/>
          <w:lang w:val="zh-CN"/>
        </w:rPr>
      </w:pPr>
      <w:r>
        <w:rPr>
          <w:rFonts w:hint="eastAsia" w:ascii="宋体" w:hAnsi="宋体"/>
          <w:b/>
          <w:szCs w:val="21"/>
          <w:lang w:val="zh-CN"/>
        </w:rPr>
        <w:t>质疑书应当包括下列主要内容：</w:t>
      </w:r>
    </w:p>
    <w:p w14:paraId="21956F84">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质疑人的名称或姓名、地址、</w:t>
      </w:r>
      <w:r>
        <w:rPr>
          <w:rFonts w:ascii="Arial" w:hAnsi="Arial" w:cs="Arial"/>
          <w:color w:val="000000"/>
          <w:shd w:val="clear" w:color="auto" w:fill="FFFFFF"/>
        </w:rPr>
        <w:t>邮编、</w:t>
      </w:r>
      <w:r>
        <w:rPr>
          <w:rFonts w:hint="eastAsia" w:ascii="宋体" w:hAnsi="宋体"/>
          <w:szCs w:val="21"/>
          <w:lang w:val="zh-CN"/>
        </w:rPr>
        <w:t>联系人及联系电话等；</w:t>
      </w:r>
    </w:p>
    <w:p w14:paraId="7CE3D77E">
      <w:pPr>
        <w:numPr>
          <w:ilvl w:val="0"/>
          <w:numId w:val="37"/>
        </w:numPr>
        <w:spacing w:line="276" w:lineRule="auto"/>
        <w:ind w:left="616" w:hanging="616"/>
        <w:rPr>
          <w:rFonts w:ascii="宋体" w:hAnsi="宋体"/>
          <w:szCs w:val="21"/>
          <w:lang w:val="zh-CN"/>
        </w:rPr>
      </w:pPr>
      <w:r>
        <w:rPr>
          <w:rFonts w:hint="eastAsia" w:ascii="宋体" w:hAnsi="宋体"/>
          <w:szCs w:val="21"/>
          <w:lang w:val="zh-CN"/>
        </w:rPr>
        <w:t>被质疑人的名称、地址、</w:t>
      </w:r>
      <w:r>
        <w:rPr>
          <w:rFonts w:ascii="Arial" w:hAnsi="Arial" w:cs="Arial"/>
          <w:color w:val="000000"/>
          <w:shd w:val="clear" w:color="auto" w:fill="FFFFFF"/>
        </w:rPr>
        <w:t>邮编、</w:t>
      </w:r>
      <w:r>
        <w:rPr>
          <w:rFonts w:hint="eastAsia" w:ascii="宋体" w:hAnsi="宋体"/>
          <w:szCs w:val="21"/>
          <w:lang w:val="zh-CN"/>
        </w:rPr>
        <w:t>联系人及联系电话等；</w:t>
      </w:r>
    </w:p>
    <w:p w14:paraId="4BCEF3FC">
      <w:pPr>
        <w:numPr>
          <w:ilvl w:val="0"/>
          <w:numId w:val="37"/>
        </w:numPr>
        <w:spacing w:line="276" w:lineRule="auto"/>
        <w:ind w:left="616" w:hanging="616"/>
        <w:rPr>
          <w:rFonts w:ascii="宋体" w:hAnsi="宋体"/>
          <w:szCs w:val="21"/>
          <w:lang w:val="zh-CN"/>
        </w:rPr>
      </w:pPr>
      <w:r>
        <w:rPr>
          <w:rFonts w:hint="eastAsia" w:ascii="宋体" w:hAnsi="宋体"/>
          <w:szCs w:val="21"/>
          <w:lang w:val="zh-CN"/>
        </w:rPr>
        <w:t>质疑项目名称及编号/标包、质疑事项和明确的请求；</w:t>
      </w:r>
    </w:p>
    <w:p w14:paraId="5D72E416">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质疑事项的事实根据、法律依据及其他必要的证明材料；</w:t>
      </w:r>
    </w:p>
    <w:p w14:paraId="1BA4FC28">
      <w:pPr>
        <w:numPr>
          <w:ilvl w:val="0"/>
          <w:numId w:val="37"/>
        </w:numPr>
        <w:spacing w:line="276" w:lineRule="auto"/>
        <w:ind w:left="616" w:hanging="616"/>
        <w:rPr>
          <w:rFonts w:ascii="宋体" w:hAnsi="宋体"/>
          <w:szCs w:val="21"/>
          <w:lang w:val="zh-CN"/>
        </w:rPr>
      </w:pPr>
      <w:r>
        <w:rPr>
          <w:rFonts w:hint="eastAsia" w:ascii="宋体" w:hAnsi="宋体"/>
          <w:szCs w:val="21"/>
          <w:lang w:val="zh-CN"/>
        </w:rPr>
        <w:t>提出质疑的日期；</w:t>
      </w:r>
    </w:p>
    <w:p w14:paraId="236A4E0B">
      <w:pPr>
        <w:numPr>
          <w:ilvl w:val="0"/>
          <w:numId w:val="37"/>
        </w:numPr>
        <w:spacing w:line="276" w:lineRule="auto"/>
        <w:ind w:left="616" w:hanging="616"/>
        <w:rPr>
          <w:rFonts w:ascii="宋体" w:hAnsi="宋体"/>
          <w:szCs w:val="21"/>
          <w:lang w:val="zh-CN"/>
        </w:rPr>
      </w:pPr>
      <w:r>
        <w:rPr>
          <w:rFonts w:hint="eastAsia" w:ascii="宋体" w:hAnsi="宋体"/>
          <w:szCs w:val="21"/>
          <w:lang w:val="zh-CN"/>
        </w:rPr>
        <w:t>质疑人的署名及签章（质疑人为自然人的，应当由本人签名；质疑人为法人或者其他组织的，应当由法定代表人或者主要负责人，</w:t>
      </w:r>
      <w:r>
        <w:rPr>
          <w:rFonts w:ascii="Arial" w:hAnsi="Arial" w:cs="Arial"/>
          <w:color w:val="000000"/>
          <w:shd w:val="clear" w:color="auto" w:fill="FFFFFF"/>
        </w:rPr>
        <w:t>或者其授权代表签字或者盖章，</w:t>
      </w:r>
      <w:r>
        <w:rPr>
          <w:rFonts w:hint="eastAsia" w:ascii="宋体" w:hAnsi="宋体"/>
          <w:szCs w:val="21"/>
          <w:lang w:val="zh-CN"/>
        </w:rPr>
        <w:t>并加盖公章）；</w:t>
      </w:r>
    </w:p>
    <w:p w14:paraId="4040C8B9">
      <w:pPr>
        <w:numPr>
          <w:ilvl w:val="0"/>
          <w:numId w:val="37"/>
        </w:numPr>
        <w:spacing w:line="276" w:lineRule="auto"/>
        <w:ind w:left="616" w:hanging="616"/>
        <w:rPr>
          <w:rFonts w:ascii="宋体" w:hAnsi="宋体"/>
          <w:szCs w:val="21"/>
          <w:lang w:val="zh-CN"/>
        </w:rPr>
      </w:pPr>
      <w:r>
        <w:rPr>
          <w:rFonts w:hint="eastAsia" w:ascii="宋体" w:hAnsi="宋体"/>
          <w:szCs w:val="21"/>
          <w:lang w:val="zh-CN"/>
        </w:rPr>
        <w:t>法人授权委托书（质疑人或法人委托代理人办理质疑事务的，应当提供授权委托书，授权委托书应当载明委托代理的具体权限和事项）。</w:t>
      </w:r>
    </w:p>
    <w:p w14:paraId="10613B0D">
      <w:pPr>
        <w:numPr>
          <w:ilvl w:val="0"/>
          <w:numId w:val="2"/>
        </w:numPr>
        <w:spacing w:line="276" w:lineRule="auto"/>
        <w:rPr>
          <w:rFonts w:ascii="宋体" w:hAnsi="宋体"/>
          <w:b/>
          <w:szCs w:val="21"/>
          <w:lang w:val="zh-CN"/>
        </w:rPr>
      </w:pPr>
      <w:r>
        <w:rPr>
          <w:rFonts w:hint="eastAsia" w:ascii="宋体" w:hAnsi="宋体"/>
          <w:b/>
          <w:szCs w:val="21"/>
          <w:lang w:val="zh-CN"/>
        </w:rPr>
        <w:t>不予受理的情形</w:t>
      </w:r>
    </w:p>
    <w:p w14:paraId="7D230D07">
      <w:pPr>
        <w:spacing w:line="276" w:lineRule="auto"/>
        <w:ind w:firstLine="420" w:firstLineChars="200"/>
        <w:rPr>
          <w:rFonts w:ascii="宋体" w:hAnsi="宋体"/>
          <w:szCs w:val="21"/>
          <w:lang w:val="zh-CN"/>
        </w:rPr>
      </w:pPr>
      <w:r>
        <w:rPr>
          <w:rFonts w:hint="eastAsia" w:ascii="宋体" w:hAnsi="宋体"/>
          <w:szCs w:val="21"/>
          <w:lang w:val="zh-CN"/>
        </w:rPr>
        <w:t>投标人未按本章“质疑及提交”规定的时限、内容及方式进行质疑的，采购代理机构不予受理。</w:t>
      </w:r>
    </w:p>
    <w:p w14:paraId="44B7C54C">
      <w:pPr>
        <w:keepNext/>
        <w:keepLines/>
        <w:numPr>
          <w:ilvl w:val="0"/>
          <w:numId w:val="1"/>
        </w:numPr>
        <w:spacing w:line="276" w:lineRule="auto"/>
        <w:ind w:left="426" w:hanging="426"/>
        <w:jc w:val="left"/>
        <w:outlineLvl w:val="1"/>
        <w:rPr>
          <w:rFonts w:ascii="宋体" w:hAnsi="宋体"/>
          <w:b/>
          <w:kern w:val="0"/>
          <w:szCs w:val="21"/>
          <w:lang w:val="zh-CN"/>
        </w:rPr>
      </w:pPr>
      <w:bookmarkStart w:id="35" w:name="_Toc97815006"/>
      <w:r>
        <w:rPr>
          <w:rFonts w:hint="eastAsia" w:ascii="宋体" w:hAnsi="宋体"/>
          <w:b/>
          <w:kern w:val="0"/>
          <w:szCs w:val="21"/>
          <w:lang w:val="zh-CN"/>
        </w:rPr>
        <w:t>保密</w:t>
      </w:r>
      <w:bookmarkEnd w:id="35"/>
    </w:p>
    <w:p w14:paraId="5918C2E9">
      <w:pPr>
        <w:numPr>
          <w:ilvl w:val="0"/>
          <w:numId w:val="2"/>
        </w:numPr>
        <w:spacing w:line="276" w:lineRule="auto"/>
        <w:rPr>
          <w:rFonts w:ascii="宋体" w:hAnsi="宋体"/>
          <w:szCs w:val="21"/>
          <w:lang w:val="zh-CN"/>
        </w:rPr>
      </w:pPr>
      <w:r>
        <w:rPr>
          <w:rFonts w:hint="eastAsia" w:ascii="宋体" w:hAnsi="宋体"/>
          <w:szCs w:val="21"/>
          <w:lang w:val="zh-CN"/>
        </w:rPr>
        <w:t>凡是属于审查、澄清、评价和比较的有关资料以及授标意向等，采购人、采购代理机构、监管人员、评标委员会及有关工作人员均不得向投标人或其它无关的人员透露。</w:t>
      </w:r>
    </w:p>
    <w:p w14:paraId="25FA375E">
      <w:pPr>
        <w:keepNext/>
        <w:keepLines/>
        <w:numPr>
          <w:ilvl w:val="0"/>
          <w:numId w:val="1"/>
        </w:numPr>
        <w:spacing w:line="276" w:lineRule="auto"/>
        <w:ind w:left="426" w:hanging="426"/>
        <w:jc w:val="left"/>
        <w:outlineLvl w:val="1"/>
        <w:rPr>
          <w:rFonts w:ascii="宋体" w:hAnsi="宋体"/>
          <w:b/>
          <w:kern w:val="0"/>
          <w:szCs w:val="21"/>
          <w:lang w:val="zh-CN"/>
        </w:rPr>
      </w:pPr>
      <w:bookmarkStart w:id="36" w:name="_Toc97815007"/>
      <w:bookmarkStart w:id="37" w:name="_Toc494561947"/>
      <w:r>
        <w:rPr>
          <w:rFonts w:hint="eastAsia" w:ascii="宋体" w:hAnsi="宋体"/>
          <w:b/>
          <w:kern w:val="0"/>
          <w:szCs w:val="21"/>
          <w:lang w:val="zh-CN"/>
        </w:rPr>
        <w:t>相关条文解读</w:t>
      </w:r>
      <w:bookmarkEnd w:id="36"/>
    </w:p>
    <w:p w14:paraId="0B2AD902">
      <w:pPr>
        <w:numPr>
          <w:ilvl w:val="0"/>
          <w:numId w:val="2"/>
        </w:numPr>
        <w:spacing w:line="276" w:lineRule="auto"/>
        <w:rPr>
          <w:rFonts w:ascii="宋体" w:hAnsi="宋体"/>
          <w:szCs w:val="21"/>
          <w:lang w:val="zh-CN"/>
        </w:rPr>
      </w:pPr>
      <w:r>
        <w:rPr>
          <w:rFonts w:hint="eastAsia" w:ascii="宋体" w:hAnsi="宋体"/>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14:paraId="05D3DCA0">
      <w:pPr>
        <w:numPr>
          <w:ilvl w:val="0"/>
          <w:numId w:val="2"/>
        </w:numPr>
        <w:spacing w:line="276" w:lineRule="auto"/>
        <w:ind w:left="426" w:hanging="426"/>
        <w:rPr>
          <w:rFonts w:ascii="宋体" w:hAnsi="宋体"/>
          <w:szCs w:val="21"/>
          <w:lang w:val="zh-CN"/>
        </w:rPr>
      </w:pPr>
      <w:r>
        <w:rPr>
          <w:rFonts w:hint="eastAsia" w:ascii="宋体" w:hAnsi="宋体"/>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14:paraId="2BC390C3">
      <w:pPr>
        <w:numPr>
          <w:ilvl w:val="0"/>
          <w:numId w:val="2"/>
        </w:numPr>
        <w:spacing w:line="276" w:lineRule="auto"/>
        <w:ind w:left="426" w:hanging="426"/>
        <w:rPr>
          <w:rFonts w:ascii="宋体" w:hAnsi="宋体"/>
          <w:szCs w:val="21"/>
          <w:lang w:val="zh-CN"/>
        </w:rPr>
      </w:pPr>
      <w:r>
        <w:rPr>
          <w:rFonts w:hint="eastAsia" w:ascii="宋体" w:hAnsi="宋体"/>
          <w:szCs w:val="21"/>
          <w:lang w:val="zh-CN"/>
        </w:rPr>
        <w:t>投标人在参加政府采购活动前3年内因违法经营被禁止在一定期限内参加政府采购活动，期限届满的，可以参加政府采购活动。</w:t>
      </w:r>
    </w:p>
    <w:bookmarkEnd w:id="37"/>
    <w:p w14:paraId="089549E2">
      <w:pPr>
        <w:keepNext/>
        <w:keepLines/>
        <w:numPr>
          <w:ilvl w:val="0"/>
          <w:numId w:val="1"/>
        </w:numPr>
        <w:spacing w:line="276" w:lineRule="auto"/>
        <w:ind w:left="658" w:hanging="658"/>
        <w:jc w:val="left"/>
        <w:outlineLvl w:val="1"/>
        <w:rPr>
          <w:rFonts w:ascii="宋体" w:hAnsi="宋体"/>
          <w:b/>
          <w:kern w:val="0"/>
          <w:szCs w:val="21"/>
          <w:lang w:val="zh-CN"/>
        </w:rPr>
      </w:pPr>
      <w:bookmarkStart w:id="38" w:name="_Toc278891598"/>
      <w:bookmarkStart w:id="39" w:name="_Toc494561949"/>
      <w:bookmarkStart w:id="40" w:name="_Toc272247701"/>
      <w:bookmarkStart w:id="41" w:name="_Toc97815008"/>
      <w:r>
        <w:rPr>
          <w:rFonts w:hint="eastAsia" w:ascii="宋体" w:hAnsi="宋体"/>
          <w:b/>
          <w:kern w:val="0"/>
          <w:szCs w:val="21"/>
          <w:lang w:val="zh-CN"/>
        </w:rPr>
        <w:t>适用法律</w:t>
      </w:r>
      <w:bookmarkEnd w:id="38"/>
      <w:bookmarkEnd w:id="39"/>
      <w:bookmarkEnd w:id="40"/>
      <w:r>
        <w:rPr>
          <w:rFonts w:hint="eastAsia" w:ascii="宋体" w:hAnsi="宋体"/>
          <w:b/>
          <w:kern w:val="0"/>
          <w:szCs w:val="21"/>
          <w:lang w:val="zh-CN"/>
        </w:rPr>
        <w:t>、法规、规章及规范性文件</w:t>
      </w:r>
      <w:bookmarkEnd w:id="41"/>
    </w:p>
    <w:p w14:paraId="624009B0">
      <w:pPr>
        <w:numPr>
          <w:ilvl w:val="0"/>
          <w:numId w:val="2"/>
        </w:numPr>
        <w:spacing w:line="276" w:lineRule="auto"/>
        <w:rPr>
          <w:rFonts w:ascii="宋体" w:hAnsi="宋体"/>
          <w:szCs w:val="21"/>
          <w:lang w:val="zh-CN"/>
        </w:rPr>
      </w:pPr>
      <w:r>
        <w:rPr>
          <w:rFonts w:hint="eastAsia" w:ascii="宋体" w:hAnsi="宋体"/>
          <w:szCs w:val="21"/>
          <w:lang w:val="zh-CN"/>
        </w:rPr>
        <w:t>采购人、采购代理机构及投标人的一切招标投标活动均适用《中华人民共和国政府采购法》、</w:t>
      </w:r>
      <w:r>
        <w:rPr>
          <w:rFonts w:hint="eastAsia" w:ascii="宋体" w:hAnsi="宋体"/>
          <w:bCs/>
          <w:color w:val="0D0D0D"/>
          <w:szCs w:val="21"/>
          <w:lang w:val="zh-CN"/>
        </w:rPr>
        <w:t>《中华人民共和国政府采购法实施条例》</w:t>
      </w:r>
      <w:r>
        <w:rPr>
          <w:rFonts w:hint="eastAsia" w:ascii="宋体" w:hAnsi="宋体"/>
          <w:szCs w:val="21"/>
          <w:lang w:val="zh-CN"/>
        </w:rPr>
        <w:t>、</w:t>
      </w:r>
      <w:r>
        <w:rPr>
          <w:rFonts w:hint="eastAsia" w:ascii="宋体" w:hAnsi="宋体"/>
          <w:bCs/>
          <w:color w:val="0D0D0D"/>
          <w:szCs w:val="21"/>
          <w:lang w:val="zh-CN"/>
        </w:rPr>
        <w:t>《政府采购货物和服务招标投标管理办法》（财政部令第87号）</w:t>
      </w:r>
      <w:r>
        <w:rPr>
          <w:rFonts w:hint="eastAsia" w:ascii="宋体" w:hAnsi="宋体"/>
          <w:szCs w:val="21"/>
          <w:lang w:val="zh-CN"/>
        </w:rPr>
        <w:t>及相关法律法规。</w:t>
      </w:r>
    </w:p>
    <w:p w14:paraId="4DC093AE">
      <w:pPr>
        <w:numPr>
          <w:ilvl w:val="0"/>
          <w:numId w:val="2"/>
        </w:numPr>
        <w:spacing w:line="276" w:lineRule="auto"/>
        <w:ind w:left="426" w:hanging="426"/>
        <w:rPr>
          <w:rFonts w:ascii="宋体" w:hAnsi="宋体"/>
          <w:szCs w:val="21"/>
          <w:lang w:val="zh-CN"/>
        </w:rPr>
      </w:pPr>
      <w:r>
        <w:rPr>
          <w:rFonts w:hint="eastAsia" w:ascii="宋体" w:hAnsi="宋体"/>
          <w:szCs w:val="21"/>
          <w:lang w:val="zh-CN"/>
        </w:rPr>
        <w:t>政府采购合同的履行</w:t>
      </w:r>
      <w:r>
        <w:rPr>
          <w:rFonts w:hint="eastAsia" w:ascii="宋体" w:hAnsi="宋体" w:cs="Helvetica"/>
          <w:kern w:val="0"/>
          <w:szCs w:val="21"/>
          <w:lang w:val="zh-CN"/>
        </w:rPr>
        <w:t>、违约责任和解决争议的方法等适用《中华人民共和国民法典》。</w:t>
      </w:r>
    </w:p>
    <w:p w14:paraId="6FEE65E1">
      <w:pPr>
        <w:keepNext/>
        <w:keepLines/>
        <w:numPr>
          <w:ilvl w:val="0"/>
          <w:numId w:val="1"/>
        </w:numPr>
        <w:spacing w:line="276" w:lineRule="auto"/>
        <w:ind w:left="658" w:hanging="658"/>
        <w:jc w:val="left"/>
        <w:outlineLvl w:val="1"/>
        <w:rPr>
          <w:rFonts w:ascii="宋体" w:hAnsi="宋体"/>
          <w:b/>
          <w:kern w:val="0"/>
          <w:szCs w:val="21"/>
          <w:lang w:val="zh-CN"/>
        </w:rPr>
      </w:pPr>
      <w:bookmarkStart w:id="42" w:name="_Toc272247702"/>
      <w:bookmarkStart w:id="43" w:name="_Toc278891599"/>
      <w:bookmarkStart w:id="44" w:name="_Toc97815009"/>
      <w:bookmarkStart w:id="45" w:name="_Toc494561950"/>
      <w:r>
        <w:rPr>
          <w:rFonts w:hint="eastAsia" w:ascii="宋体" w:hAnsi="宋体"/>
          <w:b/>
          <w:kern w:val="0"/>
          <w:szCs w:val="21"/>
          <w:lang w:val="zh-CN"/>
        </w:rPr>
        <w:t>招标文件的解释权</w:t>
      </w:r>
      <w:bookmarkEnd w:id="42"/>
      <w:bookmarkEnd w:id="43"/>
      <w:bookmarkEnd w:id="44"/>
      <w:bookmarkEnd w:id="45"/>
    </w:p>
    <w:p w14:paraId="27C7699E">
      <w:pPr>
        <w:numPr>
          <w:ilvl w:val="0"/>
          <w:numId w:val="2"/>
        </w:numPr>
        <w:spacing w:line="276" w:lineRule="auto"/>
        <w:ind w:left="426" w:hanging="426"/>
        <w:rPr>
          <w:rFonts w:ascii="宋体" w:hAnsi="宋体"/>
          <w:szCs w:val="21"/>
          <w:lang w:val="zh-CN"/>
        </w:rPr>
      </w:pPr>
      <w:r>
        <w:rPr>
          <w:rFonts w:hint="eastAsia" w:ascii="宋体" w:hAnsi="宋体"/>
          <w:szCs w:val="21"/>
          <w:lang w:val="zh-CN"/>
        </w:rPr>
        <w:t>招标文件的最终解释权为采购人、采购代理机构所有。</w:t>
      </w:r>
    </w:p>
    <w:p w14:paraId="282B960F">
      <w:pPr>
        <w:pStyle w:val="25"/>
        <w:rPr>
          <w:lang w:val="zh-CN"/>
        </w:rPr>
      </w:pPr>
    </w:p>
    <w:p w14:paraId="2B28981D">
      <w:pPr>
        <w:widowControl/>
        <w:jc w:val="left"/>
        <w:rPr>
          <w:rFonts w:ascii="黑体" w:hAnsi="黑体" w:eastAsia="黑体"/>
          <w:sz w:val="28"/>
          <w:szCs w:val="28"/>
        </w:rPr>
      </w:pPr>
      <w:r>
        <w:rPr>
          <w:rFonts w:hint="eastAsia" w:ascii="黑体" w:hAnsi="黑体" w:eastAsia="黑体"/>
          <w:kern w:val="0"/>
          <w:sz w:val="28"/>
          <w:szCs w:val="28"/>
        </w:rPr>
        <w:br w:type="page"/>
      </w:r>
    </w:p>
    <w:p w14:paraId="4F606222">
      <w:pPr>
        <w:spacing w:line="276" w:lineRule="auto"/>
        <w:jc w:val="center"/>
        <w:outlineLvl w:val="0"/>
        <w:rPr>
          <w:rFonts w:ascii="黑体" w:hAnsi="黑体" w:eastAsia="黑体"/>
          <w:sz w:val="28"/>
          <w:szCs w:val="28"/>
        </w:rPr>
      </w:pPr>
      <w:bookmarkStart w:id="46" w:name="_Toc97815010"/>
      <w:r>
        <w:rPr>
          <w:rFonts w:hint="eastAsia" w:ascii="黑体" w:hAnsi="黑体" w:eastAsia="黑体"/>
          <w:sz w:val="28"/>
          <w:szCs w:val="28"/>
        </w:rPr>
        <w:t>第三章 技术、服务及商务要求</w:t>
      </w:r>
      <w:bookmarkEnd w:id="46"/>
    </w:p>
    <w:p w14:paraId="3FA184C6">
      <w:pPr>
        <w:tabs>
          <w:tab w:val="center" w:pos="4153"/>
          <w:tab w:val="right" w:pos="8306"/>
        </w:tabs>
        <w:adjustRightInd w:val="0"/>
        <w:snapToGrid w:val="0"/>
        <w:spacing w:line="276" w:lineRule="auto"/>
        <w:textAlignment w:val="baseline"/>
        <w:outlineLvl w:val="1"/>
        <w:rPr>
          <w:rFonts w:ascii="宋体" w:hAnsi="宋体" w:cs="宋体"/>
          <w:b/>
          <w:szCs w:val="21"/>
        </w:rPr>
      </w:pPr>
      <w:bookmarkStart w:id="47" w:name="_Toc97815011"/>
      <w:r>
        <w:rPr>
          <w:rFonts w:hint="eastAsia" w:ascii="宋体" w:hAnsi="宋体" w:cs="宋体"/>
          <w:b/>
          <w:szCs w:val="21"/>
        </w:rPr>
        <w:t>一、</w:t>
      </w:r>
      <w:bookmarkEnd w:id="47"/>
      <w:r>
        <w:rPr>
          <w:rFonts w:hint="eastAsia" w:ascii="宋体" w:hAnsi="宋体" w:cs="宋体"/>
          <w:b/>
          <w:szCs w:val="21"/>
        </w:rPr>
        <w:t>采购内容</w:t>
      </w:r>
    </w:p>
    <w:tbl>
      <w:tblPr>
        <w:tblStyle w:val="26"/>
        <w:tblW w:w="46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47"/>
        <w:gridCol w:w="2829"/>
        <w:gridCol w:w="1289"/>
        <w:gridCol w:w="932"/>
        <w:gridCol w:w="1004"/>
        <w:gridCol w:w="889"/>
        <w:gridCol w:w="1046"/>
      </w:tblGrid>
      <w:tr w14:paraId="5F68C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4505B2E6">
            <w:pPr>
              <w:jc w:val="center"/>
              <w:rPr>
                <w:rFonts w:ascii="宋体" w:hAnsi="宋体"/>
                <w:b/>
                <w:color w:val="000000" w:themeColor="text1"/>
                <w:szCs w:val="21"/>
                <w14:textFill>
                  <w14:solidFill>
                    <w14:schemeClr w14:val="tx1"/>
                  </w14:solidFill>
                </w14:textFill>
              </w:rPr>
            </w:pPr>
            <w:bookmarkStart w:id="48" w:name="_Toc97815012"/>
            <w:r>
              <w:rPr>
                <w:rFonts w:hint="eastAsia" w:ascii="宋体" w:hAnsi="宋体"/>
                <w:b/>
                <w:color w:val="000000" w:themeColor="text1"/>
                <w:szCs w:val="21"/>
                <w14:textFill>
                  <w14:solidFill>
                    <w14:schemeClr w14:val="tx1"/>
                  </w14:solidFill>
                </w14:textFill>
              </w:rPr>
              <w:t>序号</w:t>
            </w:r>
          </w:p>
        </w:tc>
        <w:tc>
          <w:tcPr>
            <w:tcW w:w="1600" w:type="pct"/>
            <w:vAlign w:val="center"/>
          </w:tcPr>
          <w:p w14:paraId="06ACEBBD">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标的名称</w:t>
            </w:r>
          </w:p>
        </w:tc>
        <w:tc>
          <w:tcPr>
            <w:tcW w:w="729" w:type="pct"/>
            <w:vAlign w:val="center"/>
          </w:tcPr>
          <w:p w14:paraId="32DC5E65">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单价限价</w:t>
            </w:r>
          </w:p>
          <w:p w14:paraId="4B1E0D07">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（万元）</w:t>
            </w:r>
          </w:p>
        </w:tc>
        <w:tc>
          <w:tcPr>
            <w:tcW w:w="527" w:type="pct"/>
            <w:vAlign w:val="center"/>
          </w:tcPr>
          <w:p w14:paraId="5AE69231">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568" w:type="pct"/>
            <w:vAlign w:val="center"/>
          </w:tcPr>
          <w:p w14:paraId="5A835B09">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单位</w:t>
            </w:r>
          </w:p>
        </w:tc>
        <w:tc>
          <w:tcPr>
            <w:tcW w:w="503" w:type="pct"/>
            <w:vAlign w:val="center"/>
          </w:tcPr>
          <w:p w14:paraId="7C483E0F">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是否接受进口产品</w:t>
            </w:r>
          </w:p>
        </w:tc>
        <w:tc>
          <w:tcPr>
            <w:tcW w:w="591" w:type="pct"/>
            <w:vAlign w:val="center"/>
          </w:tcPr>
          <w:p w14:paraId="7A81C4D3">
            <w:pPr>
              <w:widowControl/>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是否为核心产品</w:t>
            </w:r>
          </w:p>
        </w:tc>
      </w:tr>
      <w:tr w14:paraId="37E1E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52377B46">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1600" w:type="pct"/>
            <w:vAlign w:val="center"/>
          </w:tcPr>
          <w:p w14:paraId="3580FD8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音视频系统</w:t>
            </w:r>
          </w:p>
        </w:tc>
        <w:tc>
          <w:tcPr>
            <w:tcW w:w="729" w:type="pct"/>
            <w:vAlign w:val="center"/>
          </w:tcPr>
          <w:p w14:paraId="308A05D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56.00 </w:t>
            </w:r>
          </w:p>
        </w:tc>
        <w:tc>
          <w:tcPr>
            <w:tcW w:w="527" w:type="pct"/>
            <w:vAlign w:val="center"/>
          </w:tcPr>
          <w:p w14:paraId="3A1004D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68" w:type="pct"/>
            <w:vAlign w:val="center"/>
          </w:tcPr>
          <w:p w14:paraId="13969B3A">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503" w:type="pct"/>
            <w:vAlign w:val="center"/>
          </w:tcPr>
          <w:p w14:paraId="13CDC1D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1" w:type="pct"/>
            <w:vAlign w:val="center"/>
          </w:tcPr>
          <w:p w14:paraId="5792DAD4">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是</w:t>
            </w:r>
          </w:p>
        </w:tc>
      </w:tr>
      <w:tr w14:paraId="3CAB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6FCAF40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w:t>
            </w:r>
          </w:p>
        </w:tc>
        <w:tc>
          <w:tcPr>
            <w:tcW w:w="1600" w:type="pct"/>
            <w:vAlign w:val="center"/>
          </w:tcPr>
          <w:p w14:paraId="5801E77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教育录播系统</w:t>
            </w:r>
          </w:p>
        </w:tc>
        <w:tc>
          <w:tcPr>
            <w:tcW w:w="729" w:type="pct"/>
            <w:vAlign w:val="center"/>
          </w:tcPr>
          <w:p w14:paraId="5C19E8E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53.00 </w:t>
            </w:r>
          </w:p>
        </w:tc>
        <w:tc>
          <w:tcPr>
            <w:tcW w:w="527" w:type="pct"/>
            <w:vAlign w:val="center"/>
          </w:tcPr>
          <w:p w14:paraId="69086E2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68" w:type="pct"/>
            <w:vAlign w:val="center"/>
          </w:tcPr>
          <w:p w14:paraId="0376F3F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503" w:type="pct"/>
            <w:vAlign w:val="center"/>
          </w:tcPr>
          <w:p w14:paraId="057AE344">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1" w:type="pct"/>
            <w:vAlign w:val="center"/>
          </w:tcPr>
          <w:p w14:paraId="566D5D9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569AB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2421567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w:t>
            </w:r>
          </w:p>
        </w:tc>
        <w:tc>
          <w:tcPr>
            <w:tcW w:w="1600" w:type="pct"/>
            <w:vAlign w:val="center"/>
          </w:tcPr>
          <w:p w14:paraId="2DFFF9F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线上互动教学系统</w:t>
            </w:r>
          </w:p>
        </w:tc>
        <w:tc>
          <w:tcPr>
            <w:tcW w:w="729" w:type="pct"/>
            <w:vAlign w:val="center"/>
          </w:tcPr>
          <w:p w14:paraId="50262D0F">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54.00 </w:t>
            </w:r>
          </w:p>
        </w:tc>
        <w:tc>
          <w:tcPr>
            <w:tcW w:w="527" w:type="pct"/>
            <w:vAlign w:val="center"/>
          </w:tcPr>
          <w:p w14:paraId="639B8398">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68" w:type="pct"/>
            <w:vAlign w:val="center"/>
          </w:tcPr>
          <w:p w14:paraId="601454A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503" w:type="pct"/>
            <w:vAlign w:val="center"/>
          </w:tcPr>
          <w:p w14:paraId="070177B9">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1" w:type="pct"/>
            <w:vAlign w:val="center"/>
          </w:tcPr>
          <w:p w14:paraId="5E5AA5E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261BF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08C57AE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1600" w:type="pct"/>
            <w:vAlign w:val="center"/>
          </w:tcPr>
          <w:p w14:paraId="1B08B52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知识产权实训系统</w:t>
            </w:r>
          </w:p>
        </w:tc>
        <w:tc>
          <w:tcPr>
            <w:tcW w:w="729" w:type="pct"/>
            <w:vAlign w:val="center"/>
          </w:tcPr>
          <w:p w14:paraId="381A6CB7">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54.00 </w:t>
            </w:r>
          </w:p>
        </w:tc>
        <w:tc>
          <w:tcPr>
            <w:tcW w:w="527" w:type="pct"/>
            <w:vAlign w:val="center"/>
          </w:tcPr>
          <w:p w14:paraId="68C9704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68" w:type="pct"/>
            <w:vAlign w:val="center"/>
          </w:tcPr>
          <w:p w14:paraId="12E494A2">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503" w:type="pct"/>
            <w:vAlign w:val="center"/>
          </w:tcPr>
          <w:p w14:paraId="6626B99B">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1" w:type="pct"/>
            <w:vAlign w:val="center"/>
          </w:tcPr>
          <w:p w14:paraId="76AB565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14:paraId="078D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79" w:type="pct"/>
            <w:vAlign w:val="center"/>
          </w:tcPr>
          <w:p w14:paraId="1914D69E">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1600" w:type="pct"/>
            <w:vAlign w:val="center"/>
          </w:tcPr>
          <w:p w14:paraId="4F7A3CC5">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知识产权研究与展示系统</w:t>
            </w:r>
          </w:p>
        </w:tc>
        <w:tc>
          <w:tcPr>
            <w:tcW w:w="729" w:type="pct"/>
            <w:vAlign w:val="center"/>
          </w:tcPr>
          <w:p w14:paraId="1F7A3573">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53.00 </w:t>
            </w:r>
          </w:p>
        </w:tc>
        <w:tc>
          <w:tcPr>
            <w:tcW w:w="527" w:type="pct"/>
            <w:vAlign w:val="center"/>
          </w:tcPr>
          <w:p w14:paraId="2E613520">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568" w:type="pct"/>
            <w:vAlign w:val="center"/>
          </w:tcPr>
          <w:p w14:paraId="623FD6E1">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套</w:t>
            </w:r>
          </w:p>
        </w:tc>
        <w:tc>
          <w:tcPr>
            <w:tcW w:w="503" w:type="pct"/>
            <w:vAlign w:val="center"/>
          </w:tcPr>
          <w:p w14:paraId="46234FCD">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c>
          <w:tcPr>
            <w:tcW w:w="591" w:type="pct"/>
            <w:vAlign w:val="center"/>
          </w:tcPr>
          <w:p w14:paraId="53B9520C">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bl>
    <w:p w14:paraId="755FBFA0">
      <w:pPr>
        <w:tabs>
          <w:tab w:val="center" w:pos="4153"/>
          <w:tab w:val="right" w:pos="8306"/>
        </w:tabs>
        <w:adjustRightInd w:val="0"/>
        <w:spacing w:line="276" w:lineRule="auto"/>
        <w:textAlignment w:val="baseline"/>
        <w:outlineLvl w:val="1"/>
        <w:rPr>
          <w:rFonts w:ascii="宋体" w:hAnsi="宋体" w:cs="宋体"/>
          <w:b/>
          <w:szCs w:val="21"/>
        </w:rPr>
      </w:pPr>
      <w:r>
        <w:rPr>
          <w:rFonts w:hint="eastAsia" w:ascii="宋体" w:hAnsi="宋体" w:cs="宋体"/>
          <w:b/>
          <w:szCs w:val="21"/>
        </w:rPr>
        <w:t>二、技术、服务要求</w:t>
      </w:r>
      <w:bookmarkEnd w:id="48"/>
    </w:p>
    <w:p w14:paraId="7547517C">
      <w:pPr>
        <w:tabs>
          <w:tab w:val="center" w:pos="4153"/>
          <w:tab w:val="right" w:pos="8306"/>
        </w:tabs>
        <w:adjustRightInd w:val="0"/>
        <w:spacing w:line="276" w:lineRule="auto"/>
        <w:ind w:firstLine="420" w:firstLineChars="200"/>
        <w:textAlignment w:val="baseline"/>
        <w:rPr>
          <w:rFonts w:ascii="宋体" w:hAnsi="宋体"/>
          <w:b/>
          <w:szCs w:val="21"/>
          <w:lang w:val="zh-CN"/>
        </w:rPr>
      </w:pPr>
      <w:r>
        <w:rPr>
          <w:rFonts w:hint="eastAsia" w:ascii="宋体" w:hAnsi="宋体"/>
          <w:b/>
          <w:szCs w:val="21"/>
          <w:lang w:val="zh-CN"/>
        </w:rPr>
        <w:t>说明：</w:t>
      </w:r>
    </w:p>
    <w:p w14:paraId="4C0E05B2">
      <w:pPr>
        <w:tabs>
          <w:tab w:val="center" w:pos="4153"/>
          <w:tab w:val="right" w:pos="8306"/>
        </w:tabs>
        <w:adjustRightInd w:val="0"/>
        <w:spacing w:line="276" w:lineRule="auto"/>
        <w:ind w:firstLine="420" w:firstLineChars="200"/>
        <w:textAlignment w:val="baseline"/>
        <w:rPr>
          <w:rFonts w:ascii="宋体" w:hAnsi="宋体" w:cs="宋体"/>
          <w:szCs w:val="21"/>
        </w:rPr>
      </w:pPr>
      <w:r>
        <w:rPr>
          <w:rFonts w:hint="eastAsia" w:ascii="宋体" w:hAnsi="宋体" w:cs="宋体"/>
          <w:szCs w:val="21"/>
        </w:rPr>
        <w:t>①本采购需求描述中涉及品牌（如有）、规格、型号、尺寸及重量的均为参考，投标人可提供同等档次或更高档次产品，并提供相应技术参数证明其符合采购需求；</w:t>
      </w:r>
    </w:p>
    <w:p w14:paraId="50FD5D0C">
      <w:pPr>
        <w:tabs>
          <w:tab w:val="center" w:pos="4153"/>
          <w:tab w:val="right" w:pos="8306"/>
        </w:tabs>
        <w:adjustRightInd w:val="0"/>
        <w:spacing w:line="276" w:lineRule="auto"/>
        <w:ind w:firstLine="420" w:firstLineChars="200"/>
        <w:textAlignment w:val="baseline"/>
        <w:rPr>
          <w:rFonts w:ascii="宋体" w:hAnsi="宋体" w:cs="宋体"/>
          <w:szCs w:val="21"/>
        </w:rPr>
      </w:pPr>
      <w:r>
        <w:rPr>
          <w:rFonts w:hint="eastAsia" w:ascii="宋体" w:hAnsi="宋体" w:cs="宋体"/>
          <w:szCs w:val="21"/>
        </w:rPr>
        <w:t>②标注“★”的代表关键指标，不满足该指标项将导致投标被拒绝，“#”代表重要指标，无标识则表示一般指标项；</w:t>
      </w:r>
    </w:p>
    <w:p w14:paraId="22E777F8">
      <w:pPr>
        <w:tabs>
          <w:tab w:val="center" w:pos="4153"/>
          <w:tab w:val="right" w:pos="8306"/>
        </w:tabs>
        <w:adjustRightInd w:val="0"/>
        <w:spacing w:line="276" w:lineRule="auto"/>
        <w:ind w:firstLine="420" w:firstLineChars="200"/>
        <w:textAlignment w:val="baseline"/>
        <w:rPr>
          <w:rFonts w:ascii="宋体" w:hAnsi="宋体" w:cs="宋体"/>
          <w:szCs w:val="21"/>
        </w:rPr>
      </w:pPr>
      <w:r>
        <w:rPr>
          <w:rFonts w:hint="eastAsia" w:ascii="宋体" w:hAnsi="宋体" w:cs="宋体"/>
          <w:szCs w:val="21"/>
        </w:rPr>
        <w:t>③</w:t>
      </w:r>
      <w:r>
        <w:rPr>
          <w:rFonts w:hint="eastAsia" w:ascii="宋体" w:hAnsi="宋体" w:cs="宋体"/>
          <w:b/>
          <w:bCs/>
          <w:szCs w:val="21"/>
        </w:rPr>
        <w:t>投标货物如属于强制节能产品品目内的，依据财库[2019]9号文的规定，应提供节能产品政府采购品目证书证明材料，否则按无效投标处理；</w:t>
      </w:r>
    </w:p>
    <w:p w14:paraId="24F21A12">
      <w:pPr>
        <w:spacing w:line="276" w:lineRule="auto"/>
        <w:ind w:firstLine="420" w:firstLineChars="200"/>
        <w:jc w:val="left"/>
        <w:rPr>
          <w:rFonts w:ascii="宋体" w:hAnsi="宋体" w:cs="宋体"/>
          <w:szCs w:val="21"/>
        </w:rPr>
      </w:pPr>
      <w:r>
        <w:rPr>
          <w:rFonts w:hint="eastAsia" w:ascii="宋体" w:hAnsi="宋体" w:cs="宋体"/>
          <w:szCs w:val="21"/>
        </w:rPr>
        <w:t>④“投标人须提供包含相关指标项的证明材料，填“有”的，证明材料可以使用制造商官方网站截图或产品白皮书或第三方机构检测机构提供的检验报告或其他相关证明材料，未提供有效证明材料或证明材料中内容与所填报指标不一致的，该指标按不满足处理。填“无”的，投标人提供加盖公章满足技术要求承诺函证明材料或在技术指标响应/偏离表中响应。如招标文件第三章采购需求中对是否需要证明材料有明确要求的，以第三章采购需求为准。”</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161"/>
        <w:gridCol w:w="727"/>
        <w:gridCol w:w="5369"/>
        <w:gridCol w:w="1763"/>
      </w:tblGrid>
      <w:tr w14:paraId="7F1E4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39" w:type="pct"/>
            <w:gridSpan w:val="3"/>
            <w:vAlign w:val="center"/>
          </w:tcPr>
          <w:p w14:paraId="002D20A0">
            <w:pPr>
              <w:widowControl/>
              <w:spacing w:line="276" w:lineRule="auto"/>
              <w:jc w:val="center"/>
              <w:rPr>
                <w:rFonts w:ascii="宋体" w:hAnsi="宋体" w:cs="宋体"/>
                <w:b/>
                <w:szCs w:val="21"/>
              </w:rPr>
            </w:pPr>
            <w:r>
              <w:rPr>
                <w:rFonts w:hint="eastAsia" w:ascii="宋体" w:hAnsi="宋体" w:cs="宋体"/>
                <w:b/>
                <w:szCs w:val="21"/>
              </w:rPr>
              <w:t>1.货物名称</w:t>
            </w:r>
          </w:p>
        </w:tc>
        <w:tc>
          <w:tcPr>
            <w:tcW w:w="2756" w:type="pct"/>
            <w:vAlign w:val="center"/>
          </w:tcPr>
          <w:p w14:paraId="086815A1">
            <w:pPr>
              <w:widowControl/>
              <w:spacing w:line="276" w:lineRule="auto"/>
              <w:jc w:val="center"/>
              <w:rPr>
                <w:rFonts w:ascii="宋体" w:hAnsi="宋体" w:cs="宋体"/>
                <w:b/>
                <w:szCs w:val="21"/>
              </w:rPr>
            </w:pPr>
            <w:r>
              <w:rPr>
                <w:rFonts w:hint="eastAsia" w:ascii="宋体" w:hAnsi="宋体" w:cs="宋体"/>
                <w:b/>
                <w:szCs w:val="21"/>
              </w:rPr>
              <w:t>音视频系统</w:t>
            </w:r>
          </w:p>
        </w:tc>
        <w:tc>
          <w:tcPr>
            <w:tcW w:w="905" w:type="pct"/>
            <w:vAlign w:val="center"/>
          </w:tcPr>
          <w:p w14:paraId="447E2D7D">
            <w:pPr>
              <w:widowControl/>
              <w:spacing w:line="276" w:lineRule="auto"/>
              <w:jc w:val="center"/>
              <w:rPr>
                <w:rFonts w:ascii="宋体" w:hAnsi="宋体" w:cs="宋体"/>
                <w:b/>
                <w:szCs w:val="21"/>
              </w:rPr>
            </w:pPr>
            <w:r>
              <w:rPr>
                <w:rFonts w:hint="eastAsia" w:ascii="宋体" w:hAnsi="宋体" w:cs="宋体"/>
                <w:b/>
                <w:szCs w:val="21"/>
              </w:rPr>
              <w:t>数量：1套</w:t>
            </w:r>
          </w:p>
        </w:tc>
      </w:tr>
      <w:tr w14:paraId="41152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39" w:type="pct"/>
            <w:gridSpan w:val="3"/>
            <w:vAlign w:val="center"/>
          </w:tcPr>
          <w:p w14:paraId="6889E7E8">
            <w:pPr>
              <w:widowControl/>
              <w:spacing w:line="276" w:lineRule="auto"/>
              <w:jc w:val="center"/>
              <w:rPr>
                <w:rFonts w:ascii="宋体" w:hAnsi="宋体" w:cs="宋体"/>
                <w:b/>
                <w:szCs w:val="21"/>
              </w:rPr>
            </w:pPr>
            <w:r>
              <w:rPr>
                <w:rFonts w:hint="eastAsia" w:ascii="宋体" w:hAnsi="宋体" w:cs="宋体"/>
                <w:szCs w:val="21"/>
              </w:rPr>
              <w:t>主要功能要求</w:t>
            </w:r>
          </w:p>
        </w:tc>
        <w:tc>
          <w:tcPr>
            <w:tcW w:w="3661" w:type="pct"/>
            <w:gridSpan w:val="2"/>
            <w:vAlign w:val="center"/>
          </w:tcPr>
          <w:p w14:paraId="4CA76750">
            <w:pPr>
              <w:widowControl/>
              <w:spacing w:line="276" w:lineRule="auto"/>
              <w:rPr>
                <w:rFonts w:ascii="宋体" w:hAnsi="宋体" w:cs="宋体"/>
                <w:b/>
                <w:szCs w:val="21"/>
              </w:rPr>
            </w:pPr>
            <w:r>
              <w:rPr>
                <w:rFonts w:hint="eastAsia" w:ascii="宋体" w:hAnsi="宋体" w:cs="宋体"/>
                <w:szCs w:val="21"/>
              </w:rPr>
              <w:t>音视频系统具备先进的三维显示与人声沉浸技术，能够实现无需辅助设备即可感知的裸眼3D显示效果，同时营造出全方位、逼真的人声环绕听觉体验，让用户仿佛置身于真实的场景之中。</w:t>
            </w:r>
          </w:p>
        </w:tc>
      </w:tr>
      <w:tr w14:paraId="43B0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39" w:type="pct"/>
            <w:gridSpan w:val="3"/>
            <w:vAlign w:val="center"/>
          </w:tcPr>
          <w:p w14:paraId="5981F7A2">
            <w:pPr>
              <w:spacing w:line="276" w:lineRule="auto"/>
              <w:jc w:val="center"/>
              <w:rPr>
                <w:rFonts w:ascii="宋体" w:hAnsi="宋体" w:cs="宋体"/>
                <w:szCs w:val="21"/>
              </w:rPr>
            </w:pPr>
            <w:r>
              <w:rPr>
                <w:rFonts w:hint="eastAsia" w:ascii="宋体" w:hAnsi="宋体" w:cs="宋体"/>
                <w:szCs w:val="21"/>
                <w:lang w:val="en"/>
              </w:rPr>
              <w:t>应遵循的相关国家标准、行业标准等标准、规范</w:t>
            </w:r>
          </w:p>
        </w:tc>
        <w:tc>
          <w:tcPr>
            <w:tcW w:w="3661" w:type="pct"/>
            <w:gridSpan w:val="2"/>
            <w:vAlign w:val="center"/>
          </w:tcPr>
          <w:p w14:paraId="64C6AA3F">
            <w:pPr>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212F3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79700624">
            <w:pPr>
              <w:spacing w:line="276" w:lineRule="auto"/>
              <w:jc w:val="center"/>
              <w:rPr>
                <w:rFonts w:ascii="宋体" w:hAnsi="宋体" w:cs="宋体"/>
                <w:szCs w:val="21"/>
              </w:rPr>
            </w:pPr>
            <w:r>
              <w:rPr>
                <w:rFonts w:hint="eastAsia" w:ascii="宋体" w:hAnsi="宋体" w:cs="宋体"/>
                <w:szCs w:val="21"/>
                <w:u w:val="single"/>
              </w:rPr>
              <w:t>音视频系统</w:t>
            </w:r>
            <w:r>
              <w:rPr>
                <w:rFonts w:hint="eastAsia" w:ascii="宋体" w:hAnsi="宋体" w:cs="宋体"/>
                <w:b/>
                <w:bCs/>
                <w:szCs w:val="21"/>
              </w:rPr>
              <w:t>技术指标</w:t>
            </w:r>
          </w:p>
        </w:tc>
      </w:tr>
      <w:tr w14:paraId="0347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3AC116BD">
            <w:pPr>
              <w:spacing w:line="276" w:lineRule="auto"/>
              <w:jc w:val="center"/>
              <w:rPr>
                <w:rFonts w:ascii="宋体" w:hAnsi="宋体" w:cs="宋体"/>
                <w:szCs w:val="21"/>
              </w:rPr>
            </w:pPr>
            <w:r>
              <w:rPr>
                <w:rFonts w:hint="eastAsia" w:ascii="宋体" w:hAnsi="宋体" w:cs="宋体"/>
                <w:szCs w:val="21"/>
              </w:rPr>
              <w:t>序号</w:t>
            </w:r>
          </w:p>
        </w:tc>
        <w:tc>
          <w:tcPr>
            <w:tcW w:w="596" w:type="pct"/>
            <w:vAlign w:val="center"/>
          </w:tcPr>
          <w:p w14:paraId="13D2FBB9">
            <w:pPr>
              <w:spacing w:line="276" w:lineRule="auto"/>
              <w:jc w:val="center"/>
              <w:rPr>
                <w:rFonts w:ascii="宋体" w:hAnsi="宋体" w:cs="宋体"/>
                <w:szCs w:val="21"/>
              </w:rPr>
            </w:pPr>
            <w:r>
              <w:rPr>
                <w:rFonts w:hint="eastAsia" w:ascii="宋体" w:hAnsi="宋体" w:cs="宋体"/>
                <w:szCs w:val="21"/>
              </w:rPr>
              <w:t>指标项</w:t>
            </w:r>
          </w:p>
        </w:tc>
        <w:tc>
          <w:tcPr>
            <w:tcW w:w="373" w:type="pct"/>
            <w:vAlign w:val="center"/>
          </w:tcPr>
          <w:p w14:paraId="2AF58DEC">
            <w:pPr>
              <w:spacing w:line="276" w:lineRule="auto"/>
              <w:jc w:val="center"/>
              <w:rPr>
                <w:rFonts w:ascii="宋体" w:hAnsi="宋体" w:cs="宋体"/>
                <w:szCs w:val="21"/>
              </w:rPr>
            </w:pPr>
            <w:r>
              <w:rPr>
                <w:rFonts w:hint="eastAsia" w:ascii="宋体" w:hAnsi="宋体" w:cs="宋体"/>
                <w:szCs w:val="21"/>
              </w:rPr>
              <w:t>重要性</w:t>
            </w:r>
          </w:p>
        </w:tc>
        <w:tc>
          <w:tcPr>
            <w:tcW w:w="2756" w:type="pct"/>
            <w:vAlign w:val="center"/>
          </w:tcPr>
          <w:p w14:paraId="3CA6D92E">
            <w:pPr>
              <w:spacing w:line="276" w:lineRule="auto"/>
              <w:jc w:val="center"/>
              <w:rPr>
                <w:rFonts w:ascii="宋体" w:hAnsi="宋体" w:cs="宋体"/>
                <w:szCs w:val="21"/>
              </w:rPr>
            </w:pPr>
            <w:r>
              <w:rPr>
                <w:rFonts w:hint="eastAsia" w:ascii="宋体" w:hAnsi="宋体" w:cs="宋体"/>
                <w:szCs w:val="21"/>
              </w:rPr>
              <w:t>指标要求</w:t>
            </w:r>
          </w:p>
        </w:tc>
        <w:tc>
          <w:tcPr>
            <w:tcW w:w="905" w:type="pct"/>
            <w:vAlign w:val="center"/>
          </w:tcPr>
          <w:p w14:paraId="58084FF2">
            <w:pPr>
              <w:spacing w:line="276" w:lineRule="auto"/>
              <w:jc w:val="center"/>
              <w:rPr>
                <w:rFonts w:ascii="宋体" w:hAnsi="宋体" w:cs="宋体"/>
                <w:szCs w:val="21"/>
              </w:rPr>
            </w:pPr>
            <w:r>
              <w:rPr>
                <w:rFonts w:hint="eastAsia" w:ascii="宋体" w:hAnsi="宋体" w:cs="宋体"/>
                <w:szCs w:val="21"/>
              </w:rPr>
              <w:t>需提供证明材料要求</w:t>
            </w:r>
          </w:p>
        </w:tc>
      </w:tr>
      <w:tr w14:paraId="0552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Merge w:val="restart"/>
            <w:vAlign w:val="center"/>
          </w:tcPr>
          <w:p w14:paraId="777EC3FA">
            <w:pPr>
              <w:spacing w:line="276" w:lineRule="auto"/>
              <w:jc w:val="center"/>
              <w:rPr>
                <w:rFonts w:ascii="宋体" w:hAnsi="宋体" w:cs="宋体"/>
                <w:szCs w:val="21"/>
              </w:rPr>
            </w:pPr>
            <w:bookmarkStart w:id="49" w:name="_Hlk230181150"/>
            <w:r>
              <w:rPr>
                <w:rFonts w:hint="eastAsia" w:ascii="宋体" w:hAnsi="宋体" w:cs="宋体"/>
                <w:szCs w:val="21"/>
              </w:rPr>
              <w:t>1</w:t>
            </w:r>
          </w:p>
        </w:tc>
        <w:tc>
          <w:tcPr>
            <w:tcW w:w="596" w:type="pct"/>
            <w:vMerge w:val="restart"/>
            <w:vAlign w:val="center"/>
          </w:tcPr>
          <w:p w14:paraId="0B3CEB59">
            <w:pPr>
              <w:widowControl/>
              <w:spacing w:line="276" w:lineRule="auto"/>
              <w:jc w:val="center"/>
              <w:textAlignment w:val="center"/>
              <w:rPr>
                <w:rFonts w:ascii="宋体" w:hAnsi="宋体" w:cs="宋体"/>
                <w:szCs w:val="21"/>
              </w:rPr>
            </w:pPr>
            <w:r>
              <w:rPr>
                <w:rFonts w:hint="eastAsia" w:ascii="宋体" w:hAnsi="宋体" w:cs="宋体"/>
                <w:kern w:val="0"/>
                <w:szCs w:val="21"/>
                <w:lang w:bidi="ar"/>
              </w:rPr>
              <w:t>LED环幕全彩显示屏套件</w:t>
            </w:r>
          </w:p>
        </w:tc>
        <w:tc>
          <w:tcPr>
            <w:tcW w:w="373" w:type="pct"/>
            <w:vAlign w:val="center"/>
          </w:tcPr>
          <w:p w14:paraId="6F5E33FA">
            <w:pPr>
              <w:widowControl/>
              <w:spacing w:line="276" w:lineRule="auto"/>
              <w:jc w:val="center"/>
              <w:rPr>
                <w:rFonts w:ascii="宋体" w:hAnsi="宋体" w:cs="宋体"/>
                <w:szCs w:val="21"/>
              </w:rPr>
            </w:pPr>
            <w:r>
              <w:rPr>
                <w:rFonts w:hint="eastAsia" w:ascii="宋体" w:hAnsi="宋体" w:cs="宋体"/>
                <w:szCs w:val="21"/>
              </w:rPr>
              <w:t>★</w:t>
            </w:r>
          </w:p>
          <w:p w14:paraId="59D8A49F">
            <w:pPr>
              <w:widowControl/>
              <w:spacing w:line="276" w:lineRule="auto"/>
              <w:jc w:val="center"/>
              <w:rPr>
                <w:rFonts w:ascii="宋体" w:hAnsi="宋体" w:cs="宋体"/>
                <w:szCs w:val="21"/>
              </w:rPr>
            </w:pPr>
            <w:r>
              <w:rPr>
                <w:rFonts w:hint="eastAsia" w:ascii="宋体" w:hAnsi="宋体" w:cs="宋体"/>
                <w:snapToGrid w:val="0"/>
                <w:kern w:val="0"/>
                <w:szCs w:val="21"/>
                <w:lang w:val="zh-CN"/>
              </w:rPr>
              <w:t>关键指标</w:t>
            </w:r>
          </w:p>
        </w:tc>
        <w:tc>
          <w:tcPr>
            <w:tcW w:w="2756" w:type="pct"/>
            <w:vAlign w:val="center"/>
          </w:tcPr>
          <w:p w14:paraId="77CD9BF3">
            <w:pPr>
              <w:widowControl/>
              <w:numPr>
                <w:ilvl w:val="0"/>
                <w:numId w:val="38"/>
              </w:numPr>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显示屏在点间距≤</w:t>
            </w:r>
            <w:r>
              <w:rPr>
                <w:rFonts w:ascii="宋体" w:hAnsi="宋体" w:cs="宋体"/>
                <w:kern w:val="0"/>
                <w:szCs w:val="21"/>
                <w:lang w:bidi="ar"/>
              </w:rPr>
              <w:t xml:space="preserve"> </w:t>
            </w:r>
            <w:r>
              <w:rPr>
                <w:rFonts w:hint="eastAsia" w:ascii="宋体" w:hAnsi="宋体" w:cs="宋体"/>
                <w:kern w:val="0"/>
                <w:szCs w:val="21"/>
                <w:lang w:bidi="ar"/>
              </w:rPr>
              <w:t>P1.53 的条件下，其总显示尺寸应不小于 6.5m（宽）×3.2m（高）；</w:t>
            </w:r>
            <w:r>
              <w:rPr>
                <w:rFonts w:ascii="宋体" w:hAnsi="宋体" w:cs="宋体"/>
                <w:kern w:val="0"/>
                <w:szCs w:val="21"/>
                <w:lang w:bidi="ar"/>
              </w:rPr>
              <w:t xml:space="preserve"> </w:t>
            </w:r>
          </w:p>
          <w:p w14:paraId="689EC603">
            <w:pPr>
              <w:widowControl/>
              <w:numPr>
                <w:ilvl w:val="0"/>
                <w:numId w:val="38"/>
              </w:numPr>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柔性设计：模组可弯曲角度0°~145°，可安装在任意曲面。</w:t>
            </w:r>
          </w:p>
        </w:tc>
        <w:tc>
          <w:tcPr>
            <w:tcW w:w="905" w:type="pct"/>
            <w:vAlign w:val="center"/>
          </w:tcPr>
          <w:p w14:paraId="79492947">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有，要求：</w:t>
            </w:r>
            <w:r>
              <w:rPr>
                <w:rFonts w:hint="eastAsia" w:ascii="宋体" w:hAnsi="宋体" w:cs="宋体"/>
                <w:kern w:val="0"/>
                <w:szCs w:val="21"/>
                <w:lang w:bidi="ar"/>
              </w:rPr>
              <w:t>提供具有CMA标识的第三方检测报告复印件。</w:t>
            </w:r>
          </w:p>
        </w:tc>
      </w:tr>
      <w:tr w14:paraId="0E756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Merge w:val="continue"/>
            <w:vAlign w:val="center"/>
          </w:tcPr>
          <w:p w14:paraId="018295AC">
            <w:pPr>
              <w:spacing w:line="276" w:lineRule="auto"/>
              <w:jc w:val="center"/>
              <w:rPr>
                <w:rFonts w:ascii="宋体" w:hAnsi="宋体" w:cs="宋体"/>
                <w:szCs w:val="21"/>
              </w:rPr>
            </w:pPr>
          </w:p>
        </w:tc>
        <w:tc>
          <w:tcPr>
            <w:tcW w:w="596" w:type="pct"/>
            <w:vMerge w:val="continue"/>
            <w:vAlign w:val="center"/>
          </w:tcPr>
          <w:p w14:paraId="09B4A5FA">
            <w:pPr>
              <w:widowControl/>
              <w:spacing w:line="276" w:lineRule="auto"/>
              <w:jc w:val="center"/>
              <w:textAlignment w:val="center"/>
              <w:rPr>
                <w:rFonts w:ascii="宋体" w:hAnsi="宋体" w:cs="宋体"/>
                <w:kern w:val="0"/>
                <w:szCs w:val="21"/>
                <w:lang w:bidi="ar"/>
              </w:rPr>
            </w:pPr>
          </w:p>
        </w:tc>
        <w:tc>
          <w:tcPr>
            <w:tcW w:w="373" w:type="pct"/>
            <w:vAlign w:val="center"/>
          </w:tcPr>
          <w:p w14:paraId="72502E07">
            <w:pPr>
              <w:widowControl/>
              <w:spacing w:line="276" w:lineRule="auto"/>
              <w:jc w:val="center"/>
              <w:rPr>
                <w:rFonts w:ascii="宋体" w:hAnsi="宋体" w:cs="宋体"/>
                <w:szCs w:val="21"/>
              </w:rPr>
            </w:pPr>
            <w:r>
              <w:rPr>
                <w:rFonts w:hint="eastAsia" w:ascii="宋体" w:hAnsi="宋体" w:cs="宋体"/>
                <w:snapToGrid w:val="0"/>
                <w:kern w:val="0"/>
                <w:szCs w:val="21"/>
              </w:rPr>
              <w:t>#重要指标</w:t>
            </w:r>
          </w:p>
        </w:tc>
        <w:tc>
          <w:tcPr>
            <w:tcW w:w="2756" w:type="pct"/>
          </w:tcPr>
          <w:p w14:paraId="0BBA8343">
            <w:pPr>
              <w:widowControl/>
              <w:spacing w:line="276" w:lineRule="auto"/>
              <w:jc w:val="left"/>
              <w:textAlignment w:val="center"/>
              <w:rPr>
                <w:rFonts w:ascii="宋体" w:hAnsi="宋体" w:cs="宋体"/>
                <w:kern w:val="0"/>
                <w:szCs w:val="21"/>
                <w:lang w:bidi="ar"/>
              </w:rPr>
            </w:pPr>
            <w:r>
              <w:rPr>
                <w:rFonts w:ascii="宋体" w:hAnsi="宋体" w:cs="宋体"/>
                <w:kern w:val="0"/>
                <w:szCs w:val="21"/>
                <w:lang w:bidi="ar"/>
              </w:rPr>
              <w:t>1</w:t>
            </w:r>
            <w:r>
              <w:rPr>
                <w:rFonts w:hint="eastAsia" w:ascii="宋体" w:hAnsi="宋体" w:cs="宋体"/>
                <w:kern w:val="0"/>
                <w:szCs w:val="21"/>
                <w:lang w:bidi="ar"/>
              </w:rPr>
              <w:t>.维护方式：产品支持前后双向维护；</w:t>
            </w:r>
            <w:r>
              <w:rPr>
                <w:rFonts w:hint="eastAsia" w:ascii="宋体" w:hAnsi="宋体"/>
              </w:rPr>
              <w:t>（</w:t>
            </w:r>
            <w:r>
              <w:rPr>
                <w:rFonts w:hint="eastAsia" w:ascii="宋体" w:hAnsi="宋体" w:cs="宋体"/>
                <w:kern w:val="0"/>
                <w:szCs w:val="21"/>
                <w:lang w:bidi="ar"/>
              </w:rPr>
              <w:t>提供具有CMA标识的第三方检测报告复印件</w:t>
            </w:r>
            <w:r>
              <w:rPr>
                <w:rFonts w:hint="eastAsia" w:ascii="宋体" w:hAnsi="宋体"/>
              </w:rPr>
              <w:t>）</w:t>
            </w:r>
            <w:r>
              <w:rPr>
                <w:rFonts w:hint="eastAsia" w:ascii="宋体" w:hAnsi="宋体" w:cs="宋体"/>
                <w:kern w:val="0"/>
                <w:szCs w:val="21"/>
                <w:lang w:bidi="ar"/>
              </w:rPr>
              <w:br w:type="textWrapping"/>
            </w:r>
            <w:r>
              <w:rPr>
                <w:rFonts w:ascii="宋体" w:hAnsi="宋体" w:cs="宋体"/>
                <w:kern w:val="0"/>
                <w:szCs w:val="21"/>
                <w:lang w:bidi="ar"/>
              </w:rPr>
              <w:t>2</w:t>
            </w:r>
            <w:r>
              <w:rPr>
                <w:rFonts w:hint="eastAsia" w:ascii="宋体" w:hAnsi="宋体" w:cs="宋体"/>
                <w:kern w:val="0"/>
                <w:szCs w:val="21"/>
                <w:lang w:bidi="ar"/>
              </w:rPr>
              <w:t>.PCB 电路设计：</w:t>
            </w:r>
            <w:r>
              <w:rPr>
                <w:rFonts w:hint="eastAsia" w:ascii="宋体" w:hAnsi="宋体" w:cs="宋体"/>
                <w:szCs w:val="21"/>
              </w:rPr>
              <w:t>PCB采用 FR-4 材质或其他性能相当或更优的材料</w:t>
            </w:r>
            <w:r>
              <w:rPr>
                <w:rFonts w:hint="eastAsia" w:ascii="宋体" w:hAnsi="宋体" w:cs="宋体"/>
                <w:kern w:val="0"/>
                <w:szCs w:val="21"/>
                <w:lang w:bidi="ar"/>
              </w:rPr>
              <w:t>，灯驱合一，电路采用多层设计符合CQC</w:t>
            </w:r>
            <w:r>
              <w:rPr>
                <w:rFonts w:ascii="宋体" w:hAnsi="宋体" w:cs="宋体"/>
                <w:kern w:val="0"/>
                <w:szCs w:val="21"/>
                <w:lang w:bidi="ar"/>
              </w:rPr>
              <w:t xml:space="preserve"> </w:t>
            </w:r>
            <w:r>
              <w:rPr>
                <w:rFonts w:hint="eastAsia" w:ascii="宋体" w:hAnsi="宋体" w:cs="宋体"/>
                <w:kern w:val="0"/>
                <w:szCs w:val="21"/>
                <w:lang w:bidi="ar"/>
              </w:rPr>
              <w:t>13-471301-2018；</w:t>
            </w:r>
            <w:r>
              <w:rPr>
                <w:rFonts w:hint="eastAsia" w:ascii="宋体" w:hAnsi="宋体" w:cs="宋体"/>
                <w:kern w:val="0"/>
                <w:szCs w:val="21"/>
                <w:lang w:bidi="ar"/>
              </w:rPr>
              <w:br w:type="textWrapping"/>
            </w:r>
            <w:r>
              <w:rPr>
                <w:rFonts w:ascii="宋体" w:hAnsi="宋体" w:cs="宋体"/>
                <w:kern w:val="0"/>
                <w:szCs w:val="21"/>
                <w:lang w:bidi="ar"/>
              </w:rPr>
              <w:t>3</w:t>
            </w:r>
            <w:r>
              <w:rPr>
                <w:rFonts w:hint="eastAsia" w:ascii="宋体" w:hAnsi="宋体" w:cs="宋体"/>
                <w:kern w:val="0"/>
                <w:szCs w:val="21"/>
                <w:lang w:bidi="ar"/>
              </w:rPr>
              <w:t>.显示屏亮度：≥600cd/㎡；</w:t>
            </w:r>
            <w:r>
              <w:rPr>
                <w:rFonts w:hint="eastAsia" w:ascii="宋体" w:hAnsi="宋体"/>
              </w:rPr>
              <w:t>（</w:t>
            </w:r>
            <w:r>
              <w:rPr>
                <w:rFonts w:hint="eastAsia" w:ascii="宋体" w:hAnsi="宋体" w:cs="宋体"/>
                <w:kern w:val="0"/>
                <w:szCs w:val="21"/>
                <w:lang w:bidi="ar"/>
              </w:rPr>
              <w:t>提供具有CMA标识的第三方检测报告复印件</w:t>
            </w:r>
            <w:r>
              <w:rPr>
                <w:rFonts w:hint="eastAsia" w:ascii="宋体" w:hAnsi="宋体"/>
              </w:rPr>
              <w:t>）</w:t>
            </w:r>
            <w:r>
              <w:rPr>
                <w:rFonts w:hint="eastAsia" w:ascii="宋体" w:hAnsi="宋体" w:cs="宋体"/>
                <w:kern w:val="0"/>
                <w:szCs w:val="21"/>
                <w:lang w:bidi="ar"/>
              </w:rPr>
              <w:br w:type="textWrapping"/>
            </w:r>
            <w:r>
              <w:rPr>
                <w:rFonts w:ascii="宋体" w:hAnsi="宋体" w:cs="宋体"/>
                <w:kern w:val="0"/>
                <w:szCs w:val="21"/>
                <w:lang w:bidi="ar"/>
              </w:rPr>
              <w:t>4</w:t>
            </w:r>
            <w:r>
              <w:rPr>
                <w:rFonts w:hint="eastAsia" w:ascii="宋体" w:hAnsi="宋体" w:cs="宋体"/>
                <w:kern w:val="0"/>
                <w:szCs w:val="21"/>
                <w:lang w:bidi="ar"/>
              </w:rPr>
              <w:t>.对比度：≥9000:1；换帧频率：支持50/60Hz，支持3D显示；</w:t>
            </w:r>
            <w:r>
              <w:rPr>
                <w:rFonts w:hint="eastAsia" w:ascii="宋体" w:hAnsi="宋体" w:cs="宋体"/>
                <w:kern w:val="0"/>
                <w:szCs w:val="21"/>
                <w:lang w:bidi="ar"/>
              </w:rPr>
              <w:br w:type="textWrapping"/>
            </w:r>
            <w:r>
              <w:rPr>
                <w:rFonts w:ascii="宋体" w:hAnsi="宋体" w:cs="宋体"/>
                <w:kern w:val="0"/>
                <w:szCs w:val="21"/>
                <w:lang w:bidi="ar"/>
              </w:rPr>
              <w:t>5</w:t>
            </w:r>
            <w:r>
              <w:rPr>
                <w:rFonts w:hint="eastAsia" w:ascii="宋体" w:hAnsi="宋体" w:cs="宋体"/>
                <w:kern w:val="0"/>
                <w:szCs w:val="21"/>
                <w:lang w:bidi="ar"/>
              </w:rPr>
              <w:t>.观看视角：水平视角≥160°，垂直视角≥160°；</w:t>
            </w:r>
            <w:r>
              <w:rPr>
                <w:rFonts w:hint="eastAsia" w:ascii="宋体" w:hAnsi="宋体" w:cs="宋体"/>
                <w:kern w:val="0"/>
                <w:szCs w:val="21"/>
                <w:lang w:bidi="ar"/>
              </w:rPr>
              <w:br w:type="textWrapping"/>
            </w:r>
            <w:r>
              <w:rPr>
                <w:rFonts w:ascii="宋体" w:hAnsi="宋体" w:cs="宋体"/>
                <w:kern w:val="0"/>
                <w:szCs w:val="21"/>
                <w:lang w:bidi="ar"/>
              </w:rPr>
              <w:t>6</w:t>
            </w:r>
            <w:r>
              <w:rPr>
                <w:rFonts w:hint="eastAsia" w:ascii="宋体" w:hAnsi="宋体" w:cs="宋体"/>
                <w:kern w:val="0"/>
                <w:szCs w:val="21"/>
                <w:lang w:bidi="ar"/>
              </w:rPr>
              <w:t>.亮度均匀性：≥99%；</w:t>
            </w:r>
            <w:r>
              <w:rPr>
                <w:rFonts w:hint="eastAsia" w:ascii="宋体" w:hAnsi="宋体" w:cs="宋体"/>
                <w:kern w:val="0"/>
                <w:szCs w:val="21"/>
                <w:lang w:bidi="ar"/>
              </w:rPr>
              <w:br w:type="textWrapping"/>
            </w:r>
            <w:r>
              <w:rPr>
                <w:rFonts w:ascii="宋体" w:hAnsi="宋体" w:cs="宋体"/>
                <w:kern w:val="0"/>
                <w:szCs w:val="21"/>
                <w:lang w:bidi="ar"/>
              </w:rPr>
              <w:t>7</w:t>
            </w:r>
            <w:r>
              <w:rPr>
                <w:rFonts w:hint="eastAsia" w:ascii="宋体" w:hAnsi="宋体" w:cs="宋体"/>
                <w:kern w:val="0"/>
                <w:szCs w:val="21"/>
                <w:lang w:bidi="ar"/>
              </w:rPr>
              <w:t>.色温：2500K-12000K 可调；色温为 6500K 时，100%,75%,50%，25%四档电平白场调节色温误差≤100K；</w:t>
            </w:r>
            <w:r>
              <w:rPr>
                <w:rFonts w:hint="eastAsia" w:ascii="宋体" w:hAnsi="宋体" w:cs="宋体"/>
                <w:kern w:val="0"/>
                <w:szCs w:val="21"/>
                <w:lang w:bidi="ar"/>
              </w:rPr>
              <w:br w:type="textWrapping"/>
            </w:r>
            <w:r>
              <w:rPr>
                <w:rFonts w:ascii="宋体" w:hAnsi="宋体" w:cs="宋体"/>
                <w:kern w:val="0"/>
                <w:szCs w:val="21"/>
                <w:lang w:bidi="ar"/>
              </w:rPr>
              <w:t>8</w:t>
            </w:r>
            <w:r>
              <w:rPr>
                <w:rFonts w:hint="eastAsia" w:ascii="宋体" w:hAnsi="宋体" w:cs="宋体"/>
                <w:kern w:val="0"/>
                <w:szCs w:val="21"/>
                <w:lang w:bidi="ar"/>
              </w:rPr>
              <w:t>.箱体平整度≤0.15mm，箱体间缝隙≤0.1mm，箱体间、模组间相对错位值≤1%；</w:t>
            </w:r>
            <w:r>
              <w:rPr>
                <w:rFonts w:hint="eastAsia" w:ascii="宋体" w:hAnsi="宋体" w:cs="宋体"/>
                <w:kern w:val="0"/>
                <w:szCs w:val="21"/>
                <w:lang w:bidi="ar"/>
              </w:rPr>
              <w:br w:type="textWrapping"/>
            </w:r>
            <w:r>
              <w:rPr>
                <w:rFonts w:ascii="宋体" w:hAnsi="宋体" w:cs="宋体"/>
                <w:kern w:val="0"/>
                <w:szCs w:val="21"/>
                <w:lang w:bidi="ar"/>
              </w:rPr>
              <w:t>9</w:t>
            </w:r>
            <w:r>
              <w:rPr>
                <w:rFonts w:hint="eastAsia" w:ascii="宋体" w:hAnsi="宋体" w:cs="宋体"/>
                <w:kern w:val="0"/>
                <w:szCs w:val="21"/>
                <w:lang w:bidi="ar"/>
              </w:rPr>
              <w:t>.温升：LED 显示屏在满负荷工作30min后用测温计测试各可触及点温度，屏体结构的金属部分的温升不超过 25℃，绝缘材料的温升不超过35℃；</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0</w:t>
            </w:r>
            <w:r>
              <w:rPr>
                <w:rFonts w:hint="eastAsia" w:ascii="宋体" w:hAnsi="宋体" w:cs="宋体"/>
                <w:kern w:val="0"/>
                <w:szCs w:val="21"/>
                <w:lang w:bidi="ar"/>
              </w:rPr>
              <w:t>.功耗：峰值功耗：≤700W/m²，平均功耗：≤250W/m²；动态节能：带有智能节电功能，带电黑屏节电功能，开启智能节电功能比没有开启节能45%以上。休眠模式功耗：显示屏黑屏不点亮时，功耗≤70W/㎡；</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1</w:t>
            </w:r>
            <w:r>
              <w:rPr>
                <w:rFonts w:hint="eastAsia" w:ascii="宋体" w:hAnsi="宋体" w:cs="宋体"/>
                <w:kern w:val="0"/>
                <w:szCs w:val="21"/>
                <w:lang w:bidi="ar"/>
              </w:rPr>
              <w:t>.低亮度高灰度：</w:t>
            </w:r>
            <w:r>
              <w:rPr>
                <w:rFonts w:hint="eastAsia" w:ascii="宋体" w:hAnsi="宋体" w:cs="宋体"/>
                <w:szCs w:val="21"/>
              </w:rPr>
              <w:t>支持 EPWM 灰阶控制技术或同等质量和标准技术要求</w:t>
            </w:r>
            <w:r>
              <w:rPr>
                <w:rFonts w:hint="eastAsia" w:ascii="宋体" w:hAnsi="宋体" w:cs="宋体"/>
                <w:kern w:val="0"/>
                <w:szCs w:val="21"/>
                <w:lang w:bidi="ar"/>
              </w:rPr>
              <w:t>提升低灰视觉效果，0-100%亮度时，10-16bits任意灰度设置；</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2</w:t>
            </w:r>
            <w:r>
              <w:rPr>
                <w:rFonts w:hint="eastAsia" w:ascii="宋体" w:hAnsi="宋体" w:cs="宋体"/>
                <w:kern w:val="0"/>
                <w:szCs w:val="21"/>
                <w:lang w:bidi="ar"/>
              </w:rPr>
              <w:t>.对地漏电流：在 1.1 倍额定电源电压下，用泄露电流测试仪测试电源线对金属外框间的漏电流，对地漏电流不大于3.5mA/m</w:t>
            </w:r>
            <w:r>
              <w:rPr>
                <w:rFonts w:hint="eastAsia" w:ascii="宋体" w:hAnsi="宋体" w:cs="宋体"/>
                <w:kern w:val="0"/>
                <w:szCs w:val="21"/>
                <w:vertAlign w:val="superscript"/>
                <w:lang w:bidi="ar"/>
              </w:rPr>
              <w:t>3</w:t>
            </w:r>
            <w:r>
              <w:rPr>
                <w:rFonts w:hint="eastAsia" w:ascii="宋体" w:hAnsi="宋体" w:cs="宋体"/>
                <w:kern w:val="0"/>
                <w:szCs w:val="21"/>
                <w:lang w:bidi="ar"/>
              </w:rPr>
              <w:t>(有效值)；</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3</w:t>
            </w:r>
            <w:r>
              <w:rPr>
                <w:rFonts w:hint="eastAsia" w:ascii="宋体" w:hAnsi="宋体" w:cs="宋体"/>
                <w:kern w:val="0"/>
                <w:szCs w:val="21"/>
                <w:lang w:bidi="ar"/>
              </w:rPr>
              <w:t>.①具有视频降噪、运动补偿、色彩变换等图像处理功能；②具有亮度/对比度度调节、视觉修正等图像调整功能；③LED 显示屏图像无失真现象；④采用抗消隐设计，图像处理具备消鬼影拖尾功能，无“毛毛虫”、“鬼影”跟随；</w:t>
            </w:r>
          </w:p>
          <w:p w14:paraId="0D4A6B4C">
            <w:pPr>
              <w:widowControl/>
              <w:tabs>
                <w:tab w:val="left" w:pos="312"/>
              </w:tabs>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w:t>
            </w:r>
            <w:r>
              <w:rPr>
                <w:rFonts w:ascii="宋体" w:hAnsi="宋体" w:cs="宋体"/>
                <w:kern w:val="0"/>
                <w:szCs w:val="21"/>
                <w:lang w:bidi="ar"/>
              </w:rPr>
              <w:t>4</w:t>
            </w:r>
            <w:r>
              <w:rPr>
                <w:rFonts w:hint="eastAsia" w:ascii="宋体" w:hAnsi="宋体" w:cs="宋体"/>
                <w:kern w:val="0"/>
                <w:szCs w:val="21"/>
                <w:lang w:bidi="ar"/>
              </w:rPr>
              <w:t>.逐点校正功能：支持单点亮度色度校正功能，校正后亮度损失＜10%；</w:t>
            </w:r>
          </w:p>
          <w:p w14:paraId="0902AF74">
            <w:pPr>
              <w:widowControl/>
              <w:tabs>
                <w:tab w:val="left" w:pos="312"/>
              </w:tabs>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w:t>
            </w:r>
            <w:r>
              <w:rPr>
                <w:rFonts w:ascii="宋体" w:hAnsi="宋体" w:cs="宋体"/>
                <w:kern w:val="0"/>
                <w:szCs w:val="21"/>
                <w:lang w:bidi="ar"/>
              </w:rPr>
              <w:t>5</w:t>
            </w:r>
            <w:r>
              <w:rPr>
                <w:rFonts w:hint="eastAsia" w:ascii="宋体" w:hAnsi="宋体" w:cs="宋体"/>
                <w:kern w:val="0"/>
                <w:szCs w:val="21"/>
                <w:lang w:bidi="ar"/>
              </w:rPr>
              <w:t>.监控自检技术：可实现 LED 单点检测、通讯检测、温度检测、电源检测、温度监控等功能；可实现远程监督控制,对可能发生的潜在故障记录日志,并向操作员发出警报信号；</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6</w:t>
            </w:r>
            <w:r>
              <w:rPr>
                <w:rFonts w:hint="eastAsia" w:ascii="宋体" w:hAnsi="宋体" w:cs="宋体"/>
                <w:kern w:val="0"/>
                <w:szCs w:val="21"/>
                <w:lang w:bidi="ar"/>
              </w:rPr>
              <w:t>.亮暗线调节：无肉眼可见的亮线、暗线及拼接色差；</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7</w:t>
            </w:r>
            <w:r>
              <w:rPr>
                <w:rFonts w:hint="eastAsia" w:ascii="宋体" w:hAnsi="宋体" w:cs="宋体"/>
                <w:kern w:val="0"/>
                <w:szCs w:val="21"/>
                <w:lang w:bidi="ar"/>
              </w:rPr>
              <w:t>.蓝光危害：依据标准进行光生物安全及蓝光危害评估检测无危害类在 8h(30000s)曝辐中不造成光化学紫外线危害（ES），并在 1000s（约 16min）内不造成近紫外危害（EUVA)，并在 10000s(约2.8h）内不造成对视网膜蓝光危害(LB）并在10s内不造成对视网膜热危害(LR），并且在 1000s 内不造成对眼睛的红外辐射危害(EIR），测试结果为无危害类；</w:t>
            </w:r>
            <w:r>
              <w:rPr>
                <w:rFonts w:hint="eastAsia" w:ascii="宋体" w:hAnsi="宋体" w:cs="宋体"/>
                <w:kern w:val="0"/>
                <w:szCs w:val="21"/>
                <w:lang w:bidi="ar"/>
              </w:rPr>
              <w:br w:type="textWrapping"/>
            </w:r>
            <w:r>
              <w:rPr>
                <w:rFonts w:ascii="宋体" w:hAnsi="宋体" w:cs="宋体"/>
                <w:kern w:val="0"/>
                <w:szCs w:val="21"/>
                <w:lang w:bidi="ar"/>
              </w:rPr>
              <w:t>18</w:t>
            </w:r>
            <w:r>
              <w:rPr>
                <w:rFonts w:hint="eastAsia" w:ascii="宋体" w:hAnsi="宋体" w:cs="宋体"/>
                <w:kern w:val="0"/>
                <w:szCs w:val="21"/>
                <w:lang w:bidi="ar"/>
              </w:rPr>
              <w:t>.视觉舒适度：满足</w:t>
            </w:r>
            <w:r>
              <w:rPr>
                <w:rFonts w:ascii="宋体" w:hAnsi="宋体"/>
                <w:szCs w:val="21"/>
              </w:rPr>
              <w:t>GB/T 44441-2024</w:t>
            </w:r>
            <w:r>
              <w:rPr>
                <w:rFonts w:hint="eastAsia" w:ascii="宋体" w:hAnsi="宋体"/>
                <w:szCs w:val="21"/>
              </w:rPr>
              <w:t>《LED照明产品视觉健康舒适度测试》或</w:t>
            </w:r>
            <w:r>
              <w:rPr>
                <w:rFonts w:ascii="宋体" w:hAnsi="宋体"/>
                <w:szCs w:val="21"/>
              </w:rPr>
              <w:t xml:space="preserve">GB/T 43979-2024 </w:t>
            </w:r>
            <w:r>
              <w:rPr>
                <w:rFonts w:hint="eastAsia" w:ascii="宋体" w:hAnsi="宋体"/>
                <w:szCs w:val="21"/>
              </w:rPr>
              <w:t>《室内LED显示屏光舒适度评价方法》等国标</w:t>
            </w:r>
            <w:r>
              <w:rPr>
                <w:rFonts w:hint="eastAsia" w:ascii="宋体" w:hAnsi="宋体" w:cs="宋体"/>
                <w:kern w:val="0"/>
                <w:szCs w:val="21"/>
                <w:lang w:bidi="ar"/>
              </w:rPr>
              <w:t>；</w:t>
            </w:r>
            <w:r>
              <w:rPr>
                <w:rFonts w:hint="eastAsia" w:ascii="宋体" w:hAnsi="宋体" w:cs="宋体"/>
                <w:kern w:val="0"/>
                <w:szCs w:val="21"/>
                <w:lang w:bidi="ar"/>
              </w:rPr>
              <w:br w:type="textWrapping"/>
            </w:r>
            <w:r>
              <w:rPr>
                <w:rFonts w:ascii="宋体" w:hAnsi="宋体" w:cs="宋体"/>
                <w:kern w:val="0"/>
                <w:szCs w:val="21"/>
                <w:lang w:bidi="ar"/>
              </w:rPr>
              <w:t>19</w:t>
            </w:r>
            <w:r>
              <w:rPr>
                <w:rFonts w:hint="eastAsia" w:ascii="宋体" w:hAnsi="宋体" w:cs="宋体"/>
                <w:kern w:val="0"/>
                <w:szCs w:val="21"/>
                <w:lang w:bidi="ar"/>
              </w:rPr>
              <w:t>.屏幕调节：通过软件系统，支持使用遥控器调节信号源切换、分辨率、亮度、清晰度、对比度、饱和度、3D启用、矫正、透明度、中英文切换等多种功能；</w:t>
            </w:r>
            <w:r>
              <w:rPr>
                <w:rFonts w:hint="eastAsia" w:ascii="宋体" w:hAnsi="宋体" w:cs="宋体"/>
                <w:kern w:val="0"/>
                <w:szCs w:val="21"/>
                <w:lang w:bidi="ar"/>
              </w:rPr>
              <w:br w:type="textWrapping"/>
            </w:r>
            <w:r>
              <w:rPr>
                <w:rFonts w:hint="eastAsia" w:ascii="宋体" w:hAnsi="宋体" w:cs="宋体"/>
                <w:kern w:val="0"/>
                <w:szCs w:val="21"/>
                <w:lang w:bidi="ar"/>
              </w:rPr>
              <w:t>2</w:t>
            </w:r>
            <w:r>
              <w:rPr>
                <w:rFonts w:ascii="宋体" w:hAnsi="宋体" w:cs="宋体"/>
                <w:kern w:val="0"/>
                <w:szCs w:val="21"/>
                <w:lang w:bidi="ar"/>
              </w:rPr>
              <w:t>0</w:t>
            </w:r>
            <w:r>
              <w:rPr>
                <w:rFonts w:hint="eastAsia" w:ascii="宋体" w:hAnsi="宋体" w:cs="宋体"/>
                <w:kern w:val="0"/>
                <w:szCs w:val="21"/>
                <w:lang w:bidi="ar"/>
              </w:rPr>
              <w:t>.摩尔纹抑制功能：显示屏支持抑制摩尔纹功能；</w:t>
            </w:r>
            <w:r>
              <w:rPr>
                <w:rFonts w:hint="eastAsia" w:ascii="宋体" w:hAnsi="宋体" w:cs="宋体"/>
                <w:kern w:val="0"/>
                <w:szCs w:val="21"/>
                <w:lang w:bidi="ar"/>
              </w:rPr>
              <w:br w:type="textWrapping"/>
            </w:r>
            <w:r>
              <w:rPr>
                <w:rFonts w:hint="eastAsia" w:ascii="宋体" w:hAnsi="宋体" w:cs="宋体"/>
                <w:kern w:val="0"/>
                <w:szCs w:val="21"/>
                <w:lang w:bidi="ar"/>
              </w:rPr>
              <w:t>2</w:t>
            </w:r>
            <w:r>
              <w:rPr>
                <w:rFonts w:ascii="宋体" w:hAnsi="宋体" w:cs="宋体"/>
                <w:kern w:val="0"/>
                <w:szCs w:val="21"/>
                <w:lang w:bidi="ar"/>
              </w:rPr>
              <w:t>1</w:t>
            </w:r>
            <w:r>
              <w:rPr>
                <w:rFonts w:hint="eastAsia" w:ascii="宋体" w:hAnsi="宋体" w:cs="宋体"/>
                <w:kern w:val="0"/>
                <w:szCs w:val="21"/>
                <w:lang w:bidi="ar"/>
              </w:rPr>
              <w:t>.EDID 动态管理：支持任意非标准分辨率信号输入自适应,输出范围内可进行缩放,支持分辨率自动匹配。</w:t>
            </w:r>
          </w:p>
        </w:tc>
        <w:tc>
          <w:tcPr>
            <w:tcW w:w="905" w:type="pct"/>
            <w:vAlign w:val="center"/>
          </w:tcPr>
          <w:p w14:paraId="3D42892C">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4711BC66">
            <w:pPr>
              <w:widowControl/>
              <w:spacing w:line="276" w:lineRule="auto"/>
              <w:jc w:val="center"/>
              <w:rPr>
                <w:rFonts w:ascii="宋体" w:hAnsi="宋体" w:cs="宋体"/>
                <w:szCs w:val="21"/>
              </w:rPr>
            </w:pPr>
            <w:r>
              <w:rPr>
                <w:rFonts w:hint="eastAsia" w:ascii="宋体" w:hAnsi="宋体" w:cs="宋体"/>
                <w:bCs/>
                <w:szCs w:val="21"/>
              </w:rPr>
              <w:t>制造商官方网站截图或产品白皮书或第三方机构检测机构提供的检验报告材料。（如指标要求中有明确证明材料要求，以要求内容为准）</w:t>
            </w:r>
          </w:p>
        </w:tc>
      </w:tr>
      <w:bookmarkEnd w:id="49"/>
      <w:tr w14:paraId="73D2F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Merge w:val="restart"/>
            <w:vAlign w:val="center"/>
          </w:tcPr>
          <w:p w14:paraId="53DAFEFA">
            <w:pPr>
              <w:spacing w:line="276" w:lineRule="auto"/>
              <w:jc w:val="center"/>
              <w:rPr>
                <w:rFonts w:ascii="宋体" w:hAnsi="宋体" w:cs="宋体"/>
                <w:szCs w:val="21"/>
              </w:rPr>
            </w:pPr>
            <w:r>
              <w:rPr>
                <w:rFonts w:ascii="宋体" w:hAnsi="宋体" w:cs="宋体"/>
                <w:szCs w:val="21"/>
              </w:rPr>
              <w:t>2</w:t>
            </w:r>
          </w:p>
        </w:tc>
        <w:tc>
          <w:tcPr>
            <w:tcW w:w="596" w:type="pct"/>
            <w:vMerge w:val="restart"/>
            <w:vAlign w:val="center"/>
          </w:tcPr>
          <w:p w14:paraId="13749B15">
            <w:pPr>
              <w:widowControl/>
              <w:spacing w:line="276" w:lineRule="auto"/>
              <w:jc w:val="center"/>
              <w:textAlignment w:val="center"/>
              <w:rPr>
                <w:rFonts w:ascii="宋体" w:hAnsi="宋体" w:cs="宋体"/>
                <w:szCs w:val="21"/>
              </w:rPr>
            </w:pPr>
            <w:r>
              <w:rPr>
                <w:rFonts w:hint="eastAsia" w:ascii="宋体" w:hAnsi="宋体" w:cs="宋体"/>
                <w:kern w:val="0"/>
                <w:szCs w:val="21"/>
                <w:lang w:bidi="ar"/>
              </w:rPr>
              <w:t>LED环幕全彩显示屏套件</w:t>
            </w:r>
          </w:p>
        </w:tc>
        <w:tc>
          <w:tcPr>
            <w:tcW w:w="373" w:type="pct"/>
            <w:vAlign w:val="center"/>
          </w:tcPr>
          <w:p w14:paraId="4B9FE140">
            <w:pPr>
              <w:widowControl/>
              <w:spacing w:line="276" w:lineRule="auto"/>
              <w:jc w:val="center"/>
              <w:rPr>
                <w:rFonts w:ascii="宋体" w:hAnsi="宋体" w:cs="宋体"/>
                <w:szCs w:val="21"/>
              </w:rPr>
            </w:pPr>
            <w:r>
              <w:rPr>
                <w:rFonts w:hint="eastAsia" w:ascii="宋体" w:hAnsi="宋体" w:cs="宋体"/>
                <w:szCs w:val="21"/>
              </w:rPr>
              <w:t>★</w:t>
            </w:r>
          </w:p>
          <w:p w14:paraId="7B6E3B6F">
            <w:pPr>
              <w:widowControl/>
              <w:spacing w:line="276" w:lineRule="auto"/>
              <w:jc w:val="center"/>
              <w:rPr>
                <w:rFonts w:ascii="宋体" w:hAnsi="宋体" w:cs="宋体"/>
                <w:szCs w:val="21"/>
              </w:rPr>
            </w:pPr>
            <w:r>
              <w:rPr>
                <w:rFonts w:hint="eastAsia" w:ascii="宋体" w:hAnsi="宋体" w:cs="宋体"/>
                <w:snapToGrid w:val="0"/>
                <w:kern w:val="0"/>
                <w:szCs w:val="21"/>
                <w:lang w:val="zh-CN"/>
              </w:rPr>
              <w:t>关键指标</w:t>
            </w:r>
          </w:p>
        </w:tc>
        <w:tc>
          <w:tcPr>
            <w:tcW w:w="2756" w:type="pct"/>
          </w:tcPr>
          <w:p w14:paraId="11A1A303">
            <w:pPr>
              <w:widowControl/>
              <w:numPr>
                <w:ilvl w:val="0"/>
                <w:numId w:val="39"/>
              </w:numPr>
              <w:spacing w:line="276" w:lineRule="auto"/>
              <w:jc w:val="left"/>
              <w:textAlignment w:val="center"/>
              <w:rPr>
                <w:rFonts w:ascii="宋体" w:hAnsi="宋体" w:cs="宋体"/>
                <w:kern w:val="0"/>
                <w:sz w:val="22"/>
                <w:lang w:bidi="ar"/>
              </w:rPr>
            </w:pPr>
            <w:r>
              <w:rPr>
                <w:rFonts w:hint="eastAsia" w:ascii="宋体" w:hAnsi="宋体" w:cs="宋体"/>
                <w:szCs w:val="21"/>
              </w:rPr>
              <w:t>显示屏在点间距 ≤ P1.53的条件下，其总显示尺寸应不小于 7.68m (宽) × 2.56m (高)</w:t>
            </w:r>
            <w:r>
              <w:rPr>
                <w:rFonts w:hint="eastAsia" w:ascii="宋体" w:hAnsi="宋体" w:cs="宋体"/>
                <w:kern w:val="0"/>
                <w:sz w:val="22"/>
                <w:lang w:bidi="ar"/>
              </w:rPr>
              <w:t>；</w:t>
            </w:r>
            <w:r>
              <w:rPr>
                <w:rFonts w:ascii="宋体" w:hAnsi="宋体" w:cs="宋体"/>
                <w:kern w:val="0"/>
                <w:sz w:val="22"/>
                <w:lang w:bidi="ar"/>
              </w:rPr>
              <w:t xml:space="preserve"> </w:t>
            </w:r>
          </w:p>
          <w:p w14:paraId="5956932C">
            <w:pPr>
              <w:widowControl/>
              <w:numPr>
                <w:ilvl w:val="0"/>
                <w:numId w:val="39"/>
              </w:numPr>
              <w:spacing w:line="276" w:lineRule="auto"/>
              <w:jc w:val="left"/>
              <w:textAlignment w:val="center"/>
              <w:rPr>
                <w:rFonts w:ascii="宋体" w:hAnsi="宋体" w:cs="宋体"/>
                <w:szCs w:val="21"/>
              </w:rPr>
            </w:pPr>
            <w:r>
              <w:rPr>
                <w:rFonts w:hint="eastAsia" w:ascii="宋体" w:hAnsi="宋体" w:cs="宋体"/>
                <w:kern w:val="0"/>
                <w:szCs w:val="21"/>
                <w:lang w:bidi="ar"/>
              </w:rPr>
              <w:t>柔性设计：模组可弯曲角度0°~145°，可安装在任意曲面。</w:t>
            </w:r>
            <w:r>
              <w:rPr>
                <w:rFonts w:ascii="宋体" w:hAnsi="宋体" w:cs="宋体"/>
                <w:szCs w:val="21"/>
              </w:rPr>
              <w:t xml:space="preserve"> </w:t>
            </w:r>
          </w:p>
        </w:tc>
        <w:tc>
          <w:tcPr>
            <w:tcW w:w="905" w:type="pct"/>
            <w:vAlign w:val="center"/>
          </w:tcPr>
          <w:p w14:paraId="6AF2A9B9">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有，要求：</w:t>
            </w:r>
            <w:r>
              <w:rPr>
                <w:rFonts w:hint="eastAsia" w:ascii="宋体" w:hAnsi="宋体" w:cs="宋体"/>
                <w:kern w:val="0"/>
                <w:szCs w:val="21"/>
                <w:lang w:bidi="ar"/>
              </w:rPr>
              <w:t>提供具有CMA标识的第三方检测报告复印件。</w:t>
            </w:r>
          </w:p>
        </w:tc>
      </w:tr>
      <w:tr w14:paraId="50BA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Merge w:val="continue"/>
            <w:vAlign w:val="center"/>
          </w:tcPr>
          <w:p w14:paraId="64A6CD07">
            <w:pPr>
              <w:spacing w:line="276" w:lineRule="auto"/>
              <w:jc w:val="center"/>
              <w:rPr>
                <w:rFonts w:ascii="宋体" w:hAnsi="宋体" w:cs="宋体"/>
                <w:szCs w:val="21"/>
              </w:rPr>
            </w:pPr>
          </w:p>
        </w:tc>
        <w:tc>
          <w:tcPr>
            <w:tcW w:w="596" w:type="pct"/>
            <w:vMerge w:val="continue"/>
            <w:vAlign w:val="center"/>
          </w:tcPr>
          <w:p w14:paraId="6E1464D9">
            <w:pPr>
              <w:widowControl/>
              <w:spacing w:line="276" w:lineRule="auto"/>
              <w:jc w:val="center"/>
              <w:textAlignment w:val="center"/>
              <w:rPr>
                <w:rFonts w:ascii="宋体" w:hAnsi="宋体" w:cs="宋体"/>
                <w:szCs w:val="21"/>
              </w:rPr>
            </w:pPr>
          </w:p>
        </w:tc>
        <w:tc>
          <w:tcPr>
            <w:tcW w:w="373" w:type="pct"/>
            <w:vAlign w:val="center"/>
          </w:tcPr>
          <w:p w14:paraId="1F6DDAD6">
            <w:pPr>
              <w:widowControl/>
              <w:spacing w:line="276" w:lineRule="auto"/>
              <w:jc w:val="center"/>
              <w:rPr>
                <w:rFonts w:ascii="宋体" w:hAnsi="宋体" w:cs="宋体"/>
                <w:szCs w:val="21"/>
              </w:rPr>
            </w:pPr>
            <w:r>
              <w:rPr>
                <w:rFonts w:hint="eastAsia" w:ascii="宋体" w:hAnsi="宋体" w:cs="宋体"/>
                <w:snapToGrid w:val="0"/>
                <w:kern w:val="0"/>
                <w:szCs w:val="21"/>
              </w:rPr>
              <w:t>#重要指标</w:t>
            </w:r>
          </w:p>
        </w:tc>
        <w:tc>
          <w:tcPr>
            <w:tcW w:w="2756" w:type="pct"/>
          </w:tcPr>
          <w:p w14:paraId="380EDEFC">
            <w:pPr>
              <w:widowControl/>
              <w:spacing w:line="276" w:lineRule="auto"/>
              <w:jc w:val="left"/>
              <w:textAlignment w:val="center"/>
              <w:rPr>
                <w:rFonts w:ascii="宋体" w:hAnsi="宋体" w:cs="宋体"/>
                <w:kern w:val="0"/>
                <w:szCs w:val="21"/>
                <w:lang w:bidi="ar"/>
              </w:rPr>
            </w:pPr>
            <w:r>
              <w:rPr>
                <w:rFonts w:ascii="宋体" w:hAnsi="宋体" w:cs="宋体"/>
                <w:kern w:val="0"/>
                <w:szCs w:val="21"/>
                <w:lang w:bidi="ar"/>
              </w:rPr>
              <w:t>1</w:t>
            </w:r>
            <w:r>
              <w:rPr>
                <w:rFonts w:hint="eastAsia" w:ascii="宋体" w:hAnsi="宋体" w:cs="宋体"/>
                <w:kern w:val="0"/>
                <w:szCs w:val="21"/>
                <w:lang w:bidi="ar"/>
              </w:rPr>
              <w:t>.维护方式：产品支持前后双向维护；</w:t>
            </w:r>
            <w:r>
              <w:rPr>
                <w:rFonts w:hint="eastAsia" w:ascii="宋体" w:hAnsi="宋体"/>
              </w:rPr>
              <w:t>（</w:t>
            </w:r>
            <w:r>
              <w:rPr>
                <w:rFonts w:hint="eastAsia" w:ascii="宋体" w:hAnsi="宋体" w:cs="宋体"/>
                <w:kern w:val="0"/>
                <w:szCs w:val="21"/>
                <w:lang w:bidi="ar"/>
              </w:rPr>
              <w:t>提供具有CMA标识的第三方检测报告复印件</w:t>
            </w:r>
            <w:r>
              <w:rPr>
                <w:rFonts w:hint="eastAsia" w:ascii="宋体" w:hAnsi="宋体"/>
              </w:rPr>
              <w:t>）</w:t>
            </w:r>
            <w:r>
              <w:rPr>
                <w:rFonts w:hint="eastAsia" w:ascii="宋体" w:hAnsi="宋体" w:cs="宋体"/>
                <w:kern w:val="0"/>
                <w:szCs w:val="21"/>
                <w:lang w:bidi="ar"/>
              </w:rPr>
              <w:br w:type="textWrapping"/>
            </w:r>
            <w:r>
              <w:rPr>
                <w:rFonts w:ascii="宋体" w:hAnsi="宋体" w:cs="宋体"/>
                <w:kern w:val="0"/>
                <w:szCs w:val="21"/>
                <w:lang w:bidi="ar"/>
              </w:rPr>
              <w:t>2</w:t>
            </w:r>
            <w:r>
              <w:rPr>
                <w:rFonts w:hint="eastAsia" w:ascii="宋体" w:hAnsi="宋体" w:cs="宋体"/>
                <w:kern w:val="0"/>
                <w:szCs w:val="21"/>
                <w:lang w:bidi="ar"/>
              </w:rPr>
              <w:t>.PCB 电路设计：</w:t>
            </w:r>
            <w:r>
              <w:rPr>
                <w:rFonts w:hint="eastAsia" w:ascii="宋体" w:hAnsi="宋体" w:cs="宋体"/>
                <w:szCs w:val="21"/>
              </w:rPr>
              <w:t>PCB采用 FR-4 材质或其他性能相当或更优的材料</w:t>
            </w:r>
            <w:r>
              <w:rPr>
                <w:rFonts w:hint="eastAsia" w:ascii="宋体" w:hAnsi="宋体" w:cs="宋体"/>
                <w:kern w:val="0"/>
                <w:szCs w:val="21"/>
                <w:lang w:bidi="ar"/>
              </w:rPr>
              <w:t>，灯驱合一，电路采用多层设计符合CQC</w:t>
            </w:r>
            <w:r>
              <w:rPr>
                <w:rFonts w:ascii="宋体" w:hAnsi="宋体" w:cs="宋体"/>
                <w:kern w:val="0"/>
                <w:szCs w:val="21"/>
                <w:lang w:bidi="ar"/>
              </w:rPr>
              <w:t xml:space="preserve"> </w:t>
            </w:r>
            <w:r>
              <w:rPr>
                <w:rFonts w:hint="eastAsia" w:ascii="宋体" w:hAnsi="宋体" w:cs="宋体"/>
                <w:kern w:val="0"/>
                <w:szCs w:val="21"/>
                <w:lang w:bidi="ar"/>
              </w:rPr>
              <w:t>13-471301-2018；</w:t>
            </w:r>
            <w:r>
              <w:rPr>
                <w:rFonts w:hint="eastAsia" w:ascii="宋体" w:hAnsi="宋体" w:cs="宋体"/>
                <w:kern w:val="0"/>
                <w:szCs w:val="21"/>
                <w:lang w:bidi="ar"/>
              </w:rPr>
              <w:br w:type="textWrapping"/>
            </w:r>
            <w:r>
              <w:rPr>
                <w:rFonts w:ascii="宋体" w:hAnsi="宋体" w:cs="宋体"/>
                <w:kern w:val="0"/>
                <w:szCs w:val="21"/>
                <w:lang w:bidi="ar"/>
              </w:rPr>
              <w:t>3</w:t>
            </w:r>
            <w:r>
              <w:rPr>
                <w:rFonts w:hint="eastAsia" w:ascii="宋体" w:hAnsi="宋体" w:cs="宋体"/>
                <w:kern w:val="0"/>
                <w:szCs w:val="21"/>
                <w:lang w:bidi="ar"/>
              </w:rPr>
              <w:t>.显示屏亮度：≥600cd/㎡；</w:t>
            </w:r>
            <w:r>
              <w:rPr>
                <w:rFonts w:hint="eastAsia" w:ascii="宋体" w:hAnsi="宋体"/>
              </w:rPr>
              <w:t>（</w:t>
            </w:r>
            <w:r>
              <w:rPr>
                <w:rFonts w:hint="eastAsia" w:ascii="宋体" w:hAnsi="宋体" w:cs="宋体"/>
                <w:kern w:val="0"/>
                <w:szCs w:val="21"/>
                <w:lang w:bidi="ar"/>
              </w:rPr>
              <w:t>提供具有CMA标识的第三方检测报告复印件</w:t>
            </w:r>
            <w:r>
              <w:rPr>
                <w:rFonts w:hint="eastAsia" w:ascii="宋体" w:hAnsi="宋体"/>
              </w:rPr>
              <w:t>）</w:t>
            </w:r>
            <w:r>
              <w:rPr>
                <w:rFonts w:hint="eastAsia" w:ascii="宋体" w:hAnsi="宋体" w:cs="宋体"/>
                <w:kern w:val="0"/>
                <w:szCs w:val="21"/>
                <w:lang w:bidi="ar"/>
              </w:rPr>
              <w:br w:type="textWrapping"/>
            </w:r>
            <w:r>
              <w:rPr>
                <w:rFonts w:ascii="宋体" w:hAnsi="宋体" w:cs="宋体"/>
                <w:kern w:val="0"/>
                <w:szCs w:val="21"/>
                <w:lang w:bidi="ar"/>
              </w:rPr>
              <w:t>4</w:t>
            </w:r>
            <w:r>
              <w:rPr>
                <w:rFonts w:hint="eastAsia" w:ascii="宋体" w:hAnsi="宋体" w:cs="宋体"/>
                <w:kern w:val="0"/>
                <w:szCs w:val="21"/>
                <w:lang w:bidi="ar"/>
              </w:rPr>
              <w:t>.对比度：≥9000:1；换帧频率：支持50/60Hz，支持3D显示；</w:t>
            </w:r>
            <w:r>
              <w:rPr>
                <w:rFonts w:hint="eastAsia" w:ascii="宋体" w:hAnsi="宋体" w:cs="宋体"/>
                <w:kern w:val="0"/>
                <w:szCs w:val="21"/>
                <w:lang w:bidi="ar"/>
              </w:rPr>
              <w:br w:type="textWrapping"/>
            </w:r>
            <w:r>
              <w:rPr>
                <w:rFonts w:ascii="宋体" w:hAnsi="宋体" w:cs="宋体"/>
                <w:kern w:val="0"/>
                <w:szCs w:val="21"/>
                <w:lang w:bidi="ar"/>
              </w:rPr>
              <w:t>5</w:t>
            </w:r>
            <w:r>
              <w:rPr>
                <w:rFonts w:hint="eastAsia" w:ascii="宋体" w:hAnsi="宋体" w:cs="宋体"/>
                <w:kern w:val="0"/>
                <w:szCs w:val="21"/>
                <w:lang w:bidi="ar"/>
              </w:rPr>
              <w:t>.观看视角：水平视角≥160°，垂直视角≥160°；</w:t>
            </w:r>
            <w:r>
              <w:rPr>
                <w:rFonts w:hint="eastAsia" w:ascii="宋体" w:hAnsi="宋体" w:cs="宋体"/>
                <w:kern w:val="0"/>
                <w:szCs w:val="21"/>
                <w:lang w:bidi="ar"/>
              </w:rPr>
              <w:br w:type="textWrapping"/>
            </w:r>
            <w:r>
              <w:rPr>
                <w:rFonts w:ascii="宋体" w:hAnsi="宋体" w:cs="宋体"/>
                <w:kern w:val="0"/>
                <w:szCs w:val="21"/>
                <w:lang w:bidi="ar"/>
              </w:rPr>
              <w:t>6</w:t>
            </w:r>
            <w:r>
              <w:rPr>
                <w:rFonts w:hint="eastAsia" w:ascii="宋体" w:hAnsi="宋体" w:cs="宋体"/>
                <w:kern w:val="0"/>
                <w:szCs w:val="21"/>
                <w:lang w:bidi="ar"/>
              </w:rPr>
              <w:t>.亮度均匀性：≥99%；</w:t>
            </w:r>
            <w:r>
              <w:rPr>
                <w:rFonts w:hint="eastAsia" w:ascii="宋体" w:hAnsi="宋体" w:cs="宋体"/>
                <w:kern w:val="0"/>
                <w:szCs w:val="21"/>
                <w:lang w:bidi="ar"/>
              </w:rPr>
              <w:br w:type="textWrapping"/>
            </w:r>
            <w:r>
              <w:rPr>
                <w:rFonts w:ascii="宋体" w:hAnsi="宋体" w:cs="宋体"/>
                <w:kern w:val="0"/>
                <w:szCs w:val="21"/>
                <w:lang w:bidi="ar"/>
              </w:rPr>
              <w:t>7</w:t>
            </w:r>
            <w:r>
              <w:rPr>
                <w:rFonts w:hint="eastAsia" w:ascii="宋体" w:hAnsi="宋体" w:cs="宋体"/>
                <w:kern w:val="0"/>
                <w:szCs w:val="21"/>
                <w:lang w:bidi="ar"/>
              </w:rPr>
              <w:t>.色温：2500K-12000K 可调；色温为 6500K 时，100%,75%,50%，25%四档电平白场调节色温误差≤100K；</w:t>
            </w:r>
            <w:r>
              <w:rPr>
                <w:rFonts w:hint="eastAsia" w:ascii="宋体" w:hAnsi="宋体" w:cs="宋体"/>
                <w:kern w:val="0"/>
                <w:szCs w:val="21"/>
                <w:lang w:bidi="ar"/>
              </w:rPr>
              <w:br w:type="textWrapping"/>
            </w:r>
            <w:r>
              <w:rPr>
                <w:rFonts w:ascii="宋体" w:hAnsi="宋体" w:cs="宋体"/>
                <w:kern w:val="0"/>
                <w:szCs w:val="21"/>
                <w:lang w:bidi="ar"/>
              </w:rPr>
              <w:t>8</w:t>
            </w:r>
            <w:r>
              <w:rPr>
                <w:rFonts w:hint="eastAsia" w:ascii="宋体" w:hAnsi="宋体" w:cs="宋体"/>
                <w:kern w:val="0"/>
                <w:szCs w:val="21"/>
                <w:lang w:bidi="ar"/>
              </w:rPr>
              <w:t>.箱体平整度≤0.15mm，箱体间缝隙≤0.1mm，箱体间、模组间相对错位值≤1%；</w:t>
            </w:r>
            <w:r>
              <w:rPr>
                <w:rFonts w:hint="eastAsia" w:ascii="宋体" w:hAnsi="宋体" w:cs="宋体"/>
                <w:kern w:val="0"/>
                <w:szCs w:val="21"/>
                <w:lang w:bidi="ar"/>
              </w:rPr>
              <w:br w:type="textWrapping"/>
            </w:r>
            <w:r>
              <w:rPr>
                <w:rFonts w:ascii="宋体" w:hAnsi="宋体" w:cs="宋体"/>
                <w:kern w:val="0"/>
                <w:szCs w:val="21"/>
                <w:lang w:bidi="ar"/>
              </w:rPr>
              <w:t>9</w:t>
            </w:r>
            <w:r>
              <w:rPr>
                <w:rFonts w:hint="eastAsia" w:ascii="宋体" w:hAnsi="宋体" w:cs="宋体"/>
                <w:kern w:val="0"/>
                <w:szCs w:val="21"/>
                <w:lang w:bidi="ar"/>
              </w:rPr>
              <w:t>.温升：LED 显示屏在满负荷工作30min后用测温计测试各可触及点温度，屏体结构的金属部分的温升不超过 25℃，绝缘材料的温升不超过35℃；</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0</w:t>
            </w:r>
            <w:r>
              <w:rPr>
                <w:rFonts w:hint="eastAsia" w:ascii="宋体" w:hAnsi="宋体" w:cs="宋体"/>
                <w:kern w:val="0"/>
                <w:szCs w:val="21"/>
                <w:lang w:bidi="ar"/>
              </w:rPr>
              <w:t>.功耗：峰值功耗：≤700W/m²，平均功耗：≤250W/m²；动态节能：带有智能节电功能，带电黑屏节电功能，开启智能节电功能比没有开启节能45%以上。休眠模式功耗：显示屏黑屏不点亮时，功耗≤70W/㎡；</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1</w:t>
            </w:r>
            <w:r>
              <w:rPr>
                <w:rFonts w:hint="eastAsia" w:ascii="宋体" w:hAnsi="宋体" w:cs="宋体"/>
                <w:kern w:val="0"/>
                <w:szCs w:val="21"/>
                <w:lang w:bidi="ar"/>
              </w:rPr>
              <w:t>.低亮度高灰度：</w:t>
            </w:r>
            <w:r>
              <w:rPr>
                <w:rFonts w:hint="eastAsia" w:ascii="宋体" w:hAnsi="宋体" w:cs="宋体"/>
                <w:szCs w:val="21"/>
              </w:rPr>
              <w:t>支持 EPWM 灰阶控制技术或同等质量和标准技术要求</w:t>
            </w:r>
            <w:r>
              <w:rPr>
                <w:rFonts w:hint="eastAsia" w:ascii="宋体" w:hAnsi="宋体" w:cs="宋体"/>
                <w:kern w:val="0"/>
                <w:szCs w:val="21"/>
                <w:lang w:bidi="ar"/>
              </w:rPr>
              <w:t>提升低灰视觉效果，0-100%亮度时，10-16bits任意灰度设置；</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2</w:t>
            </w:r>
            <w:r>
              <w:rPr>
                <w:rFonts w:hint="eastAsia" w:ascii="宋体" w:hAnsi="宋体" w:cs="宋体"/>
                <w:kern w:val="0"/>
                <w:szCs w:val="21"/>
                <w:lang w:bidi="ar"/>
              </w:rPr>
              <w:t>.对地漏电流：在 1.1 倍额定电源电压下，用泄露电流测试仪测试电源线对金属外框间的漏电流，对地漏电流不大于3.5mA/m</w:t>
            </w:r>
            <w:r>
              <w:rPr>
                <w:rFonts w:hint="eastAsia" w:ascii="宋体" w:hAnsi="宋体" w:cs="宋体"/>
                <w:kern w:val="0"/>
                <w:szCs w:val="21"/>
                <w:vertAlign w:val="superscript"/>
                <w:lang w:bidi="ar"/>
              </w:rPr>
              <w:t>3</w:t>
            </w:r>
            <w:r>
              <w:rPr>
                <w:rFonts w:hint="eastAsia" w:ascii="宋体" w:hAnsi="宋体" w:cs="宋体"/>
                <w:kern w:val="0"/>
                <w:szCs w:val="21"/>
                <w:lang w:bidi="ar"/>
              </w:rPr>
              <w:t>(有效值)；</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3</w:t>
            </w:r>
            <w:r>
              <w:rPr>
                <w:rFonts w:hint="eastAsia" w:ascii="宋体" w:hAnsi="宋体" w:cs="宋体"/>
                <w:kern w:val="0"/>
                <w:szCs w:val="21"/>
                <w:lang w:bidi="ar"/>
              </w:rPr>
              <w:t>.①具有视频降噪、运动补偿、色彩变换等图像处理功能；②具有亮度/对比度度调节、视觉修正等图像调整功能；③LED 显示屏图像无失真现象；④采用抗消隐设计，图像处理具备消鬼影拖尾功能，无“毛毛虫”、“鬼影”跟随；</w:t>
            </w:r>
          </w:p>
          <w:p w14:paraId="2D8D2916">
            <w:pPr>
              <w:widowControl/>
              <w:tabs>
                <w:tab w:val="left" w:pos="312"/>
              </w:tabs>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w:t>
            </w:r>
            <w:r>
              <w:rPr>
                <w:rFonts w:ascii="宋体" w:hAnsi="宋体" w:cs="宋体"/>
                <w:kern w:val="0"/>
                <w:szCs w:val="21"/>
                <w:lang w:bidi="ar"/>
              </w:rPr>
              <w:t>4</w:t>
            </w:r>
            <w:r>
              <w:rPr>
                <w:rFonts w:hint="eastAsia" w:ascii="宋体" w:hAnsi="宋体" w:cs="宋体"/>
                <w:kern w:val="0"/>
                <w:szCs w:val="21"/>
                <w:lang w:bidi="ar"/>
              </w:rPr>
              <w:t>.逐点校正功能：支持单点亮度色度校正功能，校正后亮度损失＜10%；</w:t>
            </w:r>
          </w:p>
          <w:p w14:paraId="5470FCE9">
            <w:pPr>
              <w:widowControl/>
              <w:spacing w:line="276" w:lineRule="auto"/>
              <w:jc w:val="left"/>
              <w:textAlignment w:val="center"/>
              <w:rPr>
                <w:rFonts w:ascii="宋体" w:hAnsi="宋体" w:cs="宋体"/>
                <w:szCs w:val="21"/>
              </w:rPr>
            </w:pPr>
            <w:r>
              <w:rPr>
                <w:rFonts w:hint="eastAsia" w:ascii="宋体" w:hAnsi="宋体" w:cs="宋体"/>
                <w:kern w:val="0"/>
                <w:szCs w:val="21"/>
                <w:lang w:bidi="ar"/>
              </w:rPr>
              <w:t>1</w:t>
            </w:r>
            <w:r>
              <w:rPr>
                <w:rFonts w:ascii="宋体" w:hAnsi="宋体" w:cs="宋体"/>
                <w:kern w:val="0"/>
                <w:szCs w:val="21"/>
                <w:lang w:bidi="ar"/>
              </w:rPr>
              <w:t>5</w:t>
            </w:r>
            <w:r>
              <w:rPr>
                <w:rFonts w:hint="eastAsia" w:ascii="宋体" w:hAnsi="宋体" w:cs="宋体"/>
                <w:kern w:val="0"/>
                <w:szCs w:val="21"/>
                <w:lang w:bidi="ar"/>
              </w:rPr>
              <w:t>.监控自检技术：可实现 LED 单点检测、通讯检测、温度检测、电源检测、温度监控等功能；可实现远程监督控制,对可能发生的潜在故障记录日志,并向操作员发出警报信号；</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6</w:t>
            </w:r>
            <w:r>
              <w:rPr>
                <w:rFonts w:hint="eastAsia" w:ascii="宋体" w:hAnsi="宋体" w:cs="宋体"/>
                <w:kern w:val="0"/>
                <w:szCs w:val="21"/>
                <w:lang w:bidi="ar"/>
              </w:rPr>
              <w:t>.亮暗线调节：无肉眼可见的亮线、暗线及拼接色差；</w:t>
            </w:r>
            <w:r>
              <w:rPr>
                <w:rFonts w:hint="eastAsia" w:ascii="宋体" w:hAnsi="宋体" w:cs="宋体"/>
                <w:kern w:val="0"/>
                <w:szCs w:val="21"/>
                <w:lang w:bidi="ar"/>
              </w:rPr>
              <w:br w:type="textWrapping"/>
            </w:r>
            <w:r>
              <w:rPr>
                <w:rFonts w:hint="eastAsia" w:ascii="宋体" w:hAnsi="宋体" w:cs="宋体"/>
                <w:kern w:val="0"/>
                <w:szCs w:val="21"/>
                <w:lang w:bidi="ar"/>
              </w:rPr>
              <w:t>1</w:t>
            </w:r>
            <w:r>
              <w:rPr>
                <w:rFonts w:ascii="宋体" w:hAnsi="宋体" w:cs="宋体"/>
                <w:kern w:val="0"/>
                <w:szCs w:val="21"/>
                <w:lang w:bidi="ar"/>
              </w:rPr>
              <w:t>7</w:t>
            </w:r>
            <w:r>
              <w:rPr>
                <w:rFonts w:hint="eastAsia" w:ascii="宋体" w:hAnsi="宋体" w:cs="宋体"/>
                <w:kern w:val="0"/>
                <w:szCs w:val="21"/>
                <w:lang w:bidi="ar"/>
              </w:rPr>
              <w:t>.蓝光危害：依据标准进行光生物安全及蓝光危害评估检测无危害类在 8h(30000s)曝辐中不造成光化学紫外线危害（ES），并在 1000s（约 16min）内不造成近紫外危害（EUVA)，并在 10000s(约2.8h）内不造成对视网膜蓝光危害(LB）并在10s内不造成对视网膜热危害(LR），并且在 1000s 内不造成对眼睛的红外辐射危害(EIR），测试结果为无危害类；</w:t>
            </w:r>
            <w:r>
              <w:rPr>
                <w:rFonts w:hint="eastAsia" w:ascii="宋体" w:hAnsi="宋体" w:cs="宋体"/>
                <w:kern w:val="0"/>
                <w:szCs w:val="21"/>
                <w:lang w:bidi="ar"/>
              </w:rPr>
              <w:br w:type="textWrapping"/>
            </w:r>
            <w:r>
              <w:rPr>
                <w:rFonts w:ascii="宋体" w:hAnsi="宋体" w:cs="宋体"/>
                <w:kern w:val="0"/>
                <w:szCs w:val="21"/>
                <w:lang w:bidi="ar"/>
              </w:rPr>
              <w:t>18</w:t>
            </w:r>
            <w:r>
              <w:rPr>
                <w:rFonts w:hint="eastAsia" w:ascii="宋体" w:hAnsi="宋体" w:cs="宋体"/>
                <w:kern w:val="0"/>
                <w:szCs w:val="21"/>
                <w:lang w:bidi="ar"/>
              </w:rPr>
              <w:t>.视觉舒适度：满足</w:t>
            </w:r>
            <w:r>
              <w:rPr>
                <w:rFonts w:ascii="宋体" w:hAnsi="宋体"/>
                <w:szCs w:val="21"/>
              </w:rPr>
              <w:t>GB/T 44441-2024</w:t>
            </w:r>
            <w:r>
              <w:rPr>
                <w:rFonts w:hint="eastAsia" w:ascii="宋体" w:hAnsi="宋体"/>
                <w:szCs w:val="21"/>
              </w:rPr>
              <w:t>《LED照明产品视觉健康舒适度测试》或</w:t>
            </w:r>
            <w:r>
              <w:rPr>
                <w:rFonts w:ascii="宋体" w:hAnsi="宋体"/>
                <w:szCs w:val="21"/>
              </w:rPr>
              <w:t xml:space="preserve">GB/T 43979-2024 </w:t>
            </w:r>
            <w:r>
              <w:rPr>
                <w:rFonts w:hint="eastAsia" w:ascii="宋体" w:hAnsi="宋体"/>
                <w:szCs w:val="21"/>
              </w:rPr>
              <w:t>《室内LED显示屏光舒适度评价方法》等国标</w:t>
            </w:r>
            <w:r>
              <w:rPr>
                <w:rFonts w:hint="eastAsia" w:ascii="宋体" w:hAnsi="宋体" w:cs="宋体"/>
                <w:kern w:val="0"/>
                <w:szCs w:val="21"/>
                <w:lang w:bidi="ar"/>
              </w:rPr>
              <w:t>；</w:t>
            </w:r>
            <w:r>
              <w:rPr>
                <w:rFonts w:hint="eastAsia" w:ascii="宋体" w:hAnsi="宋体" w:cs="宋体"/>
                <w:kern w:val="0"/>
                <w:szCs w:val="21"/>
                <w:lang w:bidi="ar"/>
              </w:rPr>
              <w:br w:type="textWrapping"/>
            </w:r>
            <w:r>
              <w:rPr>
                <w:rFonts w:ascii="宋体" w:hAnsi="宋体" w:cs="宋体"/>
                <w:kern w:val="0"/>
                <w:szCs w:val="21"/>
                <w:lang w:bidi="ar"/>
              </w:rPr>
              <w:t>19</w:t>
            </w:r>
            <w:r>
              <w:rPr>
                <w:rFonts w:hint="eastAsia" w:ascii="宋体" w:hAnsi="宋体" w:cs="宋体"/>
                <w:kern w:val="0"/>
                <w:szCs w:val="21"/>
                <w:lang w:bidi="ar"/>
              </w:rPr>
              <w:t>.屏幕调节：通过软件系统，支持使用遥控器调节信号源切换、分辨率、亮度、清晰度、对比度、饱和度、3D启用、矫正、透明度、中英文切换等多种功能；</w:t>
            </w:r>
            <w:r>
              <w:rPr>
                <w:rFonts w:hint="eastAsia" w:ascii="宋体" w:hAnsi="宋体" w:cs="宋体"/>
                <w:kern w:val="0"/>
                <w:szCs w:val="21"/>
                <w:lang w:bidi="ar"/>
              </w:rPr>
              <w:br w:type="textWrapping"/>
            </w:r>
            <w:r>
              <w:rPr>
                <w:rFonts w:hint="eastAsia" w:ascii="宋体" w:hAnsi="宋体" w:cs="宋体"/>
                <w:kern w:val="0"/>
                <w:szCs w:val="21"/>
                <w:lang w:bidi="ar"/>
              </w:rPr>
              <w:t>2</w:t>
            </w:r>
            <w:r>
              <w:rPr>
                <w:rFonts w:ascii="宋体" w:hAnsi="宋体" w:cs="宋体"/>
                <w:kern w:val="0"/>
                <w:szCs w:val="21"/>
                <w:lang w:bidi="ar"/>
              </w:rPr>
              <w:t>0</w:t>
            </w:r>
            <w:r>
              <w:rPr>
                <w:rFonts w:hint="eastAsia" w:ascii="宋体" w:hAnsi="宋体" w:cs="宋体"/>
                <w:kern w:val="0"/>
                <w:szCs w:val="21"/>
                <w:lang w:bidi="ar"/>
              </w:rPr>
              <w:t>.摩尔纹抑制功能：显示屏支持抑制摩尔纹功能；</w:t>
            </w:r>
            <w:r>
              <w:rPr>
                <w:rFonts w:hint="eastAsia" w:ascii="宋体" w:hAnsi="宋体" w:cs="宋体"/>
                <w:kern w:val="0"/>
                <w:szCs w:val="21"/>
                <w:lang w:bidi="ar"/>
              </w:rPr>
              <w:br w:type="textWrapping"/>
            </w:r>
            <w:r>
              <w:rPr>
                <w:rFonts w:hint="eastAsia" w:ascii="宋体" w:hAnsi="宋体" w:cs="宋体"/>
                <w:kern w:val="0"/>
                <w:szCs w:val="21"/>
                <w:lang w:bidi="ar"/>
              </w:rPr>
              <w:t>2</w:t>
            </w:r>
            <w:r>
              <w:rPr>
                <w:rFonts w:ascii="宋体" w:hAnsi="宋体" w:cs="宋体"/>
                <w:kern w:val="0"/>
                <w:szCs w:val="21"/>
                <w:lang w:bidi="ar"/>
              </w:rPr>
              <w:t>1</w:t>
            </w:r>
            <w:r>
              <w:rPr>
                <w:rFonts w:hint="eastAsia" w:ascii="宋体" w:hAnsi="宋体" w:cs="宋体"/>
                <w:kern w:val="0"/>
                <w:szCs w:val="21"/>
                <w:lang w:bidi="ar"/>
              </w:rPr>
              <w:t>.EDID 动态管理：支持任意非标准分辨率信号输入自适应,输出范围内可进行缩放,支持分辨率自动匹配。</w:t>
            </w:r>
          </w:p>
        </w:tc>
        <w:tc>
          <w:tcPr>
            <w:tcW w:w="905" w:type="pct"/>
            <w:vAlign w:val="center"/>
          </w:tcPr>
          <w:p w14:paraId="460393F4">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0DA36731">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制造商官方网站截图或产品白皮书或第三方机构检测机构提供的检验报告材料。（如指标要求中有明确证明材料要求，以要求内容为准）</w:t>
            </w:r>
          </w:p>
        </w:tc>
      </w:tr>
      <w:tr w14:paraId="3223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190E3A93">
            <w:pPr>
              <w:spacing w:line="276" w:lineRule="auto"/>
              <w:jc w:val="center"/>
              <w:rPr>
                <w:rFonts w:ascii="宋体" w:hAnsi="宋体" w:cs="宋体"/>
                <w:szCs w:val="21"/>
              </w:rPr>
            </w:pPr>
            <w:r>
              <w:rPr>
                <w:rFonts w:ascii="宋体" w:hAnsi="宋体" w:cs="宋体"/>
                <w:szCs w:val="21"/>
              </w:rPr>
              <w:t>3</w:t>
            </w:r>
          </w:p>
        </w:tc>
        <w:tc>
          <w:tcPr>
            <w:tcW w:w="596" w:type="pct"/>
            <w:vAlign w:val="center"/>
          </w:tcPr>
          <w:p w14:paraId="51E9CFB9">
            <w:pPr>
              <w:widowControl/>
              <w:spacing w:line="276" w:lineRule="auto"/>
              <w:jc w:val="center"/>
              <w:textAlignment w:val="center"/>
              <w:rPr>
                <w:rFonts w:ascii="宋体" w:hAnsi="宋体" w:cs="宋体"/>
                <w:kern w:val="0"/>
                <w:szCs w:val="21"/>
                <w:lang w:bidi="ar"/>
              </w:rPr>
            </w:pPr>
            <w:r>
              <w:rPr>
                <w:rFonts w:hint="eastAsia" w:ascii="宋体" w:hAnsi="宋体" w:cs="宋体"/>
                <w:kern w:val="0"/>
                <w:szCs w:val="21"/>
                <w:lang w:bidi="ar"/>
              </w:rPr>
              <w:t>32英寸智能触控一体机</w:t>
            </w:r>
          </w:p>
        </w:tc>
        <w:tc>
          <w:tcPr>
            <w:tcW w:w="373" w:type="pct"/>
            <w:vAlign w:val="center"/>
          </w:tcPr>
          <w:p w14:paraId="11D2E080">
            <w:pPr>
              <w:widowControl/>
              <w:spacing w:line="276" w:lineRule="auto"/>
              <w:jc w:val="center"/>
              <w:rPr>
                <w:rFonts w:ascii="宋体" w:hAnsi="宋体" w:cs="宋体"/>
                <w:kern w:val="0"/>
                <w:szCs w:val="21"/>
                <w:lang w:bidi="ar"/>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750EC09B">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w:t>
            </w:r>
            <w:r>
              <w:rPr>
                <w:rFonts w:ascii="宋体" w:hAnsi="宋体" w:cs="宋体"/>
                <w:kern w:val="0"/>
                <w:szCs w:val="21"/>
                <w:lang w:bidi="ar"/>
              </w:rPr>
              <w:t>.</w:t>
            </w:r>
            <w:r>
              <w:rPr>
                <w:rFonts w:hint="eastAsia" w:ascii="宋体" w:hAnsi="宋体" w:cs="宋体"/>
                <w:kern w:val="0"/>
                <w:szCs w:val="21"/>
                <w:lang w:bidi="ar"/>
              </w:rPr>
              <w:t>数量：≥8台；尺寸：≥32英寸。</w:t>
            </w:r>
            <w:r>
              <w:rPr>
                <w:rFonts w:hint="eastAsia" w:ascii="宋体" w:hAnsi="宋体" w:cs="宋体"/>
                <w:kern w:val="0"/>
                <w:szCs w:val="21"/>
                <w:lang w:bidi="ar"/>
              </w:rPr>
              <w:br w:type="textWrapping"/>
            </w:r>
            <w:r>
              <w:rPr>
                <w:rFonts w:hint="eastAsia" w:ascii="宋体" w:hAnsi="宋体" w:cs="宋体"/>
                <w:kern w:val="0"/>
                <w:szCs w:val="21"/>
                <w:lang w:bidi="ar"/>
              </w:rPr>
              <w:t>2.分辨率</w:t>
            </w:r>
            <w:r>
              <w:rPr>
                <w:rFonts w:hint="eastAsia" w:ascii="MS Gothic" w:hAnsi="MS Gothic" w:eastAsia="MS Gothic" w:cs="MS Gothic"/>
                <w:kern w:val="0"/>
                <w:szCs w:val="21"/>
                <w:lang w:bidi="ar"/>
              </w:rPr>
              <w:t>​</w:t>
            </w:r>
            <w:r>
              <w:rPr>
                <w:rFonts w:hint="eastAsia" w:ascii="宋体" w:hAnsi="宋体" w:cs="宋体"/>
                <w:kern w:val="0"/>
                <w:szCs w:val="21"/>
                <w:lang w:bidi="ar"/>
              </w:rPr>
              <w:t>：至少达到全高清（1920×1080）。</w:t>
            </w:r>
            <w:r>
              <w:rPr>
                <w:rFonts w:hint="eastAsia" w:ascii="宋体" w:hAnsi="宋体" w:cs="宋体"/>
                <w:kern w:val="0"/>
                <w:szCs w:val="21"/>
                <w:lang w:bidi="ar"/>
              </w:rPr>
              <w:br w:type="textWrapping"/>
            </w:r>
            <w:r>
              <w:rPr>
                <w:rFonts w:hint="eastAsia" w:ascii="宋体" w:hAnsi="宋体" w:cs="宋体"/>
                <w:kern w:val="0"/>
                <w:szCs w:val="21"/>
                <w:lang w:bidi="ar"/>
              </w:rPr>
              <w:t>3.亮度</w:t>
            </w:r>
            <w:r>
              <w:rPr>
                <w:rFonts w:hint="eastAsia" w:ascii="MS Gothic" w:hAnsi="MS Gothic" w:eastAsia="MS Gothic" w:cs="MS Gothic"/>
                <w:kern w:val="0"/>
                <w:szCs w:val="21"/>
                <w:lang w:bidi="ar"/>
              </w:rPr>
              <w:t>​</w:t>
            </w:r>
            <w:r>
              <w:rPr>
                <w:rFonts w:hint="eastAsia" w:ascii="宋体" w:hAnsi="宋体" w:cs="宋体"/>
                <w:kern w:val="0"/>
                <w:szCs w:val="21"/>
                <w:lang w:bidi="ar"/>
              </w:rPr>
              <w:t>：不低于250 cd/m²。</w:t>
            </w:r>
            <w:r>
              <w:rPr>
                <w:rFonts w:hint="eastAsia" w:ascii="宋体" w:hAnsi="宋体" w:cs="宋体"/>
                <w:kern w:val="0"/>
                <w:szCs w:val="21"/>
                <w:lang w:bidi="ar"/>
              </w:rPr>
              <w:br w:type="textWrapping"/>
            </w:r>
            <w:r>
              <w:rPr>
                <w:rFonts w:hint="eastAsia" w:ascii="宋体" w:hAnsi="宋体" w:cs="宋体"/>
                <w:kern w:val="0"/>
                <w:szCs w:val="21"/>
                <w:lang w:bidi="ar"/>
              </w:rPr>
              <w:t>4.对比度</w:t>
            </w:r>
            <w:r>
              <w:rPr>
                <w:rFonts w:hint="eastAsia" w:ascii="MS Gothic" w:hAnsi="MS Gothic" w:eastAsia="MS Gothic" w:cs="MS Gothic"/>
                <w:kern w:val="0"/>
                <w:szCs w:val="21"/>
                <w:lang w:bidi="ar"/>
              </w:rPr>
              <w:t>​</w:t>
            </w:r>
            <w:r>
              <w:rPr>
                <w:rFonts w:hint="eastAsia" w:ascii="宋体" w:hAnsi="宋体" w:cs="宋体"/>
                <w:kern w:val="0"/>
                <w:szCs w:val="21"/>
                <w:lang w:bidi="ar"/>
              </w:rPr>
              <w:t>：2000:1 或更高。</w:t>
            </w:r>
            <w:r>
              <w:rPr>
                <w:rFonts w:hint="eastAsia" w:ascii="宋体" w:hAnsi="宋体" w:cs="宋体"/>
                <w:kern w:val="0"/>
                <w:szCs w:val="21"/>
                <w:lang w:bidi="ar"/>
              </w:rPr>
              <w:br w:type="textWrapping"/>
            </w:r>
            <w:r>
              <w:rPr>
                <w:rFonts w:hint="eastAsia" w:ascii="宋体" w:hAnsi="宋体" w:cs="宋体"/>
                <w:kern w:val="0"/>
                <w:szCs w:val="21"/>
                <w:lang w:bidi="ar"/>
              </w:rPr>
              <w:t>5.技术类型</w:t>
            </w:r>
            <w:r>
              <w:rPr>
                <w:rFonts w:hint="eastAsia" w:ascii="MS Gothic" w:hAnsi="MS Gothic" w:eastAsia="MS Gothic" w:cs="MS Gothic"/>
                <w:kern w:val="0"/>
                <w:szCs w:val="21"/>
                <w:lang w:bidi="ar"/>
              </w:rPr>
              <w:t>​</w:t>
            </w:r>
            <w:r>
              <w:rPr>
                <w:rFonts w:hint="eastAsia" w:ascii="宋体" w:hAnsi="宋体" w:cs="宋体"/>
                <w:kern w:val="0"/>
                <w:szCs w:val="21"/>
                <w:lang w:bidi="ar"/>
              </w:rPr>
              <w:t>：支持多点触控，反应灵敏。</w:t>
            </w:r>
            <w:r>
              <w:rPr>
                <w:rFonts w:hint="eastAsia" w:ascii="宋体" w:hAnsi="宋体" w:cs="宋体"/>
                <w:kern w:val="0"/>
                <w:szCs w:val="21"/>
                <w:lang w:bidi="ar"/>
              </w:rPr>
              <w:br w:type="textWrapping"/>
            </w:r>
            <w:r>
              <w:rPr>
                <w:rFonts w:hint="eastAsia" w:ascii="宋体" w:hAnsi="宋体" w:cs="宋体"/>
                <w:kern w:val="0"/>
                <w:szCs w:val="21"/>
                <w:lang w:bidi="ar"/>
              </w:rPr>
              <w:t>6.触控点数</w:t>
            </w:r>
            <w:r>
              <w:rPr>
                <w:rFonts w:hint="eastAsia" w:ascii="MS Gothic" w:hAnsi="MS Gothic" w:eastAsia="MS Gothic" w:cs="MS Gothic"/>
                <w:kern w:val="0"/>
                <w:szCs w:val="21"/>
                <w:lang w:bidi="ar"/>
              </w:rPr>
              <w:t>​</w:t>
            </w:r>
            <w:r>
              <w:rPr>
                <w:rFonts w:hint="eastAsia" w:ascii="宋体" w:hAnsi="宋体" w:cs="宋体"/>
                <w:kern w:val="0"/>
                <w:szCs w:val="21"/>
                <w:lang w:bidi="ar"/>
              </w:rPr>
              <w:t>：支持多点触控，允许多名用户同时操作，提升互动效率。</w:t>
            </w:r>
            <w:r>
              <w:rPr>
                <w:rFonts w:hint="eastAsia" w:ascii="宋体" w:hAnsi="宋体" w:cs="宋体"/>
                <w:kern w:val="0"/>
                <w:szCs w:val="21"/>
                <w:lang w:bidi="ar"/>
              </w:rPr>
              <w:br w:type="textWrapping"/>
            </w:r>
            <w:r>
              <w:rPr>
                <w:rFonts w:hint="eastAsia" w:ascii="宋体" w:hAnsi="宋体" w:cs="宋体"/>
                <w:kern w:val="0"/>
                <w:szCs w:val="21"/>
                <w:lang w:bidi="ar"/>
              </w:rPr>
              <w:t>7.操作系统</w:t>
            </w:r>
            <w:r>
              <w:rPr>
                <w:rFonts w:hint="eastAsia" w:ascii="MS Gothic" w:hAnsi="MS Gothic" w:eastAsia="MS Gothic" w:cs="MS Gothic"/>
                <w:kern w:val="0"/>
                <w:szCs w:val="21"/>
                <w:lang w:bidi="ar"/>
              </w:rPr>
              <w:t>​</w:t>
            </w:r>
            <w:r>
              <w:rPr>
                <w:rFonts w:hint="eastAsia" w:ascii="宋体" w:hAnsi="宋体" w:cs="宋体"/>
                <w:kern w:val="0"/>
                <w:szCs w:val="21"/>
                <w:lang w:bidi="ar"/>
              </w:rPr>
              <w:t>：配置Windows操作系统，兼容常见导览软件和内容管理系统。</w:t>
            </w:r>
            <w:r>
              <w:rPr>
                <w:rFonts w:hint="eastAsia" w:ascii="宋体" w:hAnsi="宋体" w:cs="宋体"/>
                <w:kern w:val="0"/>
                <w:szCs w:val="21"/>
                <w:lang w:bidi="ar"/>
              </w:rPr>
              <w:br w:type="textWrapping"/>
            </w:r>
            <w:r>
              <w:rPr>
                <w:rFonts w:hint="eastAsia" w:ascii="宋体" w:hAnsi="宋体" w:cs="宋体"/>
                <w:kern w:val="0"/>
                <w:szCs w:val="21"/>
                <w:lang w:bidi="ar"/>
              </w:rPr>
              <w:t>8.处理器（CPU）：至少6核心12线程，基础频率不低于3.3GHz，最大睿频频率不低于4.0GHz，缓存不低于12MB。</w:t>
            </w:r>
          </w:p>
          <w:p w14:paraId="61FB3E61">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9.内存</w:t>
            </w:r>
            <w:r>
              <w:rPr>
                <w:rFonts w:hint="eastAsia" w:ascii="MS Gothic" w:hAnsi="MS Gothic" w:eastAsia="MS Gothic" w:cs="MS Gothic"/>
                <w:kern w:val="0"/>
                <w:szCs w:val="21"/>
                <w:lang w:bidi="ar"/>
              </w:rPr>
              <w:t>​</w:t>
            </w:r>
            <w:r>
              <w:rPr>
                <w:rFonts w:hint="eastAsia" w:ascii="宋体" w:hAnsi="宋体" w:cs="宋体"/>
                <w:kern w:val="0"/>
                <w:szCs w:val="21"/>
                <w:lang w:bidi="ar"/>
              </w:rPr>
              <w:t>：支持DDR4或以上标准，频率不低于2133MHz，至少4GB RAM，8GB能支持确保多任务处理时不卡顿，配置需支持Windows 10及以上操作系统下的多任务并发，确保CPU利用率稳定在70%以下。</w:t>
            </w:r>
            <w:r>
              <w:rPr>
                <w:rFonts w:hint="eastAsia" w:ascii="宋体" w:hAnsi="宋体" w:cs="宋体"/>
                <w:kern w:val="0"/>
                <w:szCs w:val="21"/>
                <w:lang w:bidi="ar"/>
              </w:rPr>
              <w:br w:type="textWrapping"/>
            </w:r>
            <w:r>
              <w:rPr>
                <w:rFonts w:hint="eastAsia" w:ascii="宋体" w:hAnsi="宋体" w:cs="宋体"/>
                <w:kern w:val="0"/>
                <w:szCs w:val="21"/>
                <w:lang w:bidi="ar"/>
              </w:rPr>
              <w:t>10.存储</w:t>
            </w:r>
            <w:r>
              <w:rPr>
                <w:rFonts w:hint="eastAsia" w:ascii="MS Gothic" w:hAnsi="MS Gothic" w:eastAsia="MS Gothic" w:cs="MS Gothic"/>
                <w:kern w:val="0"/>
                <w:szCs w:val="21"/>
                <w:lang w:bidi="ar"/>
              </w:rPr>
              <w:t>​</w:t>
            </w:r>
            <w:r>
              <w:rPr>
                <w:rFonts w:hint="eastAsia" w:ascii="宋体" w:hAnsi="宋体" w:cs="宋体"/>
                <w:kern w:val="0"/>
                <w:szCs w:val="21"/>
                <w:lang w:bidi="ar"/>
              </w:rPr>
              <w:t>：配置不低于256GB 固态硬盘（SSD），1TB机械硬盘。</w:t>
            </w:r>
          </w:p>
        </w:tc>
        <w:tc>
          <w:tcPr>
            <w:tcW w:w="905" w:type="pct"/>
            <w:vAlign w:val="center"/>
          </w:tcPr>
          <w:p w14:paraId="6442E506">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7E94EBB2">
            <w:pPr>
              <w:widowControl/>
              <w:spacing w:line="276" w:lineRule="auto"/>
              <w:jc w:val="center"/>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7908B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08EE2C54">
            <w:pPr>
              <w:spacing w:line="276" w:lineRule="auto"/>
              <w:jc w:val="center"/>
              <w:rPr>
                <w:rFonts w:ascii="宋体" w:hAnsi="宋体" w:cs="宋体"/>
                <w:szCs w:val="21"/>
              </w:rPr>
            </w:pPr>
            <w:r>
              <w:rPr>
                <w:rFonts w:ascii="宋体" w:hAnsi="宋体" w:cs="宋体"/>
                <w:szCs w:val="21"/>
              </w:rPr>
              <w:t>4</w:t>
            </w:r>
          </w:p>
        </w:tc>
        <w:tc>
          <w:tcPr>
            <w:tcW w:w="596" w:type="pct"/>
            <w:vAlign w:val="center"/>
          </w:tcPr>
          <w:p w14:paraId="34273A27">
            <w:pPr>
              <w:widowControl/>
              <w:spacing w:line="276" w:lineRule="auto"/>
              <w:jc w:val="center"/>
              <w:textAlignment w:val="center"/>
              <w:rPr>
                <w:rFonts w:ascii="宋体" w:hAnsi="宋体" w:cs="宋体"/>
                <w:szCs w:val="21"/>
              </w:rPr>
            </w:pPr>
            <w:r>
              <w:rPr>
                <w:rFonts w:hint="eastAsia" w:ascii="宋体" w:hAnsi="宋体" w:cs="宋体"/>
                <w:kern w:val="0"/>
                <w:szCs w:val="21"/>
                <w:lang w:bidi="ar"/>
              </w:rPr>
              <w:t>86英寸智能触控一体机</w:t>
            </w:r>
          </w:p>
        </w:tc>
        <w:tc>
          <w:tcPr>
            <w:tcW w:w="373" w:type="pct"/>
            <w:vAlign w:val="center"/>
          </w:tcPr>
          <w:p w14:paraId="5FEEC761">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6663AC94">
            <w:pPr>
              <w:widowControl/>
              <w:spacing w:line="276" w:lineRule="auto"/>
              <w:jc w:val="left"/>
              <w:textAlignment w:val="center"/>
              <w:rPr>
                <w:rFonts w:ascii="宋体" w:hAnsi="宋体" w:cs="宋体"/>
                <w:szCs w:val="21"/>
              </w:rPr>
            </w:pPr>
            <w:r>
              <w:rPr>
                <w:rFonts w:hint="eastAsia" w:ascii="宋体" w:hAnsi="宋体" w:cs="宋体"/>
                <w:kern w:val="0"/>
                <w:szCs w:val="21"/>
                <w:lang w:bidi="ar"/>
              </w:rPr>
              <w:t xml:space="preserve">1.屏体要求：≥86英寸，液晶LED，A规屏，显示比例(16：9)； </w:t>
            </w:r>
            <w:r>
              <w:rPr>
                <w:rFonts w:hint="eastAsia" w:ascii="宋体" w:hAnsi="宋体" w:cs="宋体"/>
                <w:kern w:val="0"/>
                <w:szCs w:val="21"/>
                <w:lang w:bidi="ar"/>
              </w:rPr>
              <w:br w:type="textWrapping"/>
            </w:r>
            <w:r>
              <w:rPr>
                <w:rFonts w:hint="eastAsia" w:ascii="宋体" w:hAnsi="宋体" w:cs="宋体"/>
                <w:kern w:val="0"/>
                <w:szCs w:val="21"/>
                <w:lang w:bidi="ar"/>
              </w:rPr>
              <w:t>2.亮度：≥350cd/m</w:t>
            </w:r>
            <w:r>
              <w:rPr>
                <w:rFonts w:hint="eastAsia" w:ascii="宋体" w:hAnsi="宋体" w:cs="宋体"/>
                <w:kern w:val="0"/>
                <w:szCs w:val="21"/>
                <w:vertAlign w:val="superscript"/>
                <w:lang w:bidi="ar"/>
              </w:rPr>
              <w:t>2</w:t>
            </w:r>
            <w:r>
              <w:rPr>
                <w:rFonts w:hint="eastAsia" w:ascii="宋体" w:hAnsi="宋体" w:cs="宋体"/>
                <w:kern w:val="0"/>
                <w:szCs w:val="21"/>
                <w:lang w:bidi="ar"/>
              </w:rPr>
              <w:t>、对比度：≥5000:1、屏体物理分辨率≥3840*2160；</w:t>
            </w:r>
            <w:r>
              <w:rPr>
                <w:rFonts w:hint="eastAsia" w:ascii="宋体" w:hAnsi="宋体" w:cs="宋体"/>
                <w:kern w:val="0"/>
                <w:szCs w:val="21"/>
                <w:lang w:bidi="ar"/>
              </w:rPr>
              <w:br w:type="textWrapping"/>
            </w:r>
            <w:r>
              <w:rPr>
                <w:rFonts w:hint="eastAsia" w:ascii="宋体" w:hAnsi="宋体" w:cs="宋体"/>
                <w:kern w:val="0"/>
                <w:szCs w:val="21"/>
                <w:lang w:bidi="ar"/>
              </w:rPr>
              <w:t>3.防眩光功能：≥4mm 厚AG钢化玻璃，防眩光，反射率小于1%；</w:t>
            </w:r>
            <w:r>
              <w:rPr>
                <w:rFonts w:hint="eastAsia" w:ascii="宋体" w:hAnsi="宋体" w:cs="宋体"/>
                <w:kern w:val="0"/>
                <w:szCs w:val="21"/>
                <w:lang w:bidi="ar"/>
              </w:rPr>
              <w:br w:type="textWrapping"/>
            </w:r>
            <w:r>
              <w:rPr>
                <w:rFonts w:hint="eastAsia" w:ascii="宋体" w:hAnsi="宋体" w:cs="宋体"/>
                <w:kern w:val="0"/>
                <w:szCs w:val="21"/>
                <w:lang w:bidi="ar"/>
              </w:rPr>
              <w:t>4.触摸技术：红外感应技术，不低于20点触控，支持安卓、windows 系统20笔或以上同时书写。</w:t>
            </w:r>
            <w:r>
              <w:rPr>
                <w:rFonts w:hint="eastAsia" w:ascii="宋体" w:hAnsi="宋体" w:cs="宋体"/>
                <w:kern w:val="0"/>
                <w:szCs w:val="21"/>
                <w:lang w:bidi="ar"/>
              </w:rPr>
              <w:br w:type="textWrapping"/>
            </w:r>
            <w:r>
              <w:rPr>
                <w:rFonts w:hint="eastAsia" w:ascii="宋体" w:hAnsi="宋体" w:cs="宋体"/>
                <w:kern w:val="0"/>
                <w:szCs w:val="21"/>
                <w:lang w:bidi="ar"/>
              </w:rPr>
              <w:t xml:space="preserve">5.前置接口：≥USB3.0*3；≥Type C*1；≥Touch USB*1；≥HDMI in*1  </w:t>
            </w:r>
            <w:r>
              <w:rPr>
                <w:rFonts w:hint="eastAsia" w:ascii="宋体" w:hAnsi="宋体" w:cs="宋体"/>
                <w:kern w:val="0"/>
                <w:szCs w:val="21"/>
                <w:lang w:bidi="ar"/>
              </w:rPr>
              <w:br w:type="textWrapping"/>
            </w:r>
            <w:r>
              <w:rPr>
                <w:rFonts w:hint="eastAsia" w:ascii="宋体" w:hAnsi="宋体" w:cs="宋体"/>
                <w:kern w:val="0"/>
                <w:szCs w:val="21"/>
                <w:lang w:bidi="ar"/>
              </w:rPr>
              <w:t>6.前置≥3个USB 3.0 接口全部支持 Windows 及 Android 双系统读取，将 U 盘插入任意前置 USB 接口，均能被 Windows 及 Android 系统识别。</w:t>
            </w:r>
            <w:r>
              <w:rPr>
                <w:rFonts w:hint="eastAsia" w:ascii="宋体" w:hAnsi="宋体" w:cs="宋体"/>
                <w:kern w:val="0"/>
                <w:szCs w:val="21"/>
                <w:lang w:bidi="ar"/>
              </w:rPr>
              <w:br w:type="textWrapping"/>
            </w:r>
            <w:r>
              <w:rPr>
                <w:rFonts w:hint="eastAsia" w:ascii="宋体" w:hAnsi="宋体" w:cs="宋体"/>
                <w:kern w:val="0"/>
                <w:szCs w:val="21"/>
                <w:lang w:bidi="ar"/>
              </w:rPr>
              <w:t>7.后置接口：≥COAX*1、≥Earphone *1、≥RS232*1、≥RJ45*1、≥HDMI in*1、USB*2、≥Touch USB*1、≥TF Card*1；</w:t>
            </w:r>
            <w:r>
              <w:rPr>
                <w:rFonts w:hint="eastAsia" w:ascii="宋体" w:hAnsi="宋体" w:cs="宋体"/>
                <w:kern w:val="0"/>
                <w:szCs w:val="21"/>
                <w:lang w:bidi="ar"/>
              </w:rPr>
              <w:br w:type="textWrapping"/>
            </w:r>
            <w:r>
              <w:rPr>
                <w:rFonts w:hint="eastAsia" w:ascii="宋体" w:hAnsi="宋体" w:cs="宋体"/>
                <w:kern w:val="0"/>
                <w:szCs w:val="21"/>
                <w:lang w:bidi="ar"/>
              </w:rPr>
              <w:t xml:space="preserve">8.前置按键≥7个包括：录屏、图像比例、音量-、音量+、设置、护眼、电源； </w:t>
            </w:r>
            <w:r>
              <w:rPr>
                <w:rFonts w:hint="eastAsia" w:ascii="宋体" w:hAnsi="宋体" w:cs="宋体"/>
                <w:kern w:val="0"/>
                <w:szCs w:val="21"/>
                <w:lang w:bidi="ar"/>
              </w:rPr>
              <w:br w:type="textWrapping"/>
            </w:r>
            <w:r>
              <w:rPr>
                <w:rFonts w:hint="eastAsia" w:ascii="宋体" w:hAnsi="宋体" w:cs="宋体"/>
                <w:kern w:val="0"/>
                <w:szCs w:val="21"/>
                <w:lang w:bidi="ar"/>
              </w:rPr>
              <w:t>9.整机开关、电脑开关和节能待机键三合一；设备支持通过前置按键一键启动录屏功能，可将屏幕中显示的课件、音频等内容与老师人声同步录制；支持OPS一键还原。</w:t>
            </w:r>
            <w:r>
              <w:rPr>
                <w:rFonts w:hint="eastAsia" w:ascii="宋体" w:hAnsi="宋体" w:cs="宋体"/>
                <w:kern w:val="0"/>
                <w:szCs w:val="21"/>
                <w:lang w:bidi="ar"/>
              </w:rPr>
              <w:br w:type="textWrapping"/>
            </w:r>
            <w:r>
              <w:rPr>
                <w:rFonts w:hint="eastAsia" w:ascii="宋体" w:hAnsi="宋体" w:cs="宋体"/>
                <w:kern w:val="0"/>
                <w:szCs w:val="21"/>
                <w:lang w:bidi="ar"/>
              </w:rPr>
              <w:t xml:space="preserve">10.安卓系统版本14.0 或以上，内部缓存容量（RAM）：≥4GB；内部存储容量（ROM）：≥32GB。 </w:t>
            </w:r>
            <w:r>
              <w:rPr>
                <w:rFonts w:hint="eastAsia" w:ascii="宋体" w:hAnsi="宋体" w:cs="宋体"/>
                <w:kern w:val="0"/>
                <w:szCs w:val="21"/>
                <w:lang w:bidi="ar"/>
              </w:rPr>
              <w:br w:type="textWrapping"/>
            </w:r>
            <w:r>
              <w:rPr>
                <w:rFonts w:hint="eastAsia" w:ascii="宋体" w:hAnsi="宋体" w:cs="宋体"/>
                <w:kern w:val="0"/>
                <w:szCs w:val="21"/>
                <w:lang w:bidi="ar"/>
              </w:rPr>
              <w:t>11.内置双路 WIFI，支持 AP 热点，Wifi ：2.4GHz / AP：2.4GHz/5GHz。</w:t>
            </w:r>
            <w:r>
              <w:rPr>
                <w:rFonts w:hint="eastAsia" w:ascii="宋体" w:hAnsi="宋体" w:cs="宋体"/>
                <w:kern w:val="0"/>
                <w:szCs w:val="21"/>
                <w:lang w:bidi="ar"/>
              </w:rPr>
              <w:br w:type="textWrapping"/>
            </w:r>
            <w:r>
              <w:rPr>
                <w:rFonts w:hint="eastAsia" w:ascii="宋体" w:hAnsi="宋体" w:cs="宋体"/>
                <w:kern w:val="0"/>
                <w:szCs w:val="21"/>
                <w:lang w:bidi="ar"/>
              </w:rPr>
              <w:t>12.一键调整分辨率: 可通过及触摸按键对内置电脑画面实现一键切换屏幕分辨率，调整画面显示比例；整机支持一键黑屏节能不低于70%。</w:t>
            </w:r>
            <w:r>
              <w:rPr>
                <w:rFonts w:hint="eastAsia" w:ascii="宋体" w:hAnsi="宋体" w:cs="宋体"/>
                <w:kern w:val="0"/>
                <w:szCs w:val="21"/>
                <w:lang w:bidi="ar"/>
              </w:rPr>
              <w:br w:type="textWrapping"/>
            </w:r>
            <w:r>
              <w:rPr>
                <w:rFonts w:hint="eastAsia" w:ascii="宋体" w:hAnsi="宋体" w:cs="宋体"/>
                <w:kern w:val="0"/>
                <w:szCs w:val="21"/>
                <w:lang w:bidi="ar"/>
              </w:rPr>
              <w:t xml:space="preserve">13.信源通道自动识别：设备能自动识别并切换到最新接入的信号源通道，且断开后能回到上一通道。自动跳转前支持选择确认，待确认后再跳转。 </w:t>
            </w:r>
            <w:r>
              <w:rPr>
                <w:rFonts w:hint="eastAsia" w:ascii="宋体" w:hAnsi="宋体" w:cs="宋体"/>
                <w:kern w:val="0"/>
                <w:szCs w:val="21"/>
                <w:lang w:bidi="ar"/>
              </w:rPr>
              <w:br w:type="textWrapping"/>
            </w:r>
            <w:r>
              <w:rPr>
                <w:rFonts w:hint="eastAsia" w:ascii="宋体" w:hAnsi="宋体" w:cs="宋体"/>
                <w:kern w:val="0"/>
                <w:szCs w:val="21"/>
                <w:lang w:bidi="ar"/>
              </w:rPr>
              <w:t xml:space="preserve">14.童锁开关：产品应支持童锁开关功能，当开启童锁功能后，界面将被锁住。 </w:t>
            </w:r>
            <w:r>
              <w:rPr>
                <w:rFonts w:hint="eastAsia" w:ascii="宋体" w:hAnsi="宋体" w:cs="宋体"/>
                <w:kern w:val="0"/>
                <w:szCs w:val="21"/>
                <w:lang w:bidi="ar"/>
              </w:rPr>
              <w:br w:type="textWrapping"/>
            </w:r>
            <w:r>
              <w:rPr>
                <w:rFonts w:hint="eastAsia" w:ascii="宋体" w:hAnsi="宋体" w:cs="宋体"/>
                <w:kern w:val="0"/>
                <w:szCs w:val="21"/>
                <w:lang w:bidi="ar"/>
              </w:rPr>
              <w:t>15.悬浮菜单：在任意信号源通道下均可调用悬浮菜单，悬浮菜单具有一键启用应用软件、随时批注擦除，切换信号源等功能，悬浮菜单中的信号源支持自定义修改且可一键直达常用信号源可通过多指调用到屏幕任意位置。悬浮菜单中的应用可根据使用需求进行应用或功能的替换。</w:t>
            </w:r>
            <w:r>
              <w:rPr>
                <w:rFonts w:hint="eastAsia" w:ascii="宋体" w:hAnsi="宋体" w:cs="宋体"/>
                <w:kern w:val="0"/>
                <w:szCs w:val="21"/>
                <w:lang w:bidi="ar"/>
              </w:rPr>
              <w:br w:type="textWrapping"/>
            </w:r>
            <w:r>
              <w:rPr>
                <w:rFonts w:hint="eastAsia" w:ascii="宋体" w:hAnsi="宋体" w:cs="宋体"/>
                <w:kern w:val="0"/>
                <w:szCs w:val="21"/>
                <w:lang w:bidi="ar"/>
              </w:rPr>
              <w:t>16.整机具备智能手势识别功能，在任意信号源通道下均可识别五指上、下、左、右方向手势滑动，调取熄屏、批注、桌面、半屏模式功能。</w:t>
            </w:r>
          </w:p>
        </w:tc>
        <w:tc>
          <w:tcPr>
            <w:tcW w:w="905" w:type="pct"/>
            <w:vAlign w:val="center"/>
          </w:tcPr>
          <w:p w14:paraId="0E586578">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12E7807B">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3B099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0F66D986">
            <w:pPr>
              <w:spacing w:line="276" w:lineRule="auto"/>
              <w:jc w:val="center"/>
              <w:rPr>
                <w:rFonts w:ascii="宋体" w:hAnsi="宋体" w:cs="宋体"/>
                <w:szCs w:val="21"/>
              </w:rPr>
            </w:pPr>
            <w:r>
              <w:rPr>
                <w:rFonts w:ascii="宋体" w:hAnsi="宋体" w:cs="宋体"/>
                <w:szCs w:val="21"/>
              </w:rPr>
              <w:t>5</w:t>
            </w:r>
          </w:p>
        </w:tc>
        <w:tc>
          <w:tcPr>
            <w:tcW w:w="596" w:type="pct"/>
            <w:vAlign w:val="center"/>
          </w:tcPr>
          <w:p w14:paraId="77B3A3BF">
            <w:pPr>
              <w:widowControl/>
              <w:spacing w:line="276" w:lineRule="auto"/>
              <w:jc w:val="center"/>
              <w:textAlignment w:val="center"/>
              <w:rPr>
                <w:rFonts w:ascii="宋体" w:hAnsi="宋体" w:cs="宋体"/>
                <w:szCs w:val="21"/>
              </w:rPr>
            </w:pPr>
            <w:r>
              <w:rPr>
                <w:rFonts w:hint="eastAsia" w:ascii="宋体" w:hAnsi="宋体" w:cs="宋体"/>
                <w:kern w:val="0"/>
                <w:szCs w:val="21"/>
                <w:lang w:bidi="ar"/>
              </w:rPr>
              <w:t>光能智能互动黑板</w:t>
            </w:r>
          </w:p>
        </w:tc>
        <w:tc>
          <w:tcPr>
            <w:tcW w:w="373" w:type="pct"/>
            <w:vAlign w:val="center"/>
          </w:tcPr>
          <w:p w14:paraId="419DCDD3">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5DEDDFCF">
            <w:pPr>
              <w:widowControl/>
              <w:spacing w:line="276" w:lineRule="auto"/>
              <w:jc w:val="left"/>
              <w:textAlignment w:val="center"/>
              <w:rPr>
                <w:rFonts w:ascii="宋体" w:hAnsi="宋体" w:cs="宋体"/>
                <w:szCs w:val="21"/>
              </w:rPr>
            </w:pPr>
            <w:r>
              <w:rPr>
                <w:rFonts w:hint="eastAsia" w:ascii="宋体" w:hAnsi="宋体" w:cs="宋体"/>
                <w:kern w:val="0"/>
                <w:szCs w:val="21"/>
                <w:lang w:bidi="ar"/>
              </w:rPr>
              <w:t>一、结构要求</w:t>
            </w:r>
            <w:r>
              <w:rPr>
                <w:rFonts w:hint="eastAsia" w:ascii="宋体" w:hAnsi="宋体" w:cs="宋体"/>
                <w:kern w:val="0"/>
                <w:szCs w:val="21"/>
                <w:lang w:bidi="ar"/>
              </w:rPr>
              <w:br w:type="textWrapping"/>
            </w:r>
            <w:r>
              <w:rPr>
                <w:rFonts w:hint="eastAsia" w:ascii="宋体" w:hAnsi="宋体" w:cs="宋体"/>
                <w:kern w:val="0"/>
                <w:szCs w:val="21"/>
                <w:lang w:bidi="ar"/>
              </w:rPr>
              <w:t>1、整体结构上采取左、右光能黑板+中间触控一体机的组合方式（ABA放置样式）。</w:t>
            </w:r>
            <w:r>
              <w:rPr>
                <w:rFonts w:hint="eastAsia" w:ascii="宋体" w:hAnsi="宋体" w:cs="宋体"/>
                <w:kern w:val="0"/>
                <w:szCs w:val="21"/>
                <w:lang w:bidi="ar"/>
              </w:rPr>
              <w:br w:type="textWrapping"/>
            </w:r>
            <w:r>
              <w:rPr>
                <w:rFonts w:hint="eastAsia" w:ascii="宋体" w:hAnsi="宋体" w:cs="宋体"/>
                <w:kern w:val="0"/>
                <w:szCs w:val="21"/>
                <w:lang w:bidi="ar"/>
              </w:rPr>
              <w:t>2、黑板采用铝合金机身，甲醛释放限量符合GB</w:t>
            </w:r>
            <w:r>
              <w:rPr>
                <w:rFonts w:ascii="宋体" w:hAnsi="宋体" w:cs="宋体"/>
                <w:kern w:val="0"/>
                <w:szCs w:val="21"/>
                <w:lang w:bidi="ar"/>
              </w:rPr>
              <w:t xml:space="preserve"> </w:t>
            </w:r>
            <w:r>
              <w:rPr>
                <w:rFonts w:hint="eastAsia" w:ascii="宋体" w:hAnsi="宋体" w:cs="宋体"/>
                <w:kern w:val="0"/>
                <w:szCs w:val="21"/>
                <w:lang w:bidi="ar"/>
              </w:rPr>
              <w:t>28231-2011《书写板安全卫生要求》，光能黑板外壳防护等级不低于IP4X。</w:t>
            </w:r>
            <w:r>
              <w:rPr>
                <w:rFonts w:hint="eastAsia" w:ascii="宋体" w:hAnsi="宋体" w:cs="宋体"/>
                <w:kern w:val="0"/>
                <w:szCs w:val="21"/>
                <w:lang w:bidi="ar"/>
              </w:rPr>
              <w:br w:type="textWrapping"/>
            </w:r>
            <w:r>
              <w:rPr>
                <w:rFonts w:hint="eastAsia" w:ascii="宋体" w:hAnsi="宋体" w:cs="宋体"/>
                <w:kern w:val="0"/>
                <w:szCs w:val="21"/>
                <w:lang w:bidi="ar"/>
              </w:rPr>
              <w:t>3、黑板表面可吸附磁贴、磁扣等教学工具，丰富课堂应用，紫外线阻隔率不低于90%。</w:t>
            </w:r>
            <w:r>
              <w:rPr>
                <w:rFonts w:hint="eastAsia" w:ascii="宋体" w:hAnsi="宋体" w:cs="宋体"/>
                <w:kern w:val="0"/>
                <w:szCs w:val="21"/>
                <w:lang w:bidi="ar"/>
              </w:rPr>
              <w:br w:type="textWrapping"/>
            </w:r>
            <w:r>
              <w:rPr>
                <w:rFonts w:hint="eastAsia" w:ascii="宋体" w:hAnsi="宋体" w:cs="宋体"/>
                <w:kern w:val="0"/>
                <w:szCs w:val="21"/>
                <w:lang w:bidi="ar"/>
              </w:rPr>
              <w:t>4、日常维护使用家用洗涤剂或消毒剂温水，擦拭书写板的书写面后，书写面应不变色，无表皮脱落。</w:t>
            </w:r>
            <w:r>
              <w:rPr>
                <w:rFonts w:hint="eastAsia" w:ascii="宋体" w:hAnsi="宋体" w:cs="宋体"/>
                <w:kern w:val="0"/>
                <w:szCs w:val="21"/>
                <w:lang w:bidi="ar"/>
              </w:rPr>
              <w:br w:type="textWrapping"/>
            </w:r>
            <w:r>
              <w:rPr>
                <w:rFonts w:hint="eastAsia" w:ascii="宋体" w:hAnsi="宋体" w:cs="宋体"/>
                <w:kern w:val="0"/>
                <w:szCs w:val="21"/>
                <w:lang w:bidi="ar"/>
              </w:rPr>
              <w:t>5、黑板表面采用液晶书写膜，板书时依靠压力改变内部液晶分子状态，使用任何硬度适中的物体均可书写，无需专用耗材。</w:t>
            </w:r>
            <w:r>
              <w:rPr>
                <w:rFonts w:hint="eastAsia" w:ascii="宋体" w:hAnsi="宋体" w:cs="宋体"/>
                <w:kern w:val="0"/>
                <w:szCs w:val="21"/>
                <w:lang w:bidi="ar"/>
              </w:rPr>
              <w:br w:type="textWrapping"/>
            </w:r>
            <w:r>
              <w:rPr>
                <w:rFonts w:hint="eastAsia" w:ascii="宋体" w:hAnsi="宋体" w:cs="宋体"/>
                <w:kern w:val="0"/>
                <w:szCs w:val="21"/>
                <w:lang w:bidi="ar"/>
              </w:rPr>
              <w:t>二、功能要求</w:t>
            </w:r>
            <w:r>
              <w:rPr>
                <w:rFonts w:hint="eastAsia" w:ascii="宋体" w:hAnsi="宋体" w:cs="宋体"/>
                <w:kern w:val="0"/>
                <w:szCs w:val="21"/>
                <w:lang w:bidi="ar"/>
              </w:rPr>
              <w:br w:type="textWrapping"/>
            </w:r>
            <w:r>
              <w:rPr>
                <w:rFonts w:hint="eastAsia" w:ascii="宋体" w:hAnsi="宋体" w:cs="宋体"/>
                <w:kern w:val="0"/>
                <w:szCs w:val="21"/>
                <w:lang w:bidi="ar"/>
              </w:rPr>
              <w:t>1、每套黑板配备书写笔工具，单点书写10万次后无划痕。</w:t>
            </w:r>
            <w:r>
              <w:rPr>
                <w:rFonts w:hint="eastAsia" w:ascii="宋体" w:hAnsi="宋体" w:cs="宋体"/>
                <w:kern w:val="0"/>
                <w:szCs w:val="21"/>
                <w:lang w:bidi="ar"/>
              </w:rPr>
              <w:br w:type="textWrapping"/>
            </w:r>
            <w:r>
              <w:rPr>
                <w:rFonts w:hint="eastAsia" w:ascii="宋体" w:hAnsi="宋体" w:cs="宋体"/>
                <w:kern w:val="0"/>
                <w:szCs w:val="21"/>
                <w:lang w:bidi="ar"/>
              </w:rPr>
              <w:t>2、书写可视距离超30米，可视角度超过130°。</w:t>
            </w:r>
            <w:r>
              <w:rPr>
                <w:rFonts w:hint="eastAsia" w:ascii="宋体" w:hAnsi="宋体" w:cs="宋体"/>
                <w:kern w:val="0"/>
                <w:szCs w:val="21"/>
                <w:lang w:bidi="ar"/>
              </w:rPr>
              <w:br w:type="textWrapping"/>
            </w:r>
            <w:r>
              <w:rPr>
                <w:rFonts w:hint="eastAsia" w:ascii="宋体" w:hAnsi="宋体" w:cs="宋体"/>
                <w:kern w:val="0"/>
                <w:szCs w:val="21"/>
                <w:lang w:bidi="ar"/>
              </w:rPr>
              <w:t>3、黑板应无频闪、无背光、不应产生眩光，光泽度不高于30。</w:t>
            </w:r>
            <w:r>
              <w:rPr>
                <w:rFonts w:hint="eastAsia" w:ascii="宋体" w:hAnsi="宋体" w:cs="宋体"/>
                <w:kern w:val="0"/>
                <w:szCs w:val="21"/>
                <w:lang w:bidi="ar"/>
              </w:rPr>
              <w:br w:type="textWrapping"/>
            </w:r>
            <w:r>
              <w:rPr>
                <w:rFonts w:hint="eastAsia" w:ascii="宋体" w:hAnsi="宋体" w:cs="宋体"/>
                <w:kern w:val="0"/>
                <w:szCs w:val="21"/>
                <w:lang w:bidi="ar"/>
              </w:rPr>
              <w:t>4、书写膜的透光率不低于80%，雾度不高于40%。</w:t>
            </w:r>
            <w:r>
              <w:rPr>
                <w:rFonts w:hint="eastAsia" w:ascii="宋体" w:hAnsi="宋体" w:cs="宋体"/>
                <w:kern w:val="0"/>
                <w:szCs w:val="21"/>
                <w:lang w:bidi="ar"/>
              </w:rPr>
              <w:br w:type="textWrapping"/>
            </w:r>
            <w:r>
              <w:rPr>
                <w:rFonts w:hint="eastAsia" w:ascii="宋体" w:hAnsi="宋体" w:cs="宋体"/>
                <w:kern w:val="0"/>
                <w:szCs w:val="21"/>
                <w:lang w:bidi="ar"/>
              </w:rPr>
              <w:t>5、黑板可使用配备的板擦和手势对错误的液晶板书进行局部擦除。</w:t>
            </w:r>
            <w:r>
              <w:rPr>
                <w:rFonts w:hint="eastAsia" w:ascii="宋体" w:hAnsi="宋体" w:cs="宋体"/>
                <w:kern w:val="0"/>
                <w:szCs w:val="21"/>
                <w:lang w:bidi="ar"/>
              </w:rPr>
              <w:br w:type="textWrapping"/>
            </w:r>
            <w:r>
              <w:rPr>
                <w:rFonts w:hint="eastAsia" w:ascii="宋体" w:hAnsi="宋体" w:cs="宋体"/>
                <w:kern w:val="0"/>
                <w:szCs w:val="21"/>
                <w:lang w:bidi="ar"/>
              </w:rPr>
              <w:t>6、轻按一键清除按键，无残留痕迹。</w:t>
            </w:r>
            <w:r>
              <w:rPr>
                <w:rFonts w:hint="eastAsia" w:ascii="宋体" w:hAnsi="宋体" w:cs="宋体"/>
                <w:kern w:val="0"/>
                <w:szCs w:val="21"/>
                <w:lang w:bidi="ar"/>
              </w:rPr>
              <w:br w:type="textWrapping"/>
            </w:r>
            <w:r>
              <w:rPr>
                <w:rFonts w:hint="eastAsia" w:ascii="宋体" w:hAnsi="宋体" w:cs="宋体"/>
                <w:kern w:val="0"/>
                <w:szCs w:val="21"/>
                <w:lang w:bidi="ar"/>
              </w:rPr>
              <w:t>三、软件要求</w:t>
            </w:r>
            <w:r>
              <w:rPr>
                <w:rFonts w:hint="eastAsia" w:ascii="宋体" w:hAnsi="宋体" w:cs="宋体"/>
                <w:kern w:val="0"/>
                <w:szCs w:val="21"/>
                <w:lang w:bidi="ar"/>
              </w:rPr>
              <w:br w:type="textWrapping"/>
            </w:r>
            <w:r>
              <w:rPr>
                <w:rFonts w:hint="eastAsia" w:ascii="宋体" w:hAnsi="宋体" w:cs="宋体"/>
                <w:kern w:val="0"/>
                <w:szCs w:val="21"/>
                <w:lang w:bidi="ar"/>
              </w:rPr>
              <w:t>1、无需安装额外软件，即可实现副板的板书与白板的互通互联；</w:t>
            </w:r>
            <w:r>
              <w:rPr>
                <w:rFonts w:hint="eastAsia" w:ascii="宋体" w:hAnsi="宋体" w:cs="宋体"/>
                <w:kern w:val="0"/>
                <w:szCs w:val="21"/>
                <w:lang w:bidi="ar"/>
              </w:rPr>
              <w:br w:type="textWrapping"/>
            </w:r>
            <w:r>
              <w:rPr>
                <w:rFonts w:hint="eastAsia" w:ascii="宋体" w:hAnsi="宋体" w:cs="宋体"/>
                <w:kern w:val="0"/>
                <w:szCs w:val="21"/>
                <w:lang w:bidi="ar"/>
              </w:rPr>
              <w:t>2、板书软件支持开启、退出副板电子板书记录功能；</w:t>
            </w:r>
            <w:r>
              <w:rPr>
                <w:rFonts w:hint="eastAsia" w:ascii="宋体" w:hAnsi="宋体" w:cs="宋体"/>
                <w:kern w:val="0"/>
                <w:szCs w:val="21"/>
                <w:lang w:bidi="ar"/>
              </w:rPr>
              <w:br w:type="textWrapping"/>
            </w:r>
            <w:r>
              <w:rPr>
                <w:rFonts w:hint="eastAsia" w:ascii="宋体" w:hAnsi="宋体" w:cs="宋体"/>
                <w:kern w:val="0"/>
                <w:szCs w:val="21"/>
                <w:lang w:bidi="ar"/>
              </w:rPr>
              <w:t>3、支持副板的板书在主屏书写软件中进行同步显示、并支持使用手掌和板擦擦除；</w:t>
            </w:r>
            <w:r>
              <w:rPr>
                <w:rFonts w:hint="eastAsia" w:ascii="宋体" w:hAnsi="宋体" w:cs="宋体"/>
                <w:kern w:val="0"/>
                <w:szCs w:val="21"/>
                <w:lang w:bidi="ar"/>
              </w:rPr>
              <w:br w:type="textWrapping"/>
            </w:r>
            <w:r>
              <w:rPr>
                <w:rFonts w:hint="eastAsia" w:ascii="宋体" w:hAnsi="宋体" w:cs="宋体"/>
                <w:kern w:val="0"/>
                <w:szCs w:val="21"/>
                <w:lang w:bidi="ar"/>
              </w:rPr>
              <w:t>4、支持副屏书写轨迹进行部分选中，选中的内容可以插入到授课课件当中；</w:t>
            </w:r>
            <w:r>
              <w:rPr>
                <w:rFonts w:hint="eastAsia" w:ascii="宋体" w:hAnsi="宋体" w:cs="宋体"/>
                <w:kern w:val="0"/>
                <w:szCs w:val="21"/>
                <w:lang w:bidi="ar"/>
              </w:rPr>
              <w:br w:type="textWrapping"/>
            </w:r>
            <w:r>
              <w:rPr>
                <w:rFonts w:hint="eastAsia" w:ascii="宋体" w:hAnsi="宋体" w:cs="宋体"/>
                <w:kern w:val="0"/>
                <w:szCs w:val="21"/>
                <w:lang w:bidi="ar"/>
              </w:rPr>
              <w:t>5、支持两侧记录内容，生成图片并保存；</w:t>
            </w:r>
            <w:r>
              <w:rPr>
                <w:rFonts w:hint="eastAsia" w:ascii="宋体" w:hAnsi="宋体" w:cs="宋体"/>
                <w:kern w:val="0"/>
                <w:szCs w:val="21"/>
                <w:lang w:bidi="ar"/>
              </w:rPr>
              <w:br w:type="textWrapping"/>
            </w:r>
            <w:r>
              <w:rPr>
                <w:rFonts w:hint="eastAsia" w:ascii="宋体" w:hAnsi="宋体" w:cs="宋体"/>
                <w:kern w:val="0"/>
                <w:szCs w:val="21"/>
                <w:lang w:bidi="ar"/>
              </w:rPr>
              <w:t>6、支持单侧自定义按键，自定义功能：多色笔、左右对调、上下翻页。</w:t>
            </w:r>
          </w:p>
        </w:tc>
        <w:tc>
          <w:tcPr>
            <w:tcW w:w="905" w:type="pct"/>
            <w:vAlign w:val="center"/>
          </w:tcPr>
          <w:p w14:paraId="58F1ED1F">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49C34E8B">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30C2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755C9859">
            <w:pPr>
              <w:spacing w:line="276" w:lineRule="auto"/>
              <w:jc w:val="center"/>
              <w:rPr>
                <w:rFonts w:ascii="宋体" w:hAnsi="宋体" w:cs="宋体"/>
                <w:szCs w:val="21"/>
              </w:rPr>
            </w:pPr>
            <w:r>
              <w:rPr>
                <w:rFonts w:ascii="宋体" w:hAnsi="宋体" w:cs="宋体"/>
                <w:szCs w:val="21"/>
              </w:rPr>
              <w:t>6</w:t>
            </w:r>
          </w:p>
        </w:tc>
        <w:tc>
          <w:tcPr>
            <w:tcW w:w="596" w:type="pct"/>
            <w:vAlign w:val="center"/>
          </w:tcPr>
          <w:p w14:paraId="7C4D7D39">
            <w:pPr>
              <w:widowControl/>
              <w:spacing w:line="276" w:lineRule="auto"/>
              <w:jc w:val="center"/>
              <w:textAlignment w:val="center"/>
              <w:rPr>
                <w:rFonts w:ascii="宋体" w:hAnsi="宋体" w:cs="宋体"/>
                <w:szCs w:val="21"/>
              </w:rPr>
            </w:pPr>
            <w:r>
              <w:rPr>
                <w:rStyle w:val="83"/>
                <w:rFonts w:hint="default"/>
                <w:color w:val="auto"/>
                <w:sz w:val="21"/>
                <w:szCs w:val="21"/>
                <w:lang w:bidi="ar"/>
              </w:rPr>
              <w:t>智能视频矩阵切换系统</w:t>
            </w:r>
            <w:r>
              <w:rPr>
                <w:rStyle w:val="86"/>
                <w:rFonts w:hint="eastAsia" w:ascii="MS Gothic" w:hAnsi="MS Gothic" w:eastAsia="MS Gothic" w:cs="MS Gothic"/>
                <w:color w:val="auto"/>
                <w:sz w:val="21"/>
                <w:szCs w:val="21"/>
                <w:lang w:bidi="ar"/>
              </w:rPr>
              <w:t>​</w:t>
            </w:r>
          </w:p>
        </w:tc>
        <w:tc>
          <w:tcPr>
            <w:tcW w:w="373" w:type="pct"/>
            <w:vAlign w:val="center"/>
          </w:tcPr>
          <w:p w14:paraId="43C9ED51">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34A20EC6">
            <w:pPr>
              <w:widowControl/>
              <w:spacing w:line="276" w:lineRule="auto"/>
              <w:jc w:val="left"/>
              <w:textAlignment w:val="center"/>
              <w:rPr>
                <w:rFonts w:ascii="宋体" w:hAnsi="宋体" w:cs="宋体"/>
                <w:szCs w:val="21"/>
              </w:rPr>
            </w:pPr>
            <w:r>
              <w:rPr>
                <w:rFonts w:hint="eastAsia" w:ascii="宋体" w:hAnsi="宋体" w:cs="宋体"/>
                <w:kern w:val="0"/>
                <w:szCs w:val="21"/>
                <w:lang w:bidi="ar"/>
              </w:rPr>
              <w:t>1、≥8*8HDMI高清矩阵，支持断电记忆，支持多种控制方式，支持1080P 3D和4K、2K分辨率；</w:t>
            </w:r>
            <w:r>
              <w:rPr>
                <w:rFonts w:hint="eastAsia" w:ascii="宋体" w:hAnsi="宋体" w:cs="宋体"/>
                <w:kern w:val="0"/>
                <w:szCs w:val="21"/>
                <w:lang w:bidi="ar"/>
              </w:rPr>
              <w:br w:type="textWrapping"/>
            </w:r>
            <w:r>
              <w:rPr>
                <w:rFonts w:hint="eastAsia" w:ascii="宋体" w:hAnsi="宋体" w:cs="宋体"/>
                <w:kern w:val="0"/>
                <w:szCs w:val="21"/>
                <w:lang w:bidi="ar"/>
              </w:rPr>
              <w:t>2、输入输出：支持HDBaseT、HDMI 等主流格式；</w:t>
            </w:r>
            <w:r>
              <w:rPr>
                <w:rFonts w:hint="eastAsia" w:ascii="宋体" w:hAnsi="宋体" w:cs="宋体"/>
                <w:kern w:val="0"/>
                <w:szCs w:val="21"/>
                <w:lang w:bidi="ar"/>
              </w:rPr>
              <w:br w:type="textWrapping"/>
            </w:r>
            <w:r>
              <w:rPr>
                <w:rFonts w:hint="eastAsia" w:ascii="宋体" w:hAnsi="宋体" w:cs="宋体"/>
                <w:kern w:val="0"/>
                <w:szCs w:val="21"/>
                <w:lang w:bidi="ar"/>
              </w:rPr>
              <w:t>3、支持RS232串口、红外、可编程I/0和网络TCP/IP开放控制协议，可实现智慧终端集成功能；</w:t>
            </w:r>
            <w:r>
              <w:rPr>
                <w:rFonts w:hint="eastAsia" w:ascii="宋体" w:hAnsi="宋体" w:cs="宋体"/>
                <w:kern w:val="0"/>
                <w:szCs w:val="21"/>
                <w:lang w:bidi="ar"/>
              </w:rPr>
              <w:br w:type="textWrapping"/>
            </w:r>
            <w:r>
              <w:rPr>
                <w:rFonts w:hint="eastAsia" w:ascii="宋体" w:hAnsi="宋体" w:cs="宋体"/>
                <w:kern w:val="0"/>
                <w:szCs w:val="21"/>
                <w:lang w:bidi="ar"/>
              </w:rPr>
              <w:t>4、输入、输出模块均支持热插拔；</w:t>
            </w:r>
            <w:r>
              <w:rPr>
                <w:rFonts w:hint="eastAsia" w:ascii="宋体" w:hAnsi="宋体" w:cs="宋体"/>
                <w:kern w:val="0"/>
                <w:szCs w:val="21"/>
                <w:lang w:bidi="ar"/>
              </w:rPr>
              <w:br w:type="textWrapping"/>
            </w:r>
            <w:r>
              <w:rPr>
                <w:rFonts w:hint="eastAsia" w:ascii="宋体" w:hAnsi="宋体" w:cs="宋体"/>
                <w:kern w:val="0"/>
                <w:szCs w:val="21"/>
                <w:lang w:bidi="ar"/>
              </w:rPr>
              <w:t>5、支持信号无缝实时切换,切换过程不黑屏、不蓝屏；</w:t>
            </w:r>
            <w:r>
              <w:rPr>
                <w:rFonts w:hint="eastAsia" w:ascii="宋体" w:hAnsi="宋体" w:cs="宋体"/>
                <w:kern w:val="0"/>
                <w:szCs w:val="21"/>
                <w:lang w:bidi="ar"/>
              </w:rPr>
              <w:br w:type="textWrapping"/>
            </w:r>
            <w:r>
              <w:rPr>
                <w:rFonts w:hint="eastAsia" w:ascii="宋体" w:hAnsi="宋体" w:cs="宋体"/>
                <w:kern w:val="0"/>
                <w:szCs w:val="21"/>
                <w:lang w:bidi="ar"/>
              </w:rPr>
              <w:t>6、输出信号分辨率：≥2K分辨率，每个输出通道均可设置不同的输出分辨率。</w:t>
            </w:r>
          </w:p>
        </w:tc>
        <w:tc>
          <w:tcPr>
            <w:tcW w:w="905" w:type="pct"/>
            <w:vAlign w:val="center"/>
          </w:tcPr>
          <w:p w14:paraId="363FF149">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4404C8FD">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6351E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6C8B76C2">
            <w:pPr>
              <w:spacing w:line="276" w:lineRule="auto"/>
              <w:jc w:val="center"/>
              <w:rPr>
                <w:rFonts w:ascii="宋体" w:hAnsi="宋体" w:cs="宋体"/>
                <w:szCs w:val="21"/>
              </w:rPr>
            </w:pPr>
            <w:r>
              <w:rPr>
                <w:rFonts w:ascii="宋体" w:hAnsi="宋体" w:cs="宋体"/>
                <w:szCs w:val="21"/>
              </w:rPr>
              <w:t>7</w:t>
            </w:r>
          </w:p>
        </w:tc>
        <w:tc>
          <w:tcPr>
            <w:tcW w:w="596" w:type="pct"/>
            <w:vAlign w:val="center"/>
          </w:tcPr>
          <w:p w14:paraId="3D57DC86">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智能拾音扩声音频处理主机</w:t>
            </w:r>
            <w:r>
              <w:rPr>
                <w:rFonts w:hint="eastAsia" w:ascii="MS Gothic" w:hAnsi="MS Gothic" w:eastAsia="MS Gothic" w:cs="MS Gothic"/>
                <w:kern w:val="0"/>
                <w:szCs w:val="21"/>
                <w:lang w:bidi="ar"/>
              </w:rPr>
              <w:t>​</w:t>
            </w:r>
          </w:p>
        </w:tc>
        <w:tc>
          <w:tcPr>
            <w:tcW w:w="373" w:type="pct"/>
            <w:vAlign w:val="center"/>
          </w:tcPr>
          <w:p w14:paraId="6EB3D7D2">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046B76A6">
            <w:pPr>
              <w:widowControl/>
              <w:spacing w:line="276" w:lineRule="auto"/>
              <w:jc w:val="left"/>
              <w:textAlignment w:val="center"/>
              <w:rPr>
                <w:rFonts w:ascii="宋体" w:hAnsi="宋体" w:cs="宋体"/>
                <w:szCs w:val="21"/>
              </w:rPr>
            </w:pPr>
            <w:r>
              <w:rPr>
                <w:rFonts w:hint="eastAsia" w:ascii="宋体" w:hAnsi="宋体" w:cs="宋体"/>
                <w:kern w:val="0"/>
                <w:szCs w:val="21"/>
                <w:lang w:bidi="ar"/>
              </w:rPr>
              <w:t>1、支持算法：AFC、ANS、AEC、AGC、ARR；具体音频相关技术指标要求：自动反馈抑制（AFC）：</w:t>
            </w:r>
            <w:r>
              <w:rPr>
                <w:rFonts w:hint="eastAsia" w:ascii="宋体" w:hAnsi="宋体" w:cs="宋体"/>
                <w:szCs w:val="21"/>
              </w:rPr>
              <w:t>传声增益提升幅度≥17dB；自动噪声抑制（ANS）：平稳噪声抑制幅度≥25dB；自动回声消除（AEC）：回声消除幅度≥90dB；自动增益控制（AGC）：远程互动教学时，自动增益控制音量提升幅度≥15dB；混响抑制（ARR）：混响抑制≥18dB</w:t>
            </w:r>
            <w:r>
              <w:rPr>
                <w:rFonts w:hint="eastAsia" w:ascii="宋体" w:hAnsi="宋体" w:cs="宋体"/>
                <w:kern w:val="0"/>
                <w:szCs w:val="21"/>
                <w:lang w:bidi="ar"/>
              </w:rPr>
              <w:t>。（提供国家认可的第三方检测机构出具的具有CMA标识的检测报告或产品白皮书）；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2、支持AI降噪技术，在使用过程中对环境自动感知，只对人声扩声，屏蔽脚步，敲击，风扇等各种噪声；</w:t>
            </w:r>
            <w:r>
              <w:rPr>
                <w:rFonts w:hint="eastAsia" w:ascii="宋体" w:hAnsi="宋体" w:cs="宋体"/>
                <w:kern w:val="0"/>
                <w:szCs w:val="21"/>
                <w:lang w:bidi="ar"/>
              </w:rPr>
              <w:br w:type="textWrapping"/>
            </w:r>
            <w:r>
              <w:rPr>
                <w:rFonts w:hint="eastAsia" w:ascii="宋体" w:hAnsi="宋体" w:cs="宋体"/>
                <w:kern w:val="0"/>
                <w:szCs w:val="21"/>
                <w:lang w:bidi="ar"/>
              </w:rPr>
              <w:t>3、支持声幕墙技术，能有效定位声源，可屏敝学生区域噪音（杂音），保证纯净的扩声效果（提供国家认可的第三方检测机构出具的具有CMA标识的检测报告或产品白皮书）；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4、扩声角度范围：老师麦扩声角度可覆盖 160°~180°范围的区域，在该区域内</w:t>
            </w:r>
            <w:r>
              <w:rPr>
                <w:rFonts w:hint="eastAsia" w:ascii="宋体" w:hAnsi="宋体" w:cs="宋体"/>
                <w:szCs w:val="21"/>
              </w:rPr>
              <w:t>音量波动≤5db</w:t>
            </w:r>
            <w:r>
              <w:rPr>
                <w:rFonts w:hint="eastAsia" w:ascii="宋体" w:hAnsi="宋体" w:cs="宋体"/>
                <w:kern w:val="0"/>
                <w:szCs w:val="21"/>
                <w:lang w:bidi="ar"/>
              </w:rPr>
              <w:t xml:space="preserve">；远程教学时送给远端的拾音范围：学生麦和老师麦都是全向（即360°）拾音； </w:t>
            </w:r>
            <w:r>
              <w:rPr>
                <w:rFonts w:hint="eastAsia" w:ascii="宋体" w:hAnsi="宋体" w:cs="宋体"/>
                <w:kern w:val="0"/>
                <w:szCs w:val="21"/>
                <w:lang w:bidi="ar"/>
              </w:rPr>
              <w:br w:type="textWrapping"/>
            </w:r>
            <w:r>
              <w:rPr>
                <w:rFonts w:hint="eastAsia" w:ascii="宋体" w:hAnsi="宋体" w:cs="宋体"/>
                <w:kern w:val="0"/>
                <w:szCs w:val="21"/>
                <w:lang w:bidi="ar"/>
              </w:rPr>
              <w:t>5、机架式设备，高度1U，音频处理部分和功率放大器集成到一个机箱内，功率放大器的</w:t>
            </w:r>
            <w:r>
              <w:rPr>
                <w:rFonts w:hint="eastAsia" w:ascii="宋体" w:hAnsi="宋体" w:cs="宋体"/>
                <w:szCs w:val="21"/>
              </w:rPr>
              <w:t>最大输出功率≥2*150W</w:t>
            </w:r>
            <w:r>
              <w:rPr>
                <w:rFonts w:hint="eastAsia" w:ascii="宋体" w:hAnsi="宋体" w:cs="宋体"/>
                <w:kern w:val="0"/>
                <w:szCs w:val="21"/>
                <w:lang w:bidi="ar"/>
              </w:rPr>
              <w:t xml:space="preserve">； </w:t>
            </w:r>
            <w:r>
              <w:rPr>
                <w:rFonts w:hint="eastAsia" w:ascii="宋体" w:hAnsi="宋体" w:cs="宋体"/>
                <w:kern w:val="0"/>
                <w:szCs w:val="21"/>
                <w:lang w:bidi="ar"/>
              </w:rPr>
              <w:br w:type="textWrapping"/>
            </w:r>
            <w:r>
              <w:rPr>
                <w:rFonts w:hint="eastAsia" w:ascii="宋体" w:hAnsi="宋体" w:cs="宋体"/>
                <w:kern w:val="0"/>
                <w:szCs w:val="21"/>
                <w:lang w:bidi="ar"/>
              </w:rPr>
              <w:t>6、通过一只阵列麦实现本地扩声和远程互动，AEC和AFC功能不相互受影响，本地扩音的声音清晰响亮、无啸叫；远程互动声音清晰、无噪声和回声，双端同时讲话无卡音、丢字、声音变小和失真现象；</w:t>
            </w:r>
            <w:r>
              <w:rPr>
                <w:rFonts w:hint="eastAsia" w:ascii="宋体" w:hAnsi="宋体" w:cs="宋体"/>
                <w:kern w:val="0"/>
                <w:szCs w:val="21"/>
                <w:lang w:bidi="ar"/>
              </w:rPr>
              <w:br w:type="textWrapping"/>
            </w:r>
            <w:r>
              <w:rPr>
                <w:rFonts w:hint="eastAsia" w:ascii="宋体" w:hAnsi="宋体" w:cs="宋体"/>
                <w:kern w:val="0"/>
                <w:szCs w:val="21"/>
                <w:lang w:bidi="ar"/>
              </w:rPr>
              <w:t>7、支持无线麦接入，在检测到无线麦接入时，优选无线麦扩声（提供国家认可的第三方检测机构出具的具有CMA标识的检测报告或产品白皮书）；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8、除支持远程音频信号接入外，还支持另外一路外部音频信号接入（如接大屏或老师PC电脑），播放外部音频信号时，不影响本地扩声；</w:t>
            </w:r>
            <w:r>
              <w:rPr>
                <w:rFonts w:hint="eastAsia" w:ascii="宋体" w:hAnsi="宋体" w:cs="宋体"/>
                <w:kern w:val="0"/>
                <w:szCs w:val="21"/>
                <w:lang w:bidi="ar"/>
              </w:rPr>
              <w:br w:type="textWrapping"/>
            </w:r>
            <w:r>
              <w:rPr>
                <w:rFonts w:hint="eastAsia" w:ascii="宋体" w:hAnsi="宋体" w:cs="宋体"/>
                <w:kern w:val="0"/>
                <w:szCs w:val="21"/>
                <w:lang w:bidi="ar"/>
              </w:rPr>
              <w:t>9、增益调节范围：</w:t>
            </w:r>
            <w:r>
              <w:rPr>
                <w:rFonts w:hint="eastAsia" w:ascii="宋体" w:hAnsi="宋体" w:cs="宋体"/>
                <w:szCs w:val="21"/>
              </w:rPr>
              <w:t>增益调节范围 覆盖-54dB～10dB；失真（THD+N）≤0.1%；信噪比（S/N）≥85dB；最大输入电平≥4dBu；最大输出电平≥10dBu；音频信号处理延迟≤15ms</w:t>
            </w: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10、输入支持五路及以上输入硬件接口，</w:t>
            </w:r>
            <w:r>
              <w:rPr>
                <w:rFonts w:hint="eastAsia" w:ascii="宋体" w:hAnsi="宋体" w:cs="宋体"/>
                <w:szCs w:val="21"/>
              </w:rPr>
              <w:t>≥</w:t>
            </w:r>
            <w:r>
              <w:rPr>
                <w:rFonts w:hint="eastAsia" w:ascii="宋体" w:hAnsi="宋体" w:cs="宋体"/>
                <w:kern w:val="0"/>
                <w:szCs w:val="21"/>
                <w:lang w:bidi="ar"/>
              </w:rPr>
              <w:t>2路WLAN口本地麦克风输入，</w:t>
            </w:r>
            <w:r>
              <w:rPr>
                <w:rFonts w:hint="eastAsia" w:ascii="宋体" w:hAnsi="宋体" w:cs="宋体"/>
                <w:szCs w:val="21"/>
              </w:rPr>
              <w:t>≥</w:t>
            </w:r>
            <w:r>
              <w:rPr>
                <w:rFonts w:hint="eastAsia" w:ascii="宋体" w:hAnsi="宋体" w:cs="宋体"/>
                <w:kern w:val="0"/>
                <w:szCs w:val="21"/>
                <w:lang w:bidi="ar"/>
              </w:rPr>
              <w:t>1路幻象供电麦克风或者无线麦克风输入，</w:t>
            </w:r>
            <w:r>
              <w:rPr>
                <w:rFonts w:hint="eastAsia" w:ascii="宋体" w:hAnsi="宋体" w:cs="宋体"/>
                <w:szCs w:val="21"/>
              </w:rPr>
              <w:t>≥</w:t>
            </w:r>
            <w:r>
              <w:rPr>
                <w:rFonts w:hint="eastAsia" w:ascii="宋体" w:hAnsi="宋体" w:cs="宋体"/>
                <w:kern w:val="0"/>
                <w:szCs w:val="21"/>
                <w:lang w:bidi="ar"/>
              </w:rPr>
              <w:t>1路外部音源输入，</w:t>
            </w:r>
            <w:r>
              <w:rPr>
                <w:rFonts w:hint="eastAsia" w:ascii="宋体" w:hAnsi="宋体" w:cs="宋体"/>
                <w:szCs w:val="21"/>
              </w:rPr>
              <w:t>≥</w:t>
            </w:r>
            <w:r>
              <w:rPr>
                <w:rFonts w:hint="eastAsia" w:ascii="宋体" w:hAnsi="宋体" w:cs="宋体"/>
                <w:kern w:val="0"/>
                <w:szCs w:val="21"/>
                <w:lang w:bidi="ar"/>
              </w:rPr>
              <w:t>1路远端输入；</w:t>
            </w:r>
            <w:r>
              <w:rPr>
                <w:rFonts w:hint="eastAsia" w:ascii="宋体" w:hAnsi="宋体" w:cs="宋体"/>
                <w:kern w:val="0"/>
                <w:szCs w:val="21"/>
                <w:lang w:bidi="ar"/>
              </w:rPr>
              <w:br w:type="textWrapping"/>
            </w:r>
            <w:r>
              <w:rPr>
                <w:rFonts w:hint="eastAsia" w:ascii="宋体" w:hAnsi="宋体" w:cs="宋体"/>
                <w:kern w:val="0"/>
                <w:szCs w:val="21"/>
                <w:lang w:bidi="ar"/>
              </w:rPr>
              <w:t>11、输出支持两路及以上输出硬件接口，</w:t>
            </w:r>
            <w:r>
              <w:rPr>
                <w:rFonts w:hint="eastAsia" w:ascii="宋体" w:hAnsi="宋体" w:cs="宋体"/>
                <w:szCs w:val="21"/>
              </w:rPr>
              <w:t>≥</w:t>
            </w:r>
            <w:r>
              <w:rPr>
                <w:rFonts w:hint="eastAsia" w:ascii="宋体" w:hAnsi="宋体" w:cs="宋体"/>
                <w:kern w:val="0"/>
                <w:szCs w:val="21"/>
                <w:lang w:bidi="ar"/>
              </w:rPr>
              <w:t>1路本地输出，</w:t>
            </w:r>
            <w:r>
              <w:rPr>
                <w:rFonts w:hint="eastAsia" w:ascii="宋体" w:hAnsi="宋体" w:cs="宋体"/>
                <w:szCs w:val="21"/>
              </w:rPr>
              <w:t>≥</w:t>
            </w:r>
            <w:r>
              <w:rPr>
                <w:rFonts w:hint="eastAsia" w:ascii="宋体" w:hAnsi="宋体" w:cs="宋体"/>
                <w:kern w:val="0"/>
                <w:szCs w:val="21"/>
                <w:lang w:bidi="ar"/>
              </w:rPr>
              <w:t>1路远端输出；</w:t>
            </w:r>
            <w:r>
              <w:rPr>
                <w:rFonts w:hint="eastAsia" w:ascii="宋体" w:hAnsi="宋体" w:cs="宋体"/>
                <w:kern w:val="0"/>
                <w:szCs w:val="21"/>
                <w:lang w:bidi="ar"/>
              </w:rPr>
              <w:br w:type="textWrapping"/>
            </w:r>
            <w:r>
              <w:rPr>
                <w:rFonts w:hint="eastAsia" w:ascii="宋体" w:hAnsi="宋体" w:cs="宋体"/>
                <w:kern w:val="0"/>
                <w:szCs w:val="21"/>
                <w:lang w:bidi="ar"/>
              </w:rPr>
              <w:t>12、支持通过网络或485接口对设备进行软控制；支持有与其他硬件设备通用对接端口；支持在设备上对支持对无线麦克和幻象供电输入信号接口、远端输入信号接口、输出给远端的接口、输出给喇叭的接口调节模拟音量。</w:t>
            </w:r>
          </w:p>
        </w:tc>
        <w:tc>
          <w:tcPr>
            <w:tcW w:w="905" w:type="pct"/>
            <w:vAlign w:val="center"/>
          </w:tcPr>
          <w:p w14:paraId="18CDE68B">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65DACE8B">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制造商官方网站截图或产品白皮书或第三方机构检测机构提供的检验报告。（如指标要求中有明确证明材料要求，以要求内容为准）</w:t>
            </w:r>
          </w:p>
        </w:tc>
      </w:tr>
      <w:tr w14:paraId="7E848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15D8D8C7">
            <w:pPr>
              <w:spacing w:line="276" w:lineRule="auto"/>
              <w:jc w:val="center"/>
              <w:rPr>
                <w:rFonts w:ascii="宋体" w:hAnsi="宋体" w:cs="宋体"/>
                <w:szCs w:val="21"/>
              </w:rPr>
            </w:pPr>
            <w:r>
              <w:rPr>
                <w:rFonts w:ascii="宋体" w:hAnsi="宋体" w:cs="宋体"/>
                <w:szCs w:val="21"/>
              </w:rPr>
              <w:t>8</w:t>
            </w:r>
          </w:p>
        </w:tc>
        <w:tc>
          <w:tcPr>
            <w:tcW w:w="596" w:type="pct"/>
            <w:vAlign w:val="center"/>
          </w:tcPr>
          <w:p w14:paraId="3B00FB86">
            <w:pPr>
              <w:widowControl/>
              <w:spacing w:line="276" w:lineRule="auto"/>
              <w:jc w:val="center"/>
              <w:textAlignment w:val="center"/>
              <w:rPr>
                <w:rFonts w:ascii="宋体" w:hAnsi="宋体" w:cs="宋体"/>
                <w:szCs w:val="21"/>
              </w:rPr>
            </w:pPr>
            <w:r>
              <w:rPr>
                <w:rStyle w:val="83"/>
                <w:rFonts w:hint="default"/>
                <w:color w:val="auto"/>
                <w:sz w:val="21"/>
                <w:szCs w:val="21"/>
                <w:lang w:bidi="ar"/>
              </w:rPr>
              <w:t>全景声条形阵列麦克风</w:t>
            </w:r>
            <w:r>
              <w:rPr>
                <w:rStyle w:val="86"/>
                <w:rFonts w:hint="eastAsia" w:ascii="MS Gothic" w:hAnsi="MS Gothic" w:eastAsia="MS Gothic" w:cs="MS Gothic"/>
                <w:color w:val="auto"/>
                <w:sz w:val="21"/>
                <w:szCs w:val="21"/>
                <w:lang w:bidi="ar"/>
              </w:rPr>
              <w:t>​</w:t>
            </w:r>
          </w:p>
        </w:tc>
        <w:tc>
          <w:tcPr>
            <w:tcW w:w="373" w:type="pct"/>
            <w:vAlign w:val="center"/>
          </w:tcPr>
          <w:p w14:paraId="17FCB77A">
            <w:pPr>
              <w:widowControl/>
              <w:spacing w:line="276" w:lineRule="auto"/>
              <w:jc w:val="center"/>
              <w:rPr>
                <w:rFonts w:ascii="宋体" w:hAnsi="宋体" w:cs="宋体"/>
                <w:kern w:val="0"/>
                <w:szCs w:val="21"/>
                <w:lang w:bidi="ar"/>
              </w:rPr>
            </w:pPr>
            <w:r>
              <w:rPr>
                <w:rFonts w:hint="eastAsia" w:ascii="宋体" w:hAnsi="宋体" w:cs="宋体"/>
                <w:kern w:val="0"/>
                <w:szCs w:val="21"/>
                <w:lang w:bidi="ar"/>
              </w:rPr>
              <w:t>#</w:t>
            </w:r>
          </w:p>
          <w:p w14:paraId="2FBE041F">
            <w:pPr>
              <w:widowControl/>
              <w:spacing w:line="276" w:lineRule="auto"/>
              <w:jc w:val="center"/>
              <w:rPr>
                <w:rFonts w:ascii="宋体" w:hAnsi="宋体" w:cs="宋体"/>
                <w:szCs w:val="21"/>
              </w:rPr>
            </w:pPr>
            <w:r>
              <w:rPr>
                <w:rFonts w:hint="eastAsia" w:ascii="宋体" w:hAnsi="宋体" w:cs="宋体"/>
                <w:kern w:val="0"/>
                <w:szCs w:val="21"/>
                <w:lang w:bidi="ar"/>
              </w:rPr>
              <w:t>重要指标</w:t>
            </w:r>
          </w:p>
        </w:tc>
        <w:tc>
          <w:tcPr>
            <w:tcW w:w="2756" w:type="pct"/>
            <w:vAlign w:val="center"/>
          </w:tcPr>
          <w:p w14:paraId="27B0D4D5">
            <w:pPr>
              <w:widowControl/>
              <w:spacing w:line="276" w:lineRule="auto"/>
              <w:jc w:val="left"/>
              <w:textAlignment w:val="center"/>
              <w:rPr>
                <w:rFonts w:ascii="宋体" w:hAnsi="宋体" w:cs="宋体"/>
                <w:szCs w:val="21"/>
              </w:rPr>
            </w:pPr>
            <w:r>
              <w:rPr>
                <w:rFonts w:hint="eastAsia" w:ascii="宋体" w:hAnsi="宋体" w:cs="宋体"/>
                <w:kern w:val="0"/>
                <w:szCs w:val="21"/>
                <w:lang w:bidi="ar"/>
              </w:rPr>
              <w:t>1、拾音距离：≥8米清晰拾音；</w:t>
            </w:r>
            <w:r>
              <w:rPr>
                <w:rFonts w:hint="eastAsia" w:ascii="宋体" w:hAnsi="宋体" w:cs="宋体"/>
                <w:kern w:val="0"/>
                <w:szCs w:val="21"/>
                <w:lang w:bidi="ar"/>
              </w:rPr>
              <w:br w:type="textWrapping"/>
            </w:r>
            <w:r>
              <w:rPr>
                <w:rFonts w:hint="eastAsia" w:ascii="宋体" w:hAnsi="宋体" w:cs="宋体"/>
                <w:kern w:val="0"/>
                <w:szCs w:val="21"/>
                <w:lang w:bidi="ar"/>
              </w:rPr>
              <w:t>2、麦克类型：阵列麦；麦克风数量≥6个；</w:t>
            </w:r>
            <w:r>
              <w:rPr>
                <w:rFonts w:hint="eastAsia" w:ascii="宋体" w:hAnsi="宋体" w:cs="宋体"/>
                <w:kern w:val="0"/>
                <w:szCs w:val="21"/>
                <w:lang w:bidi="ar"/>
              </w:rPr>
              <w:br w:type="textWrapping"/>
            </w:r>
            <w:r>
              <w:rPr>
                <w:rFonts w:hint="eastAsia" w:ascii="宋体" w:hAnsi="宋体" w:cs="宋体"/>
                <w:kern w:val="0"/>
                <w:szCs w:val="21"/>
                <w:lang w:bidi="ar"/>
              </w:rPr>
              <w:t>3、供电方式：RJ45网口供电；工作电压：DC12V；</w:t>
            </w:r>
            <w:r>
              <w:rPr>
                <w:rFonts w:hint="eastAsia" w:ascii="宋体" w:hAnsi="宋体" w:cs="宋体"/>
                <w:kern w:val="0"/>
                <w:szCs w:val="21"/>
                <w:lang w:bidi="ar"/>
              </w:rPr>
              <w:br w:type="textWrapping"/>
            </w:r>
            <w:r>
              <w:rPr>
                <w:rFonts w:hint="eastAsia" w:ascii="宋体" w:hAnsi="宋体" w:cs="宋体"/>
                <w:kern w:val="0"/>
                <w:szCs w:val="21"/>
                <w:lang w:bidi="ar"/>
              </w:rPr>
              <w:t>4、灵敏度-37dB±3dB、频率响应100-20KHz、信噪比≥70dB、失真度≦0.1%。</w:t>
            </w:r>
          </w:p>
        </w:tc>
        <w:tc>
          <w:tcPr>
            <w:tcW w:w="905" w:type="pct"/>
            <w:vAlign w:val="center"/>
          </w:tcPr>
          <w:p w14:paraId="2D7FD648">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5DD8DFFA">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5539A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68E0F173">
            <w:pPr>
              <w:spacing w:line="276" w:lineRule="auto"/>
              <w:jc w:val="center"/>
              <w:rPr>
                <w:rFonts w:ascii="宋体" w:hAnsi="宋体" w:cs="宋体"/>
                <w:szCs w:val="21"/>
              </w:rPr>
            </w:pPr>
            <w:r>
              <w:rPr>
                <w:rFonts w:ascii="宋体" w:hAnsi="宋体" w:cs="宋体"/>
                <w:szCs w:val="21"/>
              </w:rPr>
              <w:t>9</w:t>
            </w:r>
          </w:p>
        </w:tc>
        <w:tc>
          <w:tcPr>
            <w:tcW w:w="596" w:type="pct"/>
            <w:vAlign w:val="center"/>
          </w:tcPr>
          <w:p w14:paraId="189BC862">
            <w:pPr>
              <w:widowControl/>
              <w:spacing w:line="276" w:lineRule="auto"/>
              <w:jc w:val="center"/>
              <w:textAlignment w:val="center"/>
              <w:rPr>
                <w:rFonts w:ascii="宋体" w:hAnsi="宋体" w:cs="宋体"/>
                <w:szCs w:val="21"/>
              </w:rPr>
            </w:pPr>
            <w:r>
              <w:rPr>
                <w:rFonts w:hint="eastAsia" w:ascii="宋体" w:hAnsi="宋体" w:cs="宋体"/>
                <w:kern w:val="0"/>
                <w:szCs w:val="21"/>
                <w:lang w:bidi="ar"/>
              </w:rPr>
              <w:t>吊装支架</w:t>
            </w:r>
          </w:p>
        </w:tc>
        <w:tc>
          <w:tcPr>
            <w:tcW w:w="373" w:type="pct"/>
            <w:vAlign w:val="center"/>
          </w:tcPr>
          <w:p w14:paraId="2B6317E4">
            <w:pPr>
              <w:widowControl/>
              <w:spacing w:line="276" w:lineRule="auto"/>
              <w:jc w:val="center"/>
              <w:rPr>
                <w:rFonts w:ascii="宋体" w:hAnsi="宋体" w:cs="宋体"/>
                <w:szCs w:val="21"/>
              </w:rPr>
            </w:pPr>
          </w:p>
        </w:tc>
        <w:tc>
          <w:tcPr>
            <w:tcW w:w="2756" w:type="pct"/>
            <w:vAlign w:val="center"/>
          </w:tcPr>
          <w:p w14:paraId="139859D3">
            <w:pPr>
              <w:widowControl/>
              <w:spacing w:line="276" w:lineRule="auto"/>
              <w:jc w:val="left"/>
              <w:textAlignment w:val="center"/>
              <w:rPr>
                <w:rFonts w:ascii="宋体" w:hAnsi="宋体" w:cs="宋体"/>
                <w:szCs w:val="21"/>
              </w:rPr>
            </w:pPr>
            <w:r>
              <w:rPr>
                <w:rFonts w:hint="eastAsia" w:ascii="宋体" w:hAnsi="宋体" w:cs="宋体"/>
                <w:kern w:val="0"/>
                <w:szCs w:val="21"/>
                <w:lang w:bidi="ar"/>
              </w:rPr>
              <w:t>可伸缩支架，伸缩范围为覆盖60-120cm。</w:t>
            </w:r>
          </w:p>
        </w:tc>
        <w:tc>
          <w:tcPr>
            <w:tcW w:w="905" w:type="pct"/>
            <w:vAlign w:val="center"/>
          </w:tcPr>
          <w:p w14:paraId="56BABEE1">
            <w:pPr>
              <w:widowControl/>
              <w:spacing w:line="276" w:lineRule="auto"/>
              <w:jc w:val="center"/>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5FA3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7013159">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0</w:t>
            </w:r>
          </w:p>
        </w:tc>
        <w:tc>
          <w:tcPr>
            <w:tcW w:w="596" w:type="pct"/>
            <w:vAlign w:val="center"/>
          </w:tcPr>
          <w:p w14:paraId="63CF07A9">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智能桌面鹅颈话筒</w:t>
            </w:r>
          </w:p>
        </w:tc>
        <w:tc>
          <w:tcPr>
            <w:tcW w:w="373" w:type="pct"/>
            <w:vAlign w:val="center"/>
          </w:tcPr>
          <w:p w14:paraId="1865C08E">
            <w:pPr>
              <w:widowControl/>
              <w:spacing w:line="276" w:lineRule="auto"/>
              <w:jc w:val="center"/>
              <w:rPr>
                <w:rFonts w:ascii="宋体" w:hAnsi="宋体" w:cs="宋体"/>
                <w:szCs w:val="21"/>
              </w:rPr>
            </w:pPr>
          </w:p>
        </w:tc>
        <w:tc>
          <w:tcPr>
            <w:tcW w:w="2756" w:type="pct"/>
            <w:vAlign w:val="center"/>
          </w:tcPr>
          <w:p w14:paraId="1298B91E">
            <w:pPr>
              <w:widowControl/>
              <w:spacing w:line="276" w:lineRule="auto"/>
              <w:jc w:val="left"/>
              <w:textAlignment w:val="center"/>
              <w:rPr>
                <w:rFonts w:ascii="宋体" w:hAnsi="宋体" w:cs="宋体"/>
                <w:szCs w:val="21"/>
              </w:rPr>
            </w:pPr>
            <w:r>
              <w:rPr>
                <w:rFonts w:hint="eastAsia" w:ascii="宋体" w:hAnsi="宋体" w:cs="宋体"/>
                <w:kern w:val="0"/>
                <w:szCs w:val="21"/>
                <w:lang w:bidi="ar"/>
              </w:rPr>
              <w:t>1、底座需有TFT高清圆形彩屏，支持显示各种工作状态、动态；</w:t>
            </w:r>
            <w:r>
              <w:rPr>
                <w:rFonts w:hint="eastAsia" w:ascii="宋体" w:hAnsi="宋体" w:cs="宋体"/>
                <w:kern w:val="0"/>
                <w:szCs w:val="21"/>
                <w:lang w:bidi="ar"/>
              </w:rPr>
              <w:br w:type="textWrapping"/>
            </w:r>
            <w:r>
              <w:rPr>
                <w:rFonts w:hint="eastAsia" w:ascii="宋体" w:hAnsi="宋体" w:cs="宋体"/>
                <w:kern w:val="0"/>
                <w:szCs w:val="21"/>
                <w:lang w:bidi="ar"/>
              </w:rPr>
              <w:t>2、支持全触摸感应按键；</w:t>
            </w:r>
            <w:r>
              <w:rPr>
                <w:rFonts w:hint="eastAsia" w:ascii="宋体" w:hAnsi="宋体" w:cs="宋体"/>
                <w:kern w:val="0"/>
                <w:szCs w:val="21"/>
                <w:lang w:bidi="ar"/>
              </w:rPr>
              <w:br w:type="textWrapping"/>
            </w:r>
            <w:r>
              <w:rPr>
                <w:rFonts w:hint="eastAsia" w:ascii="宋体" w:hAnsi="宋体" w:cs="宋体"/>
                <w:kern w:val="0"/>
                <w:szCs w:val="21"/>
                <w:lang w:bidi="ar"/>
              </w:rPr>
              <w:t>3、一个隐藏式RJ45接口，接口需不外露，一根网线连接，可暗藏走线；</w:t>
            </w:r>
            <w:r>
              <w:rPr>
                <w:rFonts w:hint="eastAsia" w:ascii="宋体" w:hAnsi="宋体" w:cs="宋体"/>
                <w:kern w:val="0"/>
                <w:szCs w:val="21"/>
                <w:lang w:bidi="ar"/>
              </w:rPr>
              <w:br w:type="textWrapping"/>
            </w:r>
            <w:r>
              <w:rPr>
                <w:rFonts w:hint="eastAsia" w:ascii="宋体" w:hAnsi="宋体" w:cs="宋体"/>
                <w:kern w:val="0"/>
                <w:szCs w:val="21"/>
                <w:lang w:bidi="ar"/>
              </w:rPr>
              <w:t>4、为防止误插拔或接插头意外脱落，需采用分离式接口盒设计，桌面部分没有任何外露接插头；</w:t>
            </w:r>
            <w:r>
              <w:rPr>
                <w:rFonts w:hint="eastAsia" w:ascii="宋体" w:hAnsi="宋体" w:cs="宋体"/>
                <w:kern w:val="0"/>
                <w:szCs w:val="21"/>
                <w:lang w:bidi="ar"/>
              </w:rPr>
              <w:br w:type="textWrapping"/>
            </w:r>
            <w:r>
              <w:rPr>
                <w:rFonts w:hint="eastAsia" w:ascii="宋体" w:hAnsi="宋体" w:cs="宋体"/>
                <w:kern w:val="0"/>
                <w:szCs w:val="21"/>
                <w:lang w:bidi="ar"/>
              </w:rPr>
              <w:t>5、为防止移动、挪走、被盗，需采用分离式底座设计，可固定桌面安装。</w:t>
            </w:r>
          </w:p>
        </w:tc>
        <w:tc>
          <w:tcPr>
            <w:tcW w:w="905" w:type="pct"/>
            <w:vAlign w:val="center"/>
          </w:tcPr>
          <w:p w14:paraId="237B17F3">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0652A572">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0D33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CBC32BC">
            <w:pPr>
              <w:spacing w:line="276" w:lineRule="auto"/>
              <w:jc w:val="center"/>
              <w:rPr>
                <w:rFonts w:ascii="宋体" w:hAnsi="宋体" w:cs="宋体"/>
                <w:szCs w:val="21"/>
              </w:rPr>
            </w:pPr>
            <w:r>
              <w:rPr>
                <w:rFonts w:ascii="宋体" w:hAnsi="宋体" w:cs="宋体"/>
                <w:szCs w:val="21"/>
              </w:rPr>
              <w:t>11</w:t>
            </w:r>
          </w:p>
        </w:tc>
        <w:tc>
          <w:tcPr>
            <w:tcW w:w="596" w:type="pct"/>
            <w:vAlign w:val="center"/>
          </w:tcPr>
          <w:p w14:paraId="3AF34617">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智能无线教学话筒</w:t>
            </w:r>
          </w:p>
        </w:tc>
        <w:tc>
          <w:tcPr>
            <w:tcW w:w="373" w:type="pct"/>
            <w:vAlign w:val="center"/>
          </w:tcPr>
          <w:p w14:paraId="21D4BA7F">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79036151">
            <w:pPr>
              <w:widowControl/>
              <w:spacing w:line="276" w:lineRule="auto"/>
              <w:jc w:val="left"/>
              <w:textAlignment w:val="center"/>
              <w:rPr>
                <w:rFonts w:ascii="宋体" w:hAnsi="宋体" w:cs="宋体"/>
                <w:szCs w:val="21"/>
              </w:rPr>
            </w:pPr>
            <w:r>
              <w:rPr>
                <w:rFonts w:hint="eastAsia" w:ascii="宋体" w:hAnsi="宋体" w:cs="宋体"/>
                <w:kern w:val="0"/>
                <w:szCs w:val="21"/>
                <w:lang w:bidi="ar"/>
              </w:rPr>
              <w:t>1、具备2.4G、UHF、IR红外三种无线传输模式（提供国家认可的第三方检测机构出具的具有CMA标识的检测报告或产品白皮书）；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 xml:space="preserve">2、具备处理受干扰、易串频、音质差和维护管理困难的有效技术； </w:t>
            </w:r>
            <w:r>
              <w:rPr>
                <w:rFonts w:hint="eastAsia" w:ascii="宋体" w:hAnsi="宋体" w:cs="宋体"/>
                <w:kern w:val="0"/>
                <w:szCs w:val="21"/>
                <w:lang w:bidi="ar"/>
              </w:rPr>
              <w:br w:type="textWrapping"/>
            </w:r>
            <w:r>
              <w:rPr>
                <w:rFonts w:hint="eastAsia" w:ascii="宋体" w:hAnsi="宋体" w:cs="宋体"/>
                <w:kern w:val="0"/>
                <w:szCs w:val="21"/>
                <w:lang w:bidi="ar"/>
              </w:rPr>
              <w:t>3、具备全数字化传输、DSP信号处理、数字调试和智能管理的性能（提供国家认可的第三方检测机构出具的具有CMA标识的检测报告或产品白皮书）；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4、具备2.4G、IR红外两种自动对频方式；</w:t>
            </w:r>
            <w:r>
              <w:rPr>
                <w:rFonts w:hint="eastAsia" w:ascii="宋体" w:hAnsi="宋体" w:cs="宋体"/>
                <w:kern w:val="0"/>
                <w:szCs w:val="21"/>
                <w:lang w:bidi="ar"/>
              </w:rPr>
              <w:br w:type="textWrapping"/>
            </w:r>
            <w:r>
              <w:rPr>
                <w:rFonts w:hint="eastAsia" w:ascii="宋体" w:hAnsi="宋体" w:cs="宋体"/>
                <w:kern w:val="0"/>
                <w:szCs w:val="21"/>
                <w:lang w:bidi="ar"/>
              </w:rPr>
              <w:t>5、具备开机自动检测工作环境，自动选择最优工作信道（提供国家认可的第三方检测机构出具的具有CMA标识的检测报告或产品白皮书）；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6、具备使用过程中语音信道受到干扰时，自动进行信道选择切换的功能，不需人工干预；</w:t>
            </w:r>
            <w:r>
              <w:rPr>
                <w:rFonts w:hint="eastAsia" w:ascii="宋体" w:hAnsi="宋体" w:cs="宋体"/>
                <w:kern w:val="0"/>
                <w:szCs w:val="21"/>
                <w:lang w:bidi="ar"/>
              </w:rPr>
              <w:br w:type="textWrapping"/>
            </w:r>
            <w:r>
              <w:rPr>
                <w:rFonts w:hint="eastAsia" w:ascii="宋体" w:hAnsi="宋体" w:cs="宋体"/>
                <w:kern w:val="0"/>
                <w:szCs w:val="21"/>
                <w:lang w:bidi="ar"/>
              </w:rPr>
              <w:t>7、要求使用过程中管理信道受到干扰时，不影响语音信道的正常工作；</w:t>
            </w:r>
            <w:r>
              <w:rPr>
                <w:rFonts w:hint="eastAsia" w:ascii="宋体" w:hAnsi="宋体" w:cs="宋体"/>
                <w:kern w:val="0"/>
                <w:szCs w:val="21"/>
                <w:lang w:bidi="ar"/>
              </w:rPr>
              <w:br w:type="textWrapping"/>
            </w:r>
            <w:r>
              <w:rPr>
                <w:rFonts w:hint="eastAsia" w:ascii="宋体" w:hAnsi="宋体" w:cs="宋体"/>
                <w:kern w:val="0"/>
                <w:szCs w:val="21"/>
                <w:lang w:bidi="ar"/>
              </w:rPr>
              <w:t>8、音质，48K,16bit，30~20KHz宽频响；</w:t>
            </w:r>
            <w:r>
              <w:rPr>
                <w:rFonts w:hint="eastAsia" w:ascii="宋体" w:hAnsi="宋体" w:cs="宋体"/>
                <w:kern w:val="0"/>
                <w:szCs w:val="21"/>
                <w:lang w:bidi="ar"/>
              </w:rPr>
              <w:br w:type="textWrapping"/>
            </w:r>
            <w:r>
              <w:rPr>
                <w:rFonts w:hint="eastAsia" w:ascii="宋体" w:hAnsi="宋体" w:cs="宋体"/>
                <w:kern w:val="0"/>
                <w:szCs w:val="21"/>
                <w:lang w:bidi="ar"/>
              </w:rPr>
              <w:t>9、支持无线充电，放下充电，拿起讲话（提供国家认可的第三方检测机构出具的具有CMA标识的检测报告或产品白皮书）；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10、内置锂电≥1200mA；</w:t>
            </w:r>
            <w:r>
              <w:rPr>
                <w:rFonts w:hint="eastAsia" w:ascii="宋体" w:hAnsi="宋体" w:cs="宋体"/>
                <w:kern w:val="0"/>
                <w:szCs w:val="21"/>
                <w:lang w:bidi="ar"/>
              </w:rPr>
              <w:br w:type="textWrapping"/>
            </w:r>
            <w:r>
              <w:rPr>
                <w:rFonts w:hint="eastAsia" w:ascii="宋体" w:hAnsi="宋体" w:cs="宋体"/>
                <w:kern w:val="0"/>
                <w:szCs w:val="21"/>
                <w:lang w:bidi="ar"/>
              </w:rPr>
              <w:t>11、全智能充电管理，具备无线充电功能，零电池维护；</w:t>
            </w:r>
            <w:r>
              <w:rPr>
                <w:rFonts w:hint="eastAsia" w:ascii="宋体" w:hAnsi="宋体" w:cs="宋体"/>
                <w:kern w:val="0"/>
                <w:szCs w:val="21"/>
                <w:lang w:bidi="ar"/>
              </w:rPr>
              <w:br w:type="textWrapping"/>
            </w:r>
            <w:r>
              <w:rPr>
                <w:rFonts w:hint="eastAsia" w:ascii="宋体" w:hAnsi="宋体" w:cs="宋体"/>
                <w:kern w:val="0"/>
                <w:szCs w:val="21"/>
                <w:lang w:bidi="ar"/>
              </w:rPr>
              <w:t>12、连续工作时间≥8小时；</w:t>
            </w:r>
            <w:r>
              <w:rPr>
                <w:rFonts w:hint="eastAsia" w:ascii="宋体" w:hAnsi="宋体" w:cs="宋体"/>
                <w:kern w:val="0"/>
                <w:szCs w:val="21"/>
                <w:lang w:bidi="ar"/>
              </w:rPr>
              <w:br w:type="textWrapping"/>
            </w:r>
            <w:r>
              <w:rPr>
                <w:rFonts w:hint="eastAsia" w:ascii="宋体" w:hAnsi="宋体" w:cs="宋体"/>
                <w:kern w:val="0"/>
                <w:szCs w:val="21"/>
                <w:lang w:bidi="ar"/>
              </w:rPr>
              <w:t>13、集成智能传感器，放下静音，拿起说话；超时不用，自动待机；</w:t>
            </w:r>
            <w:r>
              <w:rPr>
                <w:rFonts w:hint="eastAsia" w:ascii="宋体" w:hAnsi="宋体" w:cs="宋体"/>
                <w:kern w:val="0"/>
                <w:szCs w:val="21"/>
                <w:lang w:bidi="ar"/>
              </w:rPr>
              <w:br w:type="textWrapping"/>
            </w:r>
            <w:r>
              <w:rPr>
                <w:rFonts w:hint="eastAsia" w:ascii="宋体" w:hAnsi="宋体" w:cs="宋体"/>
                <w:kern w:val="0"/>
                <w:szCs w:val="21"/>
                <w:lang w:bidi="ar"/>
              </w:rPr>
              <w:t>14、支持接入学校管理平台的接口（开放接口，能与第三方管理平台对接），能够联网智能管理所有话筒（提供过往与第三方管理平台成功对接的运行界面截图）；</w:t>
            </w:r>
            <w:r>
              <w:rPr>
                <w:rFonts w:hint="eastAsia" w:ascii="宋体" w:hAnsi="宋体" w:cs="宋体"/>
                <w:kern w:val="0"/>
                <w:szCs w:val="21"/>
                <w:lang w:bidi="ar"/>
              </w:rPr>
              <w:br w:type="textWrapping"/>
            </w:r>
            <w:r>
              <w:rPr>
                <w:rFonts w:hint="eastAsia" w:ascii="宋体" w:hAnsi="宋体" w:cs="宋体"/>
                <w:kern w:val="0"/>
                <w:szCs w:val="21"/>
                <w:lang w:bidi="ar"/>
              </w:rPr>
              <w:t>15、集话筒、激光教鞭和无线PPT翻页三种使用功能一身（提供国家认可的第三方检测机构出具的具有CMA标识的检测报告或产品白皮书）；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16、在使用状态下，可以同时进行充电；</w:t>
            </w:r>
            <w:r>
              <w:rPr>
                <w:rFonts w:hint="eastAsia" w:ascii="宋体" w:hAnsi="宋体" w:cs="宋体"/>
                <w:kern w:val="0"/>
                <w:szCs w:val="21"/>
                <w:lang w:bidi="ar"/>
              </w:rPr>
              <w:br w:type="textWrapping"/>
            </w:r>
            <w:r>
              <w:rPr>
                <w:rFonts w:hint="eastAsia" w:ascii="宋体" w:hAnsi="宋体" w:cs="宋体"/>
                <w:kern w:val="0"/>
                <w:szCs w:val="21"/>
                <w:lang w:bidi="ar"/>
              </w:rPr>
              <w:t>17、关机状态下，充电完成屏幕自动熄灭；</w:t>
            </w:r>
            <w:r>
              <w:rPr>
                <w:rFonts w:hint="eastAsia" w:ascii="宋体" w:hAnsi="宋体" w:cs="宋体"/>
                <w:kern w:val="0"/>
                <w:szCs w:val="21"/>
                <w:lang w:bidi="ar"/>
              </w:rPr>
              <w:br w:type="textWrapping"/>
            </w:r>
            <w:r>
              <w:rPr>
                <w:rFonts w:hint="eastAsia" w:ascii="宋体" w:hAnsi="宋体" w:cs="宋体"/>
                <w:kern w:val="0"/>
                <w:szCs w:val="21"/>
                <w:lang w:bidi="ar"/>
              </w:rPr>
              <w:t>18、具备OLED显示屏，清晰显示系统状态及参数；</w:t>
            </w:r>
            <w:r>
              <w:rPr>
                <w:rFonts w:hint="eastAsia" w:ascii="宋体" w:hAnsi="宋体" w:cs="宋体"/>
                <w:kern w:val="0"/>
                <w:szCs w:val="21"/>
                <w:lang w:bidi="ar"/>
              </w:rPr>
              <w:br w:type="textWrapping"/>
            </w:r>
            <w:r>
              <w:rPr>
                <w:rFonts w:hint="eastAsia" w:ascii="宋体" w:hAnsi="宋体" w:cs="宋体"/>
                <w:kern w:val="0"/>
                <w:szCs w:val="21"/>
                <w:lang w:bidi="ar"/>
              </w:rPr>
              <w:t>19、具备自动静音功能，自动语音快速恢复，嘈杂环境，正常使用；</w:t>
            </w:r>
            <w:r>
              <w:rPr>
                <w:rFonts w:hint="eastAsia" w:ascii="宋体" w:hAnsi="宋体" w:cs="宋体"/>
                <w:kern w:val="0"/>
                <w:szCs w:val="21"/>
                <w:lang w:bidi="ar"/>
              </w:rPr>
              <w:br w:type="textWrapping"/>
            </w:r>
            <w:r>
              <w:rPr>
                <w:rFonts w:hint="eastAsia" w:ascii="宋体" w:hAnsi="宋体" w:cs="宋体"/>
                <w:kern w:val="0"/>
                <w:szCs w:val="21"/>
                <w:lang w:bidi="ar"/>
              </w:rPr>
              <w:t>20、具备Type C 充电和数据接口。</w:t>
            </w:r>
          </w:p>
        </w:tc>
        <w:tc>
          <w:tcPr>
            <w:tcW w:w="905" w:type="pct"/>
            <w:vAlign w:val="center"/>
          </w:tcPr>
          <w:p w14:paraId="181B9DAE">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7471504B">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制造商官方网站截图或产品白皮书或第三方机构检测机构提供的检验报告。（如指标要求中有明确证明材料要求，以要求内容为准）</w:t>
            </w:r>
          </w:p>
        </w:tc>
      </w:tr>
      <w:tr w14:paraId="1617C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2B29F357">
            <w:pPr>
              <w:spacing w:line="276" w:lineRule="auto"/>
              <w:jc w:val="center"/>
              <w:rPr>
                <w:rFonts w:ascii="宋体" w:hAnsi="宋体" w:cs="宋体"/>
                <w:szCs w:val="21"/>
              </w:rPr>
            </w:pPr>
            <w:r>
              <w:rPr>
                <w:rFonts w:ascii="宋体" w:hAnsi="宋体" w:cs="宋体"/>
                <w:szCs w:val="21"/>
              </w:rPr>
              <w:t>12</w:t>
            </w:r>
          </w:p>
        </w:tc>
        <w:tc>
          <w:tcPr>
            <w:tcW w:w="596" w:type="pct"/>
            <w:vAlign w:val="center"/>
          </w:tcPr>
          <w:p w14:paraId="0369152B">
            <w:pPr>
              <w:widowControl/>
              <w:spacing w:line="276" w:lineRule="auto"/>
              <w:jc w:val="center"/>
              <w:textAlignment w:val="center"/>
              <w:rPr>
                <w:rFonts w:ascii="宋体" w:hAnsi="宋体" w:cs="宋体"/>
                <w:szCs w:val="21"/>
              </w:rPr>
            </w:pPr>
            <w:r>
              <w:rPr>
                <w:rFonts w:hint="eastAsia" w:ascii="宋体" w:hAnsi="宋体" w:cs="宋体"/>
                <w:kern w:val="0"/>
                <w:szCs w:val="21"/>
                <w:lang w:bidi="ar"/>
              </w:rPr>
              <w:t>分布式智能锁话筒管家（混合型）</w:t>
            </w:r>
          </w:p>
        </w:tc>
        <w:tc>
          <w:tcPr>
            <w:tcW w:w="373" w:type="pct"/>
            <w:vAlign w:val="center"/>
          </w:tcPr>
          <w:p w14:paraId="715DCDD0">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34D5E1AC">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采用锁扣式智能保管，话筒解锁即可实现对频、通信等预处理工作，无需额外对频动作，拿起话筒无需任何操作和等待即可使用（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2、无线充电，智能充电管理，电池充满自动停止充电（提供国家认可的第三方检测机构出具的具有CMA标识的检测报告或产品白皮书）。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3、采用TFT高清圆形彩屏，可对各种工作状态进行动态显示；</w:t>
            </w:r>
            <w:r>
              <w:rPr>
                <w:rFonts w:hint="eastAsia" w:ascii="宋体" w:hAnsi="宋体" w:cs="宋体"/>
                <w:kern w:val="0"/>
                <w:szCs w:val="21"/>
                <w:lang w:bidi="ar"/>
              </w:rPr>
              <w:br w:type="textWrapping"/>
            </w:r>
            <w:r>
              <w:rPr>
                <w:rFonts w:hint="eastAsia" w:ascii="宋体" w:hAnsi="宋体" w:cs="宋体"/>
                <w:kern w:val="0"/>
                <w:szCs w:val="21"/>
                <w:lang w:bidi="ar"/>
              </w:rPr>
              <w:t>4、采用全触摸感应按键，分离式接口盒设计，桌面部分没有任何外露接插头，防止误插拔和接插头意外脱落；</w:t>
            </w:r>
            <w:r>
              <w:rPr>
                <w:rFonts w:hint="eastAsia" w:ascii="宋体" w:hAnsi="宋体" w:cs="宋体"/>
                <w:kern w:val="0"/>
                <w:szCs w:val="21"/>
                <w:lang w:bidi="ar"/>
              </w:rPr>
              <w:br w:type="textWrapping"/>
            </w:r>
            <w:r>
              <w:rPr>
                <w:rFonts w:hint="eastAsia" w:ascii="宋体" w:hAnsi="宋体" w:cs="宋体"/>
                <w:kern w:val="0"/>
                <w:szCs w:val="21"/>
                <w:lang w:bidi="ar"/>
              </w:rPr>
              <w:t>5、前端处理器只有一个隐藏式RJ45接口，接口不外露，只有一根网线连接，可暗藏走线。</w:t>
            </w:r>
          </w:p>
          <w:p w14:paraId="61BDC75B">
            <w:pPr>
              <w:widowControl/>
              <w:spacing w:line="276" w:lineRule="auto"/>
              <w:jc w:val="left"/>
              <w:textAlignment w:val="center"/>
              <w:rPr>
                <w:rFonts w:ascii="宋体" w:hAnsi="宋体" w:cs="宋体"/>
                <w:szCs w:val="21"/>
              </w:rPr>
            </w:pPr>
            <w:r>
              <w:rPr>
                <w:rFonts w:hint="eastAsia" w:ascii="宋体" w:hAnsi="宋体" w:cs="宋体"/>
                <w:kern w:val="0"/>
                <w:szCs w:val="21"/>
                <w:lang w:bidi="ar"/>
              </w:rPr>
              <w:t>6、分离式底座设计，RJ45接口设计在底座下，通过笔记本电池用的专业连接器与上面的处理器连接组合，可固定桌面安装，防止移动、挪走、被盗。</w:t>
            </w:r>
            <w:r>
              <w:rPr>
                <w:rFonts w:hint="eastAsia" w:ascii="宋体" w:hAnsi="宋体" w:cs="宋体"/>
                <w:kern w:val="0"/>
                <w:szCs w:val="21"/>
                <w:lang w:bidi="ar"/>
              </w:rPr>
              <w:br w:type="textWrapping"/>
            </w:r>
            <w:r>
              <w:rPr>
                <w:rFonts w:hint="eastAsia" w:ascii="宋体" w:hAnsi="宋体" w:cs="宋体"/>
                <w:kern w:val="0"/>
                <w:szCs w:val="21"/>
                <w:lang w:bidi="ar"/>
              </w:rPr>
              <w:t>7、可支持1支话筒和1支鹅颈麦进行充电、保管和管理；</w:t>
            </w:r>
            <w:r>
              <w:rPr>
                <w:rFonts w:hint="eastAsia" w:ascii="宋体" w:hAnsi="宋体" w:cs="宋体"/>
                <w:kern w:val="0"/>
                <w:szCs w:val="21"/>
                <w:lang w:bidi="ar"/>
              </w:rPr>
              <w:br w:type="textWrapping"/>
            </w:r>
            <w:r>
              <w:rPr>
                <w:rFonts w:hint="eastAsia" w:ascii="宋体" w:hAnsi="宋体" w:cs="宋体"/>
                <w:kern w:val="0"/>
                <w:szCs w:val="21"/>
                <w:lang w:bidi="ar"/>
              </w:rPr>
              <w:t>8、可支持接入中控进行控制。</w:t>
            </w:r>
          </w:p>
        </w:tc>
        <w:tc>
          <w:tcPr>
            <w:tcW w:w="905" w:type="pct"/>
            <w:vAlign w:val="center"/>
          </w:tcPr>
          <w:p w14:paraId="391A3F31">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08E15C00">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制造商官方网站截图或产品白皮书或第三方机构检测机构提供的检验报告。（如指标要求中有明确证明材料要求，以要求内容为准）</w:t>
            </w:r>
          </w:p>
        </w:tc>
      </w:tr>
      <w:tr w14:paraId="4071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0C890C2">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3</w:t>
            </w:r>
          </w:p>
        </w:tc>
        <w:tc>
          <w:tcPr>
            <w:tcW w:w="596" w:type="pct"/>
            <w:vAlign w:val="center"/>
          </w:tcPr>
          <w:p w14:paraId="0EC04523">
            <w:pPr>
              <w:widowControl/>
              <w:spacing w:line="276" w:lineRule="auto"/>
              <w:jc w:val="center"/>
              <w:textAlignment w:val="center"/>
              <w:rPr>
                <w:rFonts w:ascii="宋体" w:hAnsi="宋体" w:cs="宋体"/>
                <w:szCs w:val="21"/>
              </w:rPr>
            </w:pPr>
            <w:r>
              <w:rPr>
                <w:rStyle w:val="83"/>
                <w:rFonts w:hint="default"/>
                <w:color w:val="auto"/>
                <w:sz w:val="21"/>
                <w:szCs w:val="21"/>
                <w:lang w:bidi="ar"/>
              </w:rPr>
              <w:t>智能音频接收终端</w:t>
            </w:r>
            <w:r>
              <w:rPr>
                <w:rStyle w:val="86"/>
                <w:rFonts w:hint="eastAsia" w:ascii="MS Gothic" w:hAnsi="MS Gothic" w:eastAsia="MS Gothic" w:cs="MS Gothic"/>
                <w:color w:val="auto"/>
                <w:sz w:val="21"/>
                <w:szCs w:val="21"/>
                <w:lang w:bidi="ar"/>
              </w:rPr>
              <w:t>​</w:t>
            </w:r>
          </w:p>
        </w:tc>
        <w:tc>
          <w:tcPr>
            <w:tcW w:w="373" w:type="pct"/>
            <w:vAlign w:val="center"/>
          </w:tcPr>
          <w:p w14:paraId="6088E589">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tcPr>
          <w:p w14:paraId="517A3EC5">
            <w:pPr>
              <w:widowControl/>
              <w:spacing w:line="276" w:lineRule="auto"/>
              <w:jc w:val="left"/>
              <w:textAlignment w:val="top"/>
              <w:rPr>
                <w:rFonts w:ascii="宋体" w:hAnsi="宋体" w:cs="宋体"/>
                <w:szCs w:val="21"/>
              </w:rPr>
            </w:pPr>
            <w:r>
              <w:rPr>
                <w:rFonts w:hint="eastAsia" w:ascii="宋体" w:hAnsi="宋体" w:cs="宋体"/>
                <w:kern w:val="0"/>
                <w:szCs w:val="21"/>
                <w:lang w:bidi="ar"/>
              </w:rPr>
              <w:t>1、具备供电、数据中继、音频解码等功能；</w:t>
            </w:r>
            <w:r>
              <w:rPr>
                <w:rFonts w:hint="eastAsia" w:ascii="宋体" w:hAnsi="宋体" w:cs="宋体"/>
                <w:kern w:val="0"/>
                <w:szCs w:val="21"/>
                <w:lang w:bidi="ar"/>
              </w:rPr>
              <w:br w:type="textWrapping"/>
            </w:r>
            <w:r>
              <w:rPr>
                <w:rFonts w:hint="eastAsia" w:ascii="宋体" w:hAnsi="宋体" w:cs="宋体"/>
                <w:kern w:val="0"/>
                <w:szCs w:val="21"/>
                <w:lang w:bidi="ar"/>
              </w:rPr>
              <w:t>2、具备RS232数据格式转换输出，可提供RJ45网口中继接口，输出至另一扩声设备；</w:t>
            </w:r>
            <w:r>
              <w:rPr>
                <w:rFonts w:hint="eastAsia" w:ascii="宋体" w:hAnsi="宋体" w:cs="宋体"/>
                <w:kern w:val="0"/>
                <w:szCs w:val="21"/>
                <w:lang w:bidi="ar"/>
              </w:rPr>
              <w:br w:type="textWrapping"/>
            </w:r>
            <w:r>
              <w:rPr>
                <w:rFonts w:hint="eastAsia" w:ascii="宋体" w:hAnsi="宋体" w:cs="宋体"/>
                <w:kern w:val="0"/>
                <w:szCs w:val="21"/>
                <w:lang w:bidi="ar"/>
              </w:rPr>
              <w:t>3、具备不少于1路平衡信号输出、一路RCA莲花接口输出，1个6.35接口输出；</w:t>
            </w:r>
            <w:r>
              <w:rPr>
                <w:rFonts w:hint="eastAsia" w:ascii="宋体" w:hAnsi="宋体" w:cs="宋体"/>
                <w:kern w:val="0"/>
                <w:szCs w:val="21"/>
                <w:lang w:bidi="ar"/>
              </w:rPr>
              <w:br w:type="textWrapping"/>
            </w:r>
            <w:r>
              <w:rPr>
                <w:rFonts w:hint="eastAsia" w:ascii="宋体" w:hAnsi="宋体" w:cs="宋体"/>
                <w:kern w:val="0"/>
                <w:szCs w:val="21"/>
                <w:lang w:bidi="ar"/>
              </w:rPr>
              <w:t>4.具备不少于2路RJ45网络接口，支持接入两个无线话筒前端处理器；</w:t>
            </w:r>
            <w:r>
              <w:rPr>
                <w:rFonts w:hint="eastAsia" w:ascii="宋体" w:hAnsi="宋体" w:cs="宋体"/>
                <w:kern w:val="0"/>
                <w:szCs w:val="21"/>
                <w:lang w:bidi="ar"/>
              </w:rPr>
              <w:br w:type="textWrapping"/>
            </w:r>
            <w:r>
              <w:rPr>
                <w:rFonts w:hint="eastAsia" w:ascii="宋体" w:hAnsi="宋体" w:cs="宋体"/>
                <w:kern w:val="0"/>
                <w:szCs w:val="21"/>
                <w:lang w:bidi="ar"/>
              </w:rPr>
              <w:t>5、支持通过一根网线连接前端处理器，传输距离不少于50米，不受机柜安装位置限制。</w:t>
            </w:r>
          </w:p>
        </w:tc>
        <w:tc>
          <w:tcPr>
            <w:tcW w:w="905" w:type="pct"/>
            <w:vAlign w:val="center"/>
          </w:tcPr>
          <w:p w14:paraId="28B8D5A2">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41E01EDC">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13855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7B7D28D7">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4</w:t>
            </w:r>
          </w:p>
        </w:tc>
        <w:tc>
          <w:tcPr>
            <w:tcW w:w="596" w:type="pct"/>
            <w:vAlign w:val="center"/>
          </w:tcPr>
          <w:p w14:paraId="6FAC2562">
            <w:pPr>
              <w:widowControl/>
              <w:spacing w:line="276" w:lineRule="auto"/>
              <w:jc w:val="center"/>
              <w:textAlignment w:val="center"/>
              <w:rPr>
                <w:rFonts w:ascii="宋体" w:hAnsi="宋体" w:cs="宋体"/>
                <w:szCs w:val="21"/>
              </w:rPr>
            </w:pPr>
            <w:r>
              <w:rPr>
                <w:rFonts w:hint="eastAsia" w:ascii="宋体" w:hAnsi="宋体" w:cs="宋体"/>
                <w:kern w:val="0"/>
                <w:szCs w:val="21"/>
                <w:lang w:bidi="ar"/>
              </w:rPr>
              <w:t>全景声音箱</w:t>
            </w:r>
          </w:p>
        </w:tc>
        <w:tc>
          <w:tcPr>
            <w:tcW w:w="373" w:type="pct"/>
            <w:vAlign w:val="center"/>
          </w:tcPr>
          <w:p w14:paraId="2B2E48F5">
            <w:pPr>
              <w:widowControl/>
              <w:spacing w:line="276" w:lineRule="auto"/>
              <w:jc w:val="center"/>
              <w:rPr>
                <w:rFonts w:ascii="宋体" w:hAnsi="宋体" w:cs="宋体"/>
                <w:szCs w:val="21"/>
              </w:rPr>
            </w:pPr>
          </w:p>
        </w:tc>
        <w:tc>
          <w:tcPr>
            <w:tcW w:w="2756" w:type="pct"/>
            <w:vAlign w:val="center"/>
          </w:tcPr>
          <w:p w14:paraId="2135158B">
            <w:pPr>
              <w:widowControl/>
              <w:spacing w:line="276" w:lineRule="auto"/>
              <w:jc w:val="left"/>
              <w:textAlignment w:val="center"/>
              <w:rPr>
                <w:rFonts w:ascii="宋体" w:hAnsi="宋体" w:cs="宋体"/>
                <w:szCs w:val="21"/>
              </w:rPr>
            </w:pPr>
            <w:r>
              <w:rPr>
                <w:rFonts w:hint="eastAsia" w:ascii="宋体" w:hAnsi="宋体" w:cs="宋体"/>
                <w:kern w:val="0"/>
                <w:szCs w:val="21"/>
                <w:lang w:bidi="ar"/>
              </w:rPr>
              <w:t>1.额定功率 ≥30W；</w:t>
            </w:r>
            <w:r>
              <w:rPr>
                <w:rFonts w:hint="eastAsia" w:ascii="宋体" w:hAnsi="宋体" w:cs="宋体"/>
                <w:kern w:val="0"/>
                <w:szCs w:val="21"/>
                <w:lang w:bidi="ar"/>
              </w:rPr>
              <w:br w:type="textWrapping"/>
            </w:r>
            <w:r>
              <w:rPr>
                <w:rFonts w:hint="eastAsia" w:ascii="宋体" w:hAnsi="宋体" w:cs="宋体"/>
                <w:kern w:val="0"/>
                <w:szCs w:val="21"/>
                <w:lang w:bidi="ar"/>
              </w:rPr>
              <w:t>2.灵敏度 ≥91dB；</w:t>
            </w:r>
            <w:r>
              <w:rPr>
                <w:rFonts w:hint="eastAsia" w:ascii="宋体" w:hAnsi="宋体" w:cs="宋体"/>
                <w:kern w:val="0"/>
                <w:szCs w:val="21"/>
                <w:lang w:bidi="ar"/>
              </w:rPr>
              <w:br w:type="textWrapping"/>
            </w:r>
            <w:r>
              <w:rPr>
                <w:rFonts w:hint="eastAsia" w:ascii="宋体" w:hAnsi="宋体" w:cs="宋体"/>
                <w:kern w:val="0"/>
                <w:szCs w:val="21"/>
                <w:lang w:bidi="ar"/>
              </w:rPr>
              <w:t>3.物抗 8Ω±1Ω；</w:t>
            </w:r>
            <w:r>
              <w:rPr>
                <w:rFonts w:hint="eastAsia" w:ascii="宋体" w:hAnsi="宋体" w:cs="宋体"/>
                <w:kern w:val="0"/>
                <w:szCs w:val="21"/>
                <w:lang w:bidi="ar"/>
              </w:rPr>
              <w:br w:type="textWrapping"/>
            </w:r>
            <w:r>
              <w:rPr>
                <w:rFonts w:hint="eastAsia" w:ascii="宋体" w:hAnsi="宋体" w:cs="宋体"/>
                <w:kern w:val="0"/>
                <w:szCs w:val="21"/>
                <w:lang w:bidi="ar"/>
              </w:rPr>
              <w:t>4.最大声压级≥92dB；</w:t>
            </w:r>
            <w:r>
              <w:rPr>
                <w:rFonts w:hint="eastAsia" w:ascii="宋体" w:hAnsi="宋体" w:cs="宋体"/>
                <w:kern w:val="0"/>
                <w:szCs w:val="21"/>
                <w:lang w:bidi="ar"/>
              </w:rPr>
              <w:br w:type="textWrapping"/>
            </w:r>
            <w:r>
              <w:rPr>
                <w:rFonts w:hint="eastAsia" w:ascii="宋体" w:hAnsi="宋体" w:cs="宋体"/>
                <w:kern w:val="0"/>
                <w:szCs w:val="21"/>
                <w:lang w:bidi="ar"/>
              </w:rPr>
              <w:t>5.频率响应覆盖90HZ-16000KHz。</w:t>
            </w:r>
          </w:p>
        </w:tc>
        <w:tc>
          <w:tcPr>
            <w:tcW w:w="905" w:type="pct"/>
            <w:vAlign w:val="center"/>
          </w:tcPr>
          <w:p w14:paraId="312B74E6">
            <w:pPr>
              <w:widowControl/>
              <w:spacing w:line="276" w:lineRule="auto"/>
              <w:jc w:val="center"/>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745B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41B5B1B">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5</w:t>
            </w:r>
          </w:p>
        </w:tc>
        <w:tc>
          <w:tcPr>
            <w:tcW w:w="596" w:type="pct"/>
            <w:vAlign w:val="center"/>
          </w:tcPr>
          <w:p w14:paraId="6F322319">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智慧物联控制一体机</w:t>
            </w:r>
            <w:r>
              <w:rPr>
                <w:rFonts w:hint="eastAsia" w:ascii="MS Gothic" w:hAnsi="MS Gothic" w:eastAsia="MS Gothic" w:cs="MS Gothic"/>
                <w:kern w:val="0"/>
                <w:szCs w:val="21"/>
                <w:lang w:bidi="ar"/>
              </w:rPr>
              <w:t>​</w:t>
            </w:r>
          </w:p>
        </w:tc>
        <w:tc>
          <w:tcPr>
            <w:tcW w:w="373" w:type="pct"/>
            <w:vAlign w:val="center"/>
          </w:tcPr>
          <w:p w14:paraId="5A5942CE">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5CA574A4">
            <w:pPr>
              <w:widowControl/>
              <w:spacing w:line="276" w:lineRule="auto"/>
              <w:jc w:val="left"/>
              <w:textAlignment w:val="center"/>
              <w:rPr>
                <w:rFonts w:ascii="宋体" w:hAnsi="宋体" w:cs="宋体"/>
                <w:szCs w:val="21"/>
              </w:rPr>
            </w:pPr>
            <w:r>
              <w:rPr>
                <w:rFonts w:hint="eastAsia" w:ascii="宋体" w:hAnsi="宋体" w:cs="宋体"/>
                <w:kern w:val="0"/>
                <w:szCs w:val="21"/>
                <w:lang w:bidi="ar"/>
              </w:rPr>
              <w:t>1、产品需采用标准 1U 机架式设计；需采用超静音无风扇设计；</w:t>
            </w:r>
            <w:r>
              <w:rPr>
                <w:rFonts w:hint="eastAsia" w:ascii="宋体" w:hAnsi="宋体" w:cs="宋体"/>
                <w:kern w:val="0"/>
                <w:szCs w:val="21"/>
                <w:lang w:bidi="ar"/>
              </w:rPr>
              <w:br w:type="textWrapping"/>
            </w:r>
            <w:r>
              <w:rPr>
                <w:rFonts w:hint="eastAsia" w:ascii="宋体" w:hAnsi="宋体" w:cs="宋体"/>
                <w:kern w:val="0"/>
                <w:szCs w:val="21"/>
                <w:lang w:bidi="ar"/>
              </w:rPr>
              <w:t>2、产品需采用工业级国产CPU，LINUX操作系统，处理器四核或以上，64位处理器；主频：单核心最高运行频率≥2.0 GHz；三级缓存：≥4 MB，主频≥1.8G，内存LPDDR4≥2GB，存储EMMC≥32GB。实现网络融合功能，IP广播、设备管控等功能运行于同一系统，使用同一IP地址；</w:t>
            </w:r>
            <w:r>
              <w:rPr>
                <w:rFonts w:hint="eastAsia" w:ascii="宋体" w:hAnsi="宋体" w:cs="宋体"/>
                <w:kern w:val="0"/>
                <w:szCs w:val="21"/>
                <w:lang w:bidi="ar"/>
              </w:rPr>
              <w:br w:type="textWrapping"/>
            </w:r>
            <w:r>
              <w:rPr>
                <w:rFonts w:hint="eastAsia" w:ascii="宋体" w:hAnsi="宋体" w:cs="宋体"/>
                <w:kern w:val="0"/>
                <w:szCs w:val="21"/>
                <w:lang w:bidi="ar"/>
              </w:rPr>
              <w:t>3、产品集成≥6路千兆交换网络接口（其中≥4 路 POE，≥5 路 VLAN划分），≥10 路 USB 接口，≥4 路 HDMI IN 接口，≥4 路 HDMI OUT 接口，≥1 路 3.5mm 音频输入接口，≥2 路 3.5mm 音频输出接口，≥1 路 Mic in 接口，≥2 路 IO 输入输出接口，≥6 路 RS232 通讯接口，≥2路 RS485 通讯接口，≥1 路直流 12V/5V 供电输出接口，≥2 路音箱接口，≥3 路强电输出接口（其中≥1 路幕布输出接口），1 路强电输入接口；（提供国家认可的第三方检测机构出具的具有CMA标识的检测报告或产品白皮书）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4、≥2*60W 数字功放，支持接入不少于2 路定阻音箱；</w:t>
            </w:r>
            <w:r>
              <w:rPr>
                <w:rFonts w:hint="eastAsia" w:ascii="宋体" w:hAnsi="宋体" w:cs="宋体"/>
                <w:kern w:val="0"/>
                <w:szCs w:val="21"/>
                <w:lang w:bidi="ar"/>
              </w:rPr>
              <w:br w:type="textWrapping"/>
            </w:r>
            <w:r>
              <w:rPr>
                <w:rFonts w:hint="eastAsia" w:ascii="宋体" w:hAnsi="宋体" w:cs="宋体"/>
                <w:kern w:val="0"/>
                <w:szCs w:val="21"/>
                <w:lang w:bidi="ar"/>
              </w:rPr>
              <w:t>5、3.5mm 音频输入支持配置增益，支持与其他音频源混音麦克风支持配置幻象供电和增益，支持与其他音频源混音；</w:t>
            </w:r>
            <w:r>
              <w:rPr>
                <w:rFonts w:hint="eastAsia" w:ascii="宋体" w:hAnsi="宋体" w:cs="宋体"/>
                <w:kern w:val="0"/>
                <w:szCs w:val="21"/>
                <w:lang w:bidi="ar"/>
              </w:rPr>
              <w:br w:type="textWrapping"/>
            </w:r>
            <w:r>
              <w:rPr>
                <w:rFonts w:hint="eastAsia" w:ascii="宋体" w:hAnsi="宋体" w:cs="宋体"/>
                <w:kern w:val="0"/>
                <w:szCs w:val="21"/>
                <w:lang w:bidi="ar"/>
              </w:rPr>
              <w:t>6、内置≥4 *4 路全交叉矩阵HDMI矩阵，支持≥4 路 HDMI 输入信号，≥4 路 HDMI 输出信号；支持≥4路HDMI输出同时设置不同输出分辨率及音频内置功能；（提供国家认可的第三方检测机构出具的具有CMA标识的检测报告或产品白皮书）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7、内置≥4*4 路全交叉USB矩阵，用于教室电脑、OPS和教师自带笔记本等设备的键盘、鼠标、U盘、触摸屏切换跟随；（提供国家认可的第三方检测机构出具的具有CMA标识的检测报告或产品白皮书）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8、强电接口采用国标电源插口，每路负载电流不小于 10A；支持自定义设置电源输出方式，可与投影仪、幕布、显示器、大屏、屏蔽仪、电脑、录播等设备自定义选择；支持强电能耗检测，数据上传服务器，实时统计；</w:t>
            </w:r>
            <w:r>
              <w:rPr>
                <w:rFonts w:hint="eastAsia" w:ascii="宋体" w:hAnsi="宋体" w:cs="宋体"/>
                <w:kern w:val="0"/>
                <w:szCs w:val="21"/>
                <w:lang w:bidi="ar"/>
              </w:rPr>
              <w:br w:type="textWrapping"/>
            </w:r>
            <w:r>
              <w:rPr>
                <w:rFonts w:hint="eastAsia" w:ascii="宋体" w:hAnsi="宋体" w:cs="宋体"/>
                <w:kern w:val="0"/>
                <w:szCs w:val="21"/>
                <w:lang w:bidi="ar"/>
              </w:rPr>
              <w:t>9、IO 接口支持外设设备高低电平检测，实现多媒体设备的联动控制；RS232 接口支持软件自定义选择，直流12V/5V 采用同一端口，支持软件自定义选择输出；（提供国家认可的第三方检测机构出具的具有CMA标识的检测报告或产品白皮书）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10、设备自带数字音频硬件解码功能，支持数字广播功能，可通过平台设置广播任务的优先级、执行时间等，优先级支持0-99级调整。支持接收实时广播和定时广播。支持离线广播功能，终端在线时自动同步平台端铃声任务到本地，终端离线后根据铃声任务表可自动执行铃声任务，无需额外部署模拟广播系统；（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11、设备通过网络对外接电脑进行开关机控制，电脑状态实时反馈到设备面板控制界面和管理平台；</w:t>
            </w:r>
            <w:r>
              <w:rPr>
                <w:rFonts w:hint="eastAsia" w:ascii="宋体" w:hAnsi="宋体" w:cs="宋体"/>
                <w:kern w:val="0"/>
                <w:szCs w:val="21"/>
                <w:lang w:bidi="ar"/>
              </w:rPr>
              <w:br w:type="textWrapping"/>
            </w:r>
            <w:r>
              <w:rPr>
                <w:rFonts w:hint="eastAsia" w:ascii="宋体" w:hAnsi="宋体" w:cs="宋体"/>
                <w:kern w:val="0"/>
                <w:szCs w:val="21"/>
                <w:lang w:bidi="ar"/>
              </w:rPr>
              <w:t>12、设备电源具有短路、过载、过压和过温保护；电源输入口有电流熔断保险丝，可不拆开设备更换保险丝；</w:t>
            </w:r>
            <w:r>
              <w:rPr>
                <w:rFonts w:hint="eastAsia" w:ascii="宋体" w:hAnsi="宋体" w:cs="宋体"/>
                <w:kern w:val="0"/>
                <w:szCs w:val="21"/>
                <w:lang w:bidi="ar"/>
              </w:rPr>
              <w:br w:type="textWrapping"/>
            </w:r>
            <w:r>
              <w:rPr>
                <w:rFonts w:hint="eastAsia" w:ascii="宋体" w:hAnsi="宋体" w:cs="宋体"/>
                <w:kern w:val="0"/>
                <w:szCs w:val="21"/>
                <w:lang w:bidi="ar"/>
              </w:rPr>
              <w:t>13、支持物联网关功能，可接入无线协议的物联模块。支持物联灯光模块、风扇模块、窗帘模块、红外模块、插座模块、门禁模块、幕布模块的接入；支持不少于 63 路物联接入，可独立或批量控制；支持实时控制教室所有设备，支持通过物联系统实现单个设备控制、支持单空间、多空间、楼层、楼宇、全校批量控制，支持从空间角度、从设备角度进行控制；（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14、支持与录播系统对接，液晶面板实现录播系统的开始、暂停、停止等控制功能；液晶面板支持实时反馈录制状态、录制时长等设备状态；支持通过录播系统和督导系统系统对接，支持教室的督导巡课功能；</w:t>
            </w:r>
            <w:r>
              <w:rPr>
                <w:rFonts w:hint="eastAsia" w:ascii="宋体" w:hAnsi="宋体" w:cs="宋体"/>
                <w:kern w:val="0"/>
                <w:szCs w:val="21"/>
                <w:lang w:bidi="ar"/>
              </w:rPr>
              <w:br w:type="textWrapping"/>
            </w:r>
            <w:r>
              <w:rPr>
                <w:rFonts w:hint="eastAsia" w:ascii="宋体" w:hAnsi="宋体" w:cs="宋体"/>
                <w:kern w:val="0"/>
                <w:szCs w:val="21"/>
                <w:lang w:bidi="ar"/>
              </w:rPr>
              <w:t>15、通过平台软件可对液晶面板和中控进行参数配置，配置完成后可通过网络直接下发配置信息；支持平台软件对设备的开关机、禁用、电源输出的开关等进行手动或定时集控管理；支持设备操作信息上传，支持远程数据下发，同步多模型及多场景应用；</w:t>
            </w:r>
            <w:r>
              <w:rPr>
                <w:rFonts w:hint="eastAsia" w:ascii="宋体" w:hAnsi="宋体" w:cs="宋体"/>
                <w:kern w:val="0"/>
                <w:szCs w:val="21"/>
                <w:lang w:bidi="ar"/>
              </w:rPr>
              <w:br w:type="textWrapping"/>
            </w:r>
            <w:r>
              <w:rPr>
                <w:rFonts w:hint="eastAsia" w:ascii="宋体" w:hAnsi="宋体" w:cs="宋体"/>
                <w:kern w:val="0"/>
                <w:szCs w:val="21"/>
                <w:lang w:bidi="ar"/>
              </w:rPr>
              <w:t>16、支持通过软件平台动态配置教室授课场景、批量复制设备和场景信息；（提供国家认可的第三方检测机构出具的具有CMA标识的检测报告或产品白皮书）</w:t>
            </w:r>
            <w:r>
              <w:rPr>
                <w:rFonts w:hint="eastAsia" w:ascii="宋体" w:hAnsi="宋体" w:cs="宋体"/>
                <w:kern w:val="0"/>
                <w:szCs w:val="21"/>
                <w:lang w:bidi="ar"/>
              </w:rPr>
              <w:br w:type="textWrapping"/>
            </w:r>
            <w:r>
              <w:rPr>
                <w:rFonts w:hint="eastAsia" w:ascii="宋体" w:hAnsi="宋体" w:cs="宋体"/>
                <w:kern w:val="0"/>
                <w:szCs w:val="21"/>
                <w:lang w:bidi="ar"/>
              </w:rPr>
              <w:t>17、支持模型配置功能，支持设备自定义添加或删除模型，支持模型参数配置，功能自定义，触控面板同步更新，支持多设备关联控制，每类设备可添加≥ 128 个。支持创建新的模型，根据现场需求自定义功能；</w:t>
            </w:r>
            <w:r>
              <w:rPr>
                <w:rFonts w:hint="eastAsia" w:ascii="宋体" w:hAnsi="宋体" w:cs="宋体"/>
                <w:kern w:val="0"/>
                <w:szCs w:val="21"/>
                <w:lang w:bidi="ar"/>
              </w:rPr>
              <w:br w:type="textWrapping"/>
            </w:r>
            <w:r>
              <w:rPr>
                <w:rFonts w:hint="eastAsia" w:ascii="宋体" w:hAnsi="宋体" w:cs="宋体"/>
                <w:kern w:val="0"/>
                <w:szCs w:val="21"/>
                <w:lang w:bidi="ar"/>
              </w:rPr>
              <w:t>18、支持多场景模式，每台终端可定义多个教学场景，上课老师可通过触控面板一键切换教学场景。通过平台自定义场景名称，场景联动，模型联动功能，实现多场景切换；</w:t>
            </w:r>
            <w:r>
              <w:rPr>
                <w:rFonts w:hint="eastAsia" w:ascii="宋体" w:hAnsi="宋体" w:cs="宋体"/>
                <w:kern w:val="0"/>
                <w:szCs w:val="21"/>
                <w:lang w:bidi="ar"/>
              </w:rPr>
              <w:br w:type="textWrapping"/>
            </w:r>
            <w:r>
              <w:rPr>
                <w:rFonts w:hint="eastAsia" w:ascii="宋体" w:hAnsi="宋体" w:cs="宋体"/>
                <w:kern w:val="0"/>
                <w:szCs w:val="21"/>
                <w:lang w:bidi="ar"/>
              </w:rPr>
              <w:t>19、可编程设计，支持端口自定义属性，将端口关联控制，支持联动管理；</w:t>
            </w:r>
            <w:r>
              <w:rPr>
                <w:rFonts w:hint="eastAsia" w:ascii="宋体" w:hAnsi="宋体" w:cs="宋体"/>
                <w:kern w:val="0"/>
                <w:szCs w:val="21"/>
                <w:lang w:bidi="ar"/>
              </w:rPr>
              <w:br w:type="textWrapping"/>
            </w:r>
            <w:r>
              <w:rPr>
                <w:rFonts w:hint="eastAsia" w:ascii="宋体" w:hAnsi="宋体" w:cs="宋体"/>
                <w:kern w:val="0"/>
                <w:szCs w:val="21"/>
                <w:lang w:bidi="ar"/>
              </w:rPr>
              <w:t xml:space="preserve">20、为保证设备稳定运行，要求设备平均无故障运行 MTBF 不小于12万小时，平均修复时间MTTR不超过20分钟，提供第三方机构出具的报告复印件证明，并加盖公章。                                                            </w:t>
            </w:r>
          </w:p>
        </w:tc>
        <w:tc>
          <w:tcPr>
            <w:tcW w:w="905" w:type="pct"/>
            <w:vAlign w:val="center"/>
          </w:tcPr>
          <w:p w14:paraId="0F4F60E6">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327EE960">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制造商官方网站截图或产品白皮书或第三方机构检测机构提供的检验报告。（如指标要求中有明确证明材料要求，以要求内容为准）</w:t>
            </w:r>
          </w:p>
        </w:tc>
      </w:tr>
      <w:tr w14:paraId="76F98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2706472A">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6</w:t>
            </w:r>
          </w:p>
        </w:tc>
        <w:tc>
          <w:tcPr>
            <w:tcW w:w="596" w:type="pct"/>
            <w:vAlign w:val="center"/>
          </w:tcPr>
          <w:p w14:paraId="35F8547F">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智能触控控制面板</w:t>
            </w:r>
            <w:r>
              <w:rPr>
                <w:rFonts w:hint="eastAsia" w:ascii="MS Gothic" w:hAnsi="MS Gothic" w:eastAsia="MS Gothic" w:cs="MS Gothic"/>
                <w:kern w:val="0"/>
                <w:szCs w:val="21"/>
                <w:lang w:bidi="ar"/>
              </w:rPr>
              <w:t>​</w:t>
            </w:r>
          </w:p>
        </w:tc>
        <w:tc>
          <w:tcPr>
            <w:tcW w:w="373" w:type="pct"/>
            <w:vAlign w:val="center"/>
          </w:tcPr>
          <w:p w14:paraId="2F7B2BFF">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1279D051">
            <w:pPr>
              <w:widowControl/>
              <w:spacing w:line="276" w:lineRule="auto"/>
              <w:jc w:val="left"/>
              <w:textAlignment w:val="center"/>
              <w:rPr>
                <w:rFonts w:ascii="宋体" w:hAnsi="宋体" w:cs="宋体"/>
                <w:szCs w:val="21"/>
              </w:rPr>
            </w:pPr>
            <w:r>
              <w:rPr>
                <w:rFonts w:hint="eastAsia" w:ascii="宋体" w:hAnsi="宋体" w:cs="宋体"/>
                <w:kern w:val="0"/>
                <w:szCs w:val="21"/>
                <w:lang w:bidi="ar"/>
              </w:rPr>
              <w:t>1、内置安卓操作系统，支持学校个性化开发；</w:t>
            </w:r>
            <w:r>
              <w:rPr>
                <w:rFonts w:hint="eastAsia" w:ascii="宋体" w:hAnsi="宋体" w:cs="宋体"/>
                <w:kern w:val="0"/>
                <w:szCs w:val="21"/>
                <w:lang w:bidi="ar"/>
              </w:rPr>
              <w:br w:type="textWrapping"/>
            </w:r>
            <w:r>
              <w:rPr>
                <w:rFonts w:hint="eastAsia" w:ascii="宋体" w:hAnsi="宋体" w:cs="宋体"/>
                <w:kern w:val="0"/>
                <w:szCs w:val="21"/>
                <w:lang w:bidi="ar"/>
              </w:rPr>
              <w:t>2、采用电容触摸液晶屏，尺寸≥10.1英寸，分辨率≥1280×800；</w:t>
            </w:r>
            <w:r>
              <w:rPr>
                <w:rFonts w:hint="eastAsia" w:ascii="宋体" w:hAnsi="宋体" w:cs="宋体"/>
                <w:kern w:val="0"/>
                <w:szCs w:val="21"/>
                <w:lang w:bidi="ar"/>
              </w:rPr>
              <w:br w:type="textWrapping"/>
            </w:r>
            <w:r>
              <w:rPr>
                <w:rFonts w:hint="eastAsia" w:ascii="宋体" w:hAnsi="宋体" w:cs="宋体"/>
                <w:kern w:val="0"/>
                <w:szCs w:val="21"/>
                <w:lang w:bidi="ar"/>
              </w:rPr>
              <w:t>3、支持二维码显示使用说明；</w:t>
            </w:r>
            <w:r>
              <w:rPr>
                <w:rFonts w:hint="eastAsia" w:ascii="宋体" w:hAnsi="宋体" w:cs="宋体"/>
                <w:kern w:val="0"/>
                <w:szCs w:val="21"/>
                <w:lang w:bidi="ar"/>
              </w:rPr>
              <w:br w:type="textWrapping"/>
            </w:r>
            <w:r>
              <w:rPr>
                <w:rFonts w:hint="eastAsia" w:ascii="宋体" w:hAnsi="宋体" w:cs="宋体"/>
                <w:kern w:val="0"/>
                <w:szCs w:val="21"/>
                <w:lang w:bidi="ar"/>
              </w:rPr>
              <w:t>4、支持与录播系统对接，操作面板实现录播系统的控制功能（开始、录制、暂停等定制功能），液晶面板能实时反馈录播状态、录制状态、录制时长；</w:t>
            </w:r>
            <w:r>
              <w:rPr>
                <w:rFonts w:hint="eastAsia" w:ascii="宋体" w:hAnsi="宋体" w:cs="宋体"/>
                <w:kern w:val="0"/>
                <w:szCs w:val="21"/>
                <w:lang w:bidi="ar"/>
              </w:rPr>
              <w:br w:type="textWrapping"/>
            </w:r>
            <w:r>
              <w:rPr>
                <w:rFonts w:hint="eastAsia" w:ascii="宋体" w:hAnsi="宋体" w:cs="宋体"/>
                <w:kern w:val="0"/>
                <w:szCs w:val="21"/>
                <w:lang w:bidi="ar"/>
              </w:rPr>
              <w:t>5、支持多场景模式，每台终端可定义多个教学场景，上课老师可通过触控面板一键切换教学场景；</w:t>
            </w:r>
            <w:r>
              <w:rPr>
                <w:rFonts w:hint="eastAsia" w:ascii="宋体" w:hAnsi="宋体" w:cs="宋体"/>
                <w:kern w:val="0"/>
                <w:szCs w:val="21"/>
                <w:lang w:bidi="ar"/>
              </w:rPr>
              <w:br w:type="textWrapping"/>
            </w:r>
            <w:r>
              <w:rPr>
                <w:rFonts w:hint="eastAsia" w:ascii="宋体" w:hAnsi="宋体" w:cs="宋体"/>
                <w:kern w:val="0"/>
                <w:szCs w:val="21"/>
                <w:lang w:bidi="ar"/>
              </w:rPr>
              <w:t>6、在触控屏上支持显示当前直录播状态，提供教室实时画面预览；督导在巡课平台上巡课时，支持在触控屏上提示正在巡课；</w:t>
            </w:r>
            <w:r>
              <w:rPr>
                <w:rFonts w:hint="eastAsia" w:ascii="宋体" w:hAnsi="宋体" w:cs="宋体"/>
                <w:kern w:val="0"/>
                <w:szCs w:val="21"/>
                <w:lang w:bidi="ar"/>
              </w:rPr>
              <w:br w:type="textWrapping"/>
            </w:r>
            <w:r>
              <w:rPr>
                <w:rFonts w:hint="eastAsia" w:ascii="宋体" w:hAnsi="宋体" w:cs="宋体"/>
                <w:kern w:val="0"/>
                <w:szCs w:val="21"/>
                <w:lang w:bidi="ar"/>
              </w:rPr>
              <w:t>7、支持通过触控屏上对应功能按钮选择设备及故障类型后提交报修，报修信息反馈到管控平台，报修类型可设置、可添加；</w:t>
            </w:r>
            <w:r>
              <w:rPr>
                <w:rFonts w:hint="eastAsia" w:ascii="宋体" w:hAnsi="宋体" w:cs="宋体"/>
                <w:kern w:val="0"/>
                <w:szCs w:val="21"/>
                <w:lang w:bidi="ar"/>
              </w:rPr>
              <w:br w:type="textWrapping"/>
            </w:r>
            <w:r>
              <w:rPr>
                <w:rFonts w:hint="eastAsia" w:ascii="宋体" w:hAnsi="宋体" w:cs="宋体"/>
                <w:kern w:val="0"/>
                <w:szCs w:val="21"/>
                <w:lang w:bidi="ar"/>
              </w:rPr>
              <w:t xml:space="preserve">8、支持通过平台设置上下课倒计时，倒计时时间可自定义，支持液晶面板显示上下课倒计时； </w:t>
            </w:r>
            <w:r>
              <w:rPr>
                <w:rFonts w:hint="eastAsia" w:ascii="宋体" w:hAnsi="宋体" w:cs="宋体"/>
                <w:kern w:val="0"/>
                <w:szCs w:val="21"/>
                <w:lang w:bidi="ar"/>
              </w:rPr>
              <w:br w:type="textWrapping"/>
            </w:r>
            <w:r>
              <w:rPr>
                <w:rFonts w:hint="eastAsia" w:ascii="宋体" w:hAnsi="宋体" w:cs="宋体"/>
                <w:kern w:val="0"/>
                <w:szCs w:val="21"/>
                <w:lang w:bidi="ar"/>
              </w:rPr>
              <w:t>9、支持软件可编程功能，预置≥5风格模板，无需关机即可切换。</w:t>
            </w:r>
          </w:p>
        </w:tc>
        <w:tc>
          <w:tcPr>
            <w:tcW w:w="905" w:type="pct"/>
            <w:vAlign w:val="center"/>
          </w:tcPr>
          <w:p w14:paraId="707B3903">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16E84E2B">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4D34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680B3B25">
            <w:pPr>
              <w:spacing w:line="276" w:lineRule="auto"/>
              <w:jc w:val="center"/>
              <w:rPr>
                <w:rFonts w:ascii="宋体" w:hAnsi="宋体" w:cs="宋体"/>
                <w:szCs w:val="21"/>
              </w:rPr>
            </w:pPr>
            <w:r>
              <w:rPr>
                <w:rFonts w:hint="eastAsia" w:ascii="宋体" w:hAnsi="宋体" w:cs="宋体"/>
                <w:szCs w:val="21"/>
              </w:rPr>
              <w:t>1</w:t>
            </w:r>
            <w:r>
              <w:rPr>
                <w:rFonts w:ascii="宋体" w:hAnsi="宋体" w:cs="宋体"/>
                <w:szCs w:val="21"/>
              </w:rPr>
              <w:t>7</w:t>
            </w:r>
          </w:p>
        </w:tc>
        <w:tc>
          <w:tcPr>
            <w:tcW w:w="596" w:type="pct"/>
            <w:vAlign w:val="center"/>
          </w:tcPr>
          <w:p w14:paraId="5BC193EC">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智能时序电源管理系统</w:t>
            </w:r>
            <w:r>
              <w:rPr>
                <w:rFonts w:hint="eastAsia" w:ascii="MS Gothic" w:hAnsi="MS Gothic" w:eastAsia="MS Gothic" w:cs="MS Gothic"/>
                <w:kern w:val="0"/>
                <w:szCs w:val="21"/>
                <w:lang w:bidi="ar"/>
              </w:rPr>
              <w:t>​</w:t>
            </w:r>
          </w:p>
        </w:tc>
        <w:tc>
          <w:tcPr>
            <w:tcW w:w="373" w:type="pct"/>
            <w:vAlign w:val="center"/>
          </w:tcPr>
          <w:p w14:paraId="0971FE8E">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50CF32B1">
            <w:pPr>
              <w:widowControl/>
              <w:spacing w:line="276" w:lineRule="auto"/>
              <w:jc w:val="left"/>
              <w:textAlignment w:val="center"/>
              <w:rPr>
                <w:rFonts w:ascii="宋体" w:hAnsi="宋体" w:cs="宋体"/>
                <w:szCs w:val="21"/>
              </w:rPr>
            </w:pPr>
            <w:r>
              <w:rPr>
                <w:rFonts w:hint="eastAsia" w:ascii="宋体" w:hAnsi="宋体" w:cs="宋体"/>
                <w:kern w:val="0"/>
                <w:szCs w:val="21"/>
                <w:lang w:bidi="ar"/>
              </w:rPr>
              <w:t>1、供电规格：内置开关电源，适用电压AC90-260V 50-60HZ；</w:t>
            </w:r>
            <w:r>
              <w:rPr>
                <w:rFonts w:hint="eastAsia" w:ascii="宋体" w:hAnsi="宋体" w:cs="宋体"/>
                <w:kern w:val="0"/>
                <w:szCs w:val="21"/>
                <w:lang w:bidi="ar"/>
              </w:rPr>
              <w:br w:type="textWrapping"/>
            </w:r>
            <w:r>
              <w:rPr>
                <w:rFonts w:hint="eastAsia" w:ascii="宋体" w:hAnsi="宋体" w:cs="宋体"/>
                <w:kern w:val="0"/>
                <w:szCs w:val="21"/>
                <w:lang w:bidi="ar"/>
              </w:rPr>
              <w:t>2、电源通道数量：≥8路，万用插座继电器受控；</w:t>
            </w:r>
            <w:r>
              <w:rPr>
                <w:rFonts w:hint="eastAsia" w:ascii="宋体" w:hAnsi="宋体" w:cs="宋体"/>
                <w:kern w:val="0"/>
                <w:szCs w:val="21"/>
                <w:lang w:bidi="ar"/>
              </w:rPr>
              <w:br w:type="textWrapping"/>
            </w:r>
            <w:r>
              <w:rPr>
                <w:rFonts w:hint="eastAsia" w:ascii="宋体" w:hAnsi="宋体" w:cs="宋体"/>
                <w:kern w:val="0"/>
                <w:szCs w:val="21"/>
                <w:lang w:bidi="ar"/>
              </w:rPr>
              <w:t>3、继电器受控输出最大承受单路功率/总功率(无功功率）：≥6000W/10000W；</w:t>
            </w:r>
            <w:r>
              <w:rPr>
                <w:rFonts w:hint="eastAsia" w:ascii="宋体" w:hAnsi="宋体" w:cs="宋体"/>
                <w:kern w:val="0"/>
                <w:szCs w:val="21"/>
                <w:lang w:bidi="ar"/>
              </w:rPr>
              <w:br w:type="textWrapping"/>
            </w:r>
            <w:r>
              <w:rPr>
                <w:rFonts w:hint="eastAsia" w:ascii="宋体" w:hAnsi="宋体" w:cs="宋体"/>
                <w:kern w:val="0"/>
                <w:szCs w:val="21"/>
                <w:lang w:bidi="ar"/>
              </w:rPr>
              <w:t>4、输出电源插座规格：阻燃ABS材料，最大可承受16A电流磷铜材质，标准万用插座；</w:t>
            </w:r>
            <w:r>
              <w:rPr>
                <w:rFonts w:hint="eastAsia" w:ascii="宋体" w:hAnsi="宋体" w:cs="宋体"/>
                <w:kern w:val="0"/>
                <w:szCs w:val="21"/>
                <w:lang w:bidi="ar"/>
              </w:rPr>
              <w:br w:type="textWrapping"/>
            </w:r>
            <w:r>
              <w:rPr>
                <w:rFonts w:hint="eastAsia" w:ascii="宋体" w:hAnsi="宋体" w:cs="宋体"/>
                <w:kern w:val="0"/>
                <w:szCs w:val="21"/>
                <w:lang w:bidi="ar"/>
              </w:rPr>
              <w:t>5、电源通道支持顺序开启逆序关闭，支持自由设定通道开关；</w:t>
            </w:r>
            <w:r>
              <w:rPr>
                <w:rFonts w:hint="eastAsia" w:ascii="宋体" w:hAnsi="宋体" w:cs="宋体"/>
                <w:kern w:val="0"/>
                <w:szCs w:val="21"/>
                <w:lang w:bidi="ar"/>
              </w:rPr>
              <w:br w:type="textWrapping"/>
            </w:r>
            <w:r>
              <w:rPr>
                <w:rFonts w:hint="eastAsia" w:ascii="宋体" w:hAnsi="宋体" w:cs="宋体"/>
                <w:kern w:val="0"/>
                <w:szCs w:val="21"/>
                <w:lang w:bidi="ar"/>
              </w:rPr>
              <w:t>6、面板采用铝面板设计，支持电压显示；</w:t>
            </w:r>
            <w:r>
              <w:rPr>
                <w:rFonts w:hint="eastAsia" w:ascii="宋体" w:hAnsi="宋体" w:cs="宋体"/>
                <w:kern w:val="0"/>
                <w:szCs w:val="21"/>
                <w:lang w:bidi="ar"/>
              </w:rPr>
              <w:br w:type="textWrapping"/>
            </w:r>
            <w:r>
              <w:rPr>
                <w:rFonts w:hint="eastAsia" w:ascii="宋体" w:hAnsi="宋体" w:cs="宋体"/>
                <w:kern w:val="0"/>
                <w:szCs w:val="21"/>
                <w:lang w:bidi="ar"/>
              </w:rPr>
              <w:t>7、支持COM中控控制（指令控制）或自带软件控制，时间间隔可调；</w:t>
            </w:r>
            <w:r>
              <w:rPr>
                <w:rFonts w:hint="eastAsia" w:ascii="宋体" w:hAnsi="宋体" w:cs="宋体"/>
                <w:kern w:val="0"/>
                <w:szCs w:val="21"/>
                <w:lang w:bidi="ar"/>
              </w:rPr>
              <w:br w:type="textWrapping"/>
            </w:r>
            <w:r>
              <w:rPr>
                <w:rFonts w:hint="eastAsia" w:ascii="宋体" w:hAnsi="宋体" w:cs="宋体"/>
                <w:kern w:val="0"/>
                <w:szCs w:val="21"/>
                <w:lang w:bidi="ar"/>
              </w:rPr>
              <w:t>8、支持自由通道关闭，支持级联叠机ID:0-255；</w:t>
            </w:r>
            <w:r>
              <w:rPr>
                <w:rFonts w:hint="eastAsia" w:ascii="宋体" w:hAnsi="宋体" w:cs="宋体"/>
                <w:kern w:val="0"/>
                <w:szCs w:val="21"/>
                <w:lang w:bidi="ar"/>
              </w:rPr>
              <w:br w:type="textWrapping"/>
            </w:r>
            <w:r>
              <w:rPr>
                <w:rFonts w:hint="eastAsia" w:ascii="宋体" w:hAnsi="宋体" w:cs="宋体"/>
                <w:kern w:val="0"/>
                <w:szCs w:val="21"/>
                <w:lang w:bidi="ar"/>
              </w:rPr>
              <w:t>9、支持外接中控RS232和网络指令控制，支持手动切换控制模式；</w:t>
            </w:r>
            <w:r>
              <w:rPr>
                <w:rFonts w:hint="eastAsia" w:ascii="宋体" w:hAnsi="宋体" w:cs="宋体"/>
                <w:kern w:val="0"/>
                <w:szCs w:val="21"/>
                <w:lang w:bidi="ar"/>
              </w:rPr>
              <w:br w:type="textWrapping"/>
            </w:r>
            <w:r>
              <w:rPr>
                <w:rFonts w:hint="eastAsia" w:ascii="宋体" w:hAnsi="宋体" w:cs="宋体"/>
                <w:kern w:val="0"/>
                <w:szCs w:val="21"/>
                <w:lang w:bidi="ar"/>
              </w:rPr>
              <w:t>10、每路开关间隔时间/定时时间默认1秒，支持通过软件自由设置；</w:t>
            </w:r>
            <w:r>
              <w:rPr>
                <w:rFonts w:hint="eastAsia" w:ascii="宋体" w:hAnsi="宋体" w:cs="宋体"/>
                <w:kern w:val="0"/>
                <w:szCs w:val="21"/>
                <w:lang w:bidi="ar"/>
              </w:rPr>
              <w:br w:type="textWrapping"/>
            </w:r>
            <w:r>
              <w:rPr>
                <w:rFonts w:hint="eastAsia" w:ascii="宋体" w:hAnsi="宋体" w:cs="宋体"/>
                <w:kern w:val="0"/>
                <w:szCs w:val="21"/>
                <w:lang w:bidi="ar"/>
              </w:rPr>
              <w:t>11、支持单路独立开关功能，可软件设定控制；</w:t>
            </w:r>
            <w:r>
              <w:rPr>
                <w:rFonts w:hint="eastAsia" w:ascii="宋体" w:hAnsi="宋体" w:cs="宋体"/>
                <w:kern w:val="0"/>
                <w:szCs w:val="21"/>
                <w:lang w:bidi="ar"/>
              </w:rPr>
              <w:br w:type="textWrapping"/>
            </w:r>
            <w:r>
              <w:rPr>
                <w:rFonts w:hint="eastAsia" w:ascii="宋体" w:hAnsi="宋体" w:cs="宋体"/>
                <w:kern w:val="0"/>
                <w:szCs w:val="21"/>
                <w:lang w:bidi="ar"/>
              </w:rPr>
              <w:t>12、电路板采用双面纤维板，主电源走线二次加厚加粗处理，输出继电器触点电流≥30A 277VAC，主电缆线规格≥3*4平方电缆线。</w:t>
            </w:r>
          </w:p>
        </w:tc>
        <w:tc>
          <w:tcPr>
            <w:tcW w:w="905" w:type="pct"/>
            <w:vAlign w:val="center"/>
          </w:tcPr>
          <w:p w14:paraId="4F939578">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190B5D12">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0E5A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4C811175">
            <w:pPr>
              <w:spacing w:line="276" w:lineRule="auto"/>
              <w:jc w:val="center"/>
              <w:rPr>
                <w:rFonts w:ascii="宋体" w:hAnsi="宋体" w:cs="宋体"/>
                <w:szCs w:val="21"/>
              </w:rPr>
            </w:pPr>
            <w:r>
              <w:rPr>
                <w:rFonts w:hint="eastAsia" w:ascii="宋体" w:hAnsi="宋体" w:cs="宋体"/>
                <w:szCs w:val="21"/>
              </w:rPr>
              <w:t>18</w:t>
            </w:r>
          </w:p>
        </w:tc>
        <w:tc>
          <w:tcPr>
            <w:tcW w:w="596" w:type="pct"/>
            <w:vAlign w:val="center"/>
          </w:tcPr>
          <w:p w14:paraId="6909B944">
            <w:pPr>
              <w:widowControl/>
              <w:spacing w:line="276" w:lineRule="auto"/>
              <w:jc w:val="center"/>
              <w:textAlignment w:val="center"/>
              <w:rPr>
                <w:rFonts w:ascii="宋体" w:hAnsi="宋体" w:cs="宋体"/>
                <w:szCs w:val="21"/>
              </w:rPr>
            </w:pPr>
            <w:r>
              <w:rPr>
                <w:rFonts w:hint="eastAsia" w:ascii="宋体" w:hAnsi="宋体" w:cs="宋体"/>
                <w:kern w:val="0"/>
                <w:szCs w:val="21"/>
                <w:lang w:bidi="ar"/>
              </w:rPr>
              <w:t>AI物联网关</w:t>
            </w:r>
            <w:r>
              <w:rPr>
                <w:rFonts w:hint="eastAsia" w:ascii="MS Gothic" w:hAnsi="MS Gothic" w:eastAsia="MS Gothic" w:cs="MS Gothic"/>
                <w:kern w:val="0"/>
                <w:szCs w:val="21"/>
                <w:lang w:bidi="ar"/>
              </w:rPr>
              <w:t>​</w:t>
            </w:r>
          </w:p>
        </w:tc>
        <w:tc>
          <w:tcPr>
            <w:tcW w:w="373" w:type="pct"/>
            <w:vAlign w:val="center"/>
          </w:tcPr>
          <w:p w14:paraId="1F486350">
            <w:pPr>
              <w:widowControl/>
              <w:spacing w:line="276" w:lineRule="auto"/>
              <w:jc w:val="center"/>
              <w:rPr>
                <w:rFonts w:ascii="宋体" w:hAnsi="宋体" w:cs="宋体"/>
                <w:szCs w:val="21"/>
              </w:rPr>
            </w:pPr>
          </w:p>
        </w:tc>
        <w:tc>
          <w:tcPr>
            <w:tcW w:w="2756" w:type="pct"/>
            <w:vAlign w:val="center"/>
          </w:tcPr>
          <w:p w14:paraId="148F503F">
            <w:pPr>
              <w:widowControl/>
              <w:spacing w:line="276" w:lineRule="auto"/>
              <w:jc w:val="left"/>
              <w:textAlignment w:val="center"/>
              <w:rPr>
                <w:rFonts w:ascii="宋体" w:hAnsi="宋体" w:cs="宋体"/>
                <w:szCs w:val="21"/>
              </w:rPr>
            </w:pPr>
            <w:r>
              <w:rPr>
                <w:rFonts w:hint="eastAsia" w:ascii="宋体" w:hAnsi="宋体" w:cs="宋体"/>
                <w:kern w:val="0"/>
                <w:szCs w:val="21"/>
                <w:lang w:bidi="ar"/>
              </w:rPr>
              <w:t>1、直流供电12V1A，吸顶或壁挂安装，背部走线。</w:t>
            </w:r>
            <w:r>
              <w:rPr>
                <w:rFonts w:hint="eastAsia" w:ascii="宋体" w:hAnsi="宋体" w:cs="宋体"/>
                <w:kern w:val="0"/>
                <w:szCs w:val="21"/>
                <w:lang w:bidi="ar"/>
              </w:rPr>
              <w:br w:type="textWrapping"/>
            </w:r>
            <w:r>
              <w:rPr>
                <w:rFonts w:hint="eastAsia" w:ascii="宋体" w:hAnsi="宋体" w:cs="宋体"/>
                <w:kern w:val="0"/>
                <w:szCs w:val="21"/>
                <w:lang w:bidi="ar"/>
              </w:rPr>
              <w:t>2、RS232和蓝牙mesh通讯方式，通讯距离≤15米。通过程序转换可实现串口转发或者蓝牙网关功能。</w:t>
            </w:r>
            <w:r>
              <w:rPr>
                <w:rFonts w:hint="eastAsia" w:ascii="宋体" w:hAnsi="宋体" w:cs="宋体"/>
                <w:kern w:val="0"/>
                <w:szCs w:val="21"/>
                <w:lang w:bidi="ar"/>
              </w:rPr>
              <w:br w:type="textWrapping"/>
            </w:r>
            <w:r>
              <w:rPr>
                <w:rFonts w:hint="eastAsia" w:ascii="宋体" w:hAnsi="宋体" w:cs="宋体"/>
                <w:kern w:val="0"/>
                <w:szCs w:val="21"/>
                <w:lang w:bidi="ar"/>
              </w:rPr>
              <w:t>3、内置配置按钮，LED指示灯，通电后指示灯常亮，发码时闪烁。</w:t>
            </w:r>
            <w:r>
              <w:rPr>
                <w:rFonts w:hint="eastAsia" w:ascii="宋体" w:hAnsi="宋体" w:cs="宋体"/>
                <w:kern w:val="0"/>
                <w:szCs w:val="21"/>
                <w:lang w:bidi="ar"/>
              </w:rPr>
              <w:br w:type="textWrapping"/>
            </w:r>
            <w:r>
              <w:rPr>
                <w:rFonts w:hint="eastAsia" w:ascii="宋体" w:hAnsi="宋体" w:cs="宋体"/>
                <w:kern w:val="0"/>
                <w:szCs w:val="21"/>
                <w:lang w:bidi="ar"/>
              </w:rPr>
              <w:t>4、产品尺寸直径80mm±5mm，厚度40mm±3mm。</w:t>
            </w:r>
            <w:r>
              <w:rPr>
                <w:rFonts w:hint="eastAsia" w:ascii="宋体" w:hAnsi="宋体" w:cs="宋体"/>
                <w:kern w:val="0"/>
                <w:szCs w:val="21"/>
                <w:lang w:bidi="ar"/>
              </w:rPr>
              <w:br w:type="textWrapping"/>
            </w:r>
            <w:r>
              <w:rPr>
                <w:rFonts w:hint="eastAsia" w:ascii="宋体" w:hAnsi="宋体" w:cs="宋体"/>
                <w:kern w:val="0"/>
                <w:szCs w:val="21"/>
                <w:lang w:bidi="ar"/>
              </w:rPr>
              <w:t>5、采用RS232通讯方式与主机进行连接，主机直接供电。</w:t>
            </w:r>
          </w:p>
        </w:tc>
        <w:tc>
          <w:tcPr>
            <w:tcW w:w="905" w:type="pct"/>
            <w:vAlign w:val="center"/>
          </w:tcPr>
          <w:p w14:paraId="1241CAFC">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02767702">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00679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05835850">
            <w:pPr>
              <w:spacing w:line="276" w:lineRule="auto"/>
              <w:jc w:val="center"/>
              <w:rPr>
                <w:rFonts w:ascii="宋体" w:hAnsi="宋体" w:cs="宋体"/>
                <w:szCs w:val="21"/>
              </w:rPr>
            </w:pPr>
            <w:r>
              <w:rPr>
                <w:rFonts w:hint="eastAsia" w:ascii="宋体" w:hAnsi="宋体" w:cs="宋体"/>
                <w:szCs w:val="21"/>
              </w:rPr>
              <w:t>19</w:t>
            </w:r>
          </w:p>
        </w:tc>
        <w:tc>
          <w:tcPr>
            <w:tcW w:w="596" w:type="pct"/>
            <w:vAlign w:val="center"/>
          </w:tcPr>
          <w:p w14:paraId="60047D9D">
            <w:pPr>
              <w:widowControl/>
              <w:spacing w:line="276" w:lineRule="auto"/>
              <w:textAlignment w:val="center"/>
              <w:rPr>
                <w:rFonts w:ascii="宋体" w:hAnsi="宋体" w:cs="宋体"/>
                <w:szCs w:val="21"/>
              </w:rPr>
            </w:pPr>
            <w:r>
              <w:rPr>
                <w:rFonts w:hint="eastAsia" w:ascii="宋体" w:hAnsi="宋体" w:cs="宋体"/>
                <w:kern w:val="0"/>
                <w:szCs w:val="21"/>
                <w:lang w:bidi="ar"/>
              </w:rPr>
              <w:t>智慧物联开关（零火版）</w:t>
            </w:r>
            <w:r>
              <w:rPr>
                <w:rFonts w:hint="eastAsia" w:ascii="MS Gothic" w:hAnsi="MS Gothic" w:eastAsia="MS Gothic" w:cs="MS Gothic"/>
                <w:kern w:val="0"/>
                <w:szCs w:val="21"/>
                <w:lang w:bidi="ar"/>
              </w:rPr>
              <w:t>​​</w:t>
            </w:r>
          </w:p>
        </w:tc>
        <w:tc>
          <w:tcPr>
            <w:tcW w:w="373" w:type="pct"/>
            <w:vAlign w:val="center"/>
          </w:tcPr>
          <w:p w14:paraId="4CD3F643">
            <w:pPr>
              <w:widowControl/>
              <w:spacing w:line="276" w:lineRule="auto"/>
              <w:jc w:val="center"/>
              <w:rPr>
                <w:rFonts w:ascii="宋体" w:hAnsi="宋体" w:cs="宋体"/>
                <w:szCs w:val="21"/>
              </w:rPr>
            </w:pPr>
          </w:p>
        </w:tc>
        <w:tc>
          <w:tcPr>
            <w:tcW w:w="2756" w:type="pct"/>
            <w:vAlign w:val="center"/>
          </w:tcPr>
          <w:p w14:paraId="45BE2964">
            <w:pPr>
              <w:widowControl/>
              <w:spacing w:line="276" w:lineRule="auto"/>
              <w:jc w:val="left"/>
              <w:textAlignment w:val="center"/>
              <w:rPr>
                <w:rFonts w:ascii="宋体" w:hAnsi="宋体" w:cs="宋体"/>
                <w:szCs w:val="21"/>
              </w:rPr>
            </w:pPr>
            <w:r>
              <w:rPr>
                <w:rFonts w:hint="eastAsia" w:ascii="宋体" w:hAnsi="宋体" w:cs="宋体"/>
                <w:kern w:val="0"/>
                <w:szCs w:val="21"/>
                <w:lang w:bidi="ar"/>
              </w:rPr>
              <w:t>1、零火供电，需要布零线，最大电流≥10A，总负载功率≤2200W，单路负载功率≤500W。</w:t>
            </w:r>
            <w:r>
              <w:rPr>
                <w:rFonts w:hint="eastAsia" w:ascii="宋体" w:hAnsi="宋体" w:cs="宋体"/>
                <w:kern w:val="0"/>
                <w:szCs w:val="21"/>
                <w:lang w:bidi="ar"/>
              </w:rPr>
              <w:br w:type="textWrapping"/>
            </w:r>
            <w:r>
              <w:rPr>
                <w:rFonts w:hint="eastAsia" w:ascii="宋体" w:hAnsi="宋体" w:cs="宋体"/>
                <w:kern w:val="0"/>
                <w:szCs w:val="21"/>
                <w:lang w:bidi="ar"/>
              </w:rPr>
              <w:t>2、标准86型安装方式，外盒材质采用阻燃PC，白色，尺寸86MM±2mm*86MM±2mm*34MM±1mm。</w:t>
            </w:r>
            <w:r>
              <w:rPr>
                <w:rFonts w:hint="eastAsia" w:ascii="宋体" w:hAnsi="宋体" w:cs="宋体"/>
                <w:kern w:val="0"/>
                <w:szCs w:val="21"/>
                <w:lang w:bidi="ar"/>
              </w:rPr>
              <w:br w:type="textWrapping"/>
            </w:r>
            <w:r>
              <w:rPr>
                <w:rFonts w:hint="eastAsia" w:ascii="宋体" w:hAnsi="宋体" w:cs="宋体"/>
                <w:kern w:val="0"/>
                <w:szCs w:val="21"/>
                <w:lang w:bidi="ar"/>
              </w:rPr>
              <w:t>3、双键按键开关，≥2路灯光电源控制。</w:t>
            </w:r>
            <w:r>
              <w:rPr>
                <w:rFonts w:hint="eastAsia" w:ascii="宋体" w:hAnsi="宋体" w:cs="宋体"/>
                <w:kern w:val="0"/>
                <w:szCs w:val="21"/>
                <w:lang w:bidi="ar"/>
              </w:rPr>
              <w:br w:type="textWrapping"/>
            </w:r>
            <w:r>
              <w:rPr>
                <w:rFonts w:hint="eastAsia" w:ascii="宋体" w:hAnsi="宋体" w:cs="宋体"/>
                <w:kern w:val="0"/>
                <w:szCs w:val="21"/>
                <w:lang w:bidi="ar"/>
              </w:rPr>
              <w:t>4、采用蓝牙通讯协议，支持信号中继，室内无障碍通讯距离≥20M。</w:t>
            </w:r>
            <w:r>
              <w:rPr>
                <w:rFonts w:hint="eastAsia" w:ascii="宋体" w:hAnsi="宋体" w:cs="宋体"/>
                <w:kern w:val="0"/>
                <w:szCs w:val="21"/>
                <w:lang w:bidi="ar"/>
              </w:rPr>
              <w:br w:type="textWrapping"/>
            </w:r>
            <w:r>
              <w:rPr>
                <w:rFonts w:hint="eastAsia" w:ascii="宋体" w:hAnsi="宋体" w:cs="宋体"/>
                <w:kern w:val="0"/>
                <w:szCs w:val="21"/>
                <w:lang w:bidi="ar"/>
              </w:rPr>
              <w:t>5、具备状态反馈功能，实时监测用电设备状态。</w:t>
            </w:r>
            <w:r>
              <w:rPr>
                <w:rFonts w:hint="eastAsia" w:ascii="宋体" w:hAnsi="宋体" w:cs="宋体"/>
                <w:kern w:val="0"/>
                <w:szCs w:val="21"/>
                <w:lang w:bidi="ar"/>
              </w:rPr>
              <w:br w:type="textWrapping"/>
            </w:r>
            <w:r>
              <w:rPr>
                <w:rFonts w:hint="eastAsia" w:ascii="宋体" w:hAnsi="宋体" w:cs="宋体"/>
                <w:kern w:val="0"/>
                <w:szCs w:val="21"/>
                <w:lang w:bidi="ar"/>
              </w:rPr>
              <w:t>6、有防雷保护和高温断电保护，断电自动重启后，开关默认为关闭状态。</w:t>
            </w:r>
            <w:r>
              <w:rPr>
                <w:rFonts w:hint="eastAsia" w:ascii="宋体" w:hAnsi="宋体" w:cs="宋体"/>
                <w:kern w:val="0"/>
                <w:szCs w:val="21"/>
                <w:lang w:bidi="ar"/>
              </w:rPr>
              <w:br w:type="textWrapping"/>
            </w:r>
            <w:r>
              <w:rPr>
                <w:rFonts w:hint="eastAsia" w:ascii="宋体" w:hAnsi="宋体" w:cs="宋体"/>
                <w:kern w:val="0"/>
                <w:szCs w:val="21"/>
                <w:lang w:bidi="ar"/>
              </w:rPr>
              <w:t>7、内置LED指示灯，可以实时显示开关状态。</w:t>
            </w:r>
            <w:r>
              <w:rPr>
                <w:rFonts w:hint="eastAsia" w:ascii="宋体" w:hAnsi="宋体" w:cs="宋体"/>
                <w:kern w:val="0"/>
                <w:szCs w:val="21"/>
                <w:lang w:bidi="ar"/>
              </w:rPr>
              <w:br w:type="textWrapping"/>
            </w:r>
            <w:r>
              <w:rPr>
                <w:rFonts w:hint="eastAsia" w:ascii="宋体" w:hAnsi="宋体" w:cs="宋体"/>
                <w:kern w:val="0"/>
                <w:szCs w:val="21"/>
                <w:lang w:bidi="ar"/>
              </w:rPr>
              <w:t>8、支持本地控制，支持管理平台/小程序远程控制，定时/手动控制物联模块打开/关闭/禁用。</w:t>
            </w:r>
          </w:p>
        </w:tc>
        <w:tc>
          <w:tcPr>
            <w:tcW w:w="905" w:type="pct"/>
            <w:vAlign w:val="center"/>
          </w:tcPr>
          <w:p w14:paraId="65AC3D82">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06164307">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2ED7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61A82C7E">
            <w:pPr>
              <w:spacing w:line="276" w:lineRule="auto"/>
              <w:jc w:val="center"/>
              <w:rPr>
                <w:rFonts w:ascii="宋体" w:hAnsi="宋体" w:cs="宋体"/>
                <w:szCs w:val="21"/>
              </w:rPr>
            </w:pPr>
            <w:r>
              <w:rPr>
                <w:rFonts w:hint="eastAsia" w:ascii="宋体" w:hAnsi="宋体" w:cs="宋体"/>
                <w:szCs w:val="21"/>
              </w:rPr>
              <w:t>20</w:t>
            </w:r>
          </w:p>
        </w:tc>
        <w:tc>
          <w:tcPr>
            <w:tcW w:w="596" w:type="pct"/>
            <w:vAlign w:val="center"/>
          </w:tcPr>
          <w:p w14:paraId="110ABEE6">
            <w:pPr>
              <w:widowControl/>
              <w:spacing w:line="276" w:lineRule="auto"/>
              <w:jc w:val="center"/>
              <w:textAlignment w:val="center"/>
              <w:rPr>
                <w:rFonts w:ascii="宋体" w:hAnsi="宋体" w:cs="宋体"/>
                <w:szCs w:val="21"/>
              </w:rPr>
            </w:pPr>
            <w:r>
              <w:rPr>
                <w:rFonts w:hint="eastAsia" w:ascii="宋体" w:hAnsi="宋体" w:cs="宋体"/>
                <w:kern w:val="0"/>
                <w:szCs w:val="21"/>
                <w:lang w:bidi="ar"/>
              </w:rPr>
              <w:t>万向智能红外控制器</w:t>
            </w:r>
            <w:r>
              <w:rPr>
                <w:rFonts w:hint="eastAsia" w:ascii="MS Gothic" w:hAnsi="MS Gothic" w:eastAsia="MS Gothic" w:cs="MS Gothic"/>
                <w:kern w:val="0"/>
                <w:szCs w:val="21"/>
                <w:lang w:bidi="ar"/>
              </w:rPr>
              <w:t>​</w:t>
            </w:r>
          </w:p>
        </w:tc>
        <w:tc>
          <w:tcPr>
            <w:tcW w:w="373" w:type="pct"/>
            <w:vAlign w:val="center"/>
          </w:tcPr>
          <w:p w14:paraId="4A27EE93">
            <w:pPr>
              <w:widowControl/>
              <w:spacing w:line="276" w:lineRule="auto"/>
              <w:jc w:val="center"/>
              <w:rPr>
                <w:rFonts w:ascii="宋体" w:hAnsi="宋体" w:cs="宋体"/>
                <w:szCs w:val="21"/>
              </w:rPr>
            </w:pPr>
          </w:p>
        </w:tc>
        <w:tc>
          <w:tcPr>
            <w:tcW w:w="2756" w:type="pct"/>
            <w:vAlign w:val="center"/>
          </w:tcPr>
          <w:p w14:paraId="2FE2A689">
            <w:pPr>
              <w:widowControl/>
              <w:spacing w:line="276" w:lineRule="auto"/>
              <w:jc w:val="left"/>
              <w:textAlignment w:val="center"/>
              <w:rPr>
                <w:rFonts w:ascii="宋体" w:hAnsi="宋体" w:cs="宋体"/>
                <w:szCs w:val="21"/>
              </w:rPr>
            </w:pPr>
            <w:r>
              <w:rPr>
                <w:rFonts w:hint="eastAsia" w:ascii="宋体" w:hAnsi="宋体" w:cs="宋体"/>
                <w:kern w:val="0"/>
                <w:szCs w:val="21"/>
                <w:lang w:bidi="ar"/>
              </w:rPr>
              <w:t>1、直流供电12V1A，吸顶或壁挂安装。</w:t>
            </w:r>
            <w:r>
              <w:rPr>
                <w:rFonts w:hint="eastAsia" w:ascii="宋体" w:hAnsi="宋体" w:cs="宋体"/>
                <w:kern w:val="0"/>
                <w:szCs w:val="21"/>
                <w:lang w:bidi="ar"/>
              </w:rPr>
              <w:br w:type="textWrapping"/>
            </w:r>
            <w:r>
              <w:rPr>
                <w:rFonts w:hint="eastAsia" w:ascii="宋体" w:hAnsi="宋体" w:cs="宋体"/>
                <w:kern w:val="0"/>
                <w:szCs w:val="21"/>
                <w:lang w:bidi="ar"/>
              </w:rPr>
              <w:t>2、内置配置按钮，LED指示灯，通电后指示灯常亮，发码时闪烁。</w:t>
            </w:r>
            <w:r>
              <w:rPr>
                <w:rFonts w:hint="eastAsia" w:ascii="宋体" w:hAnsi="宋体" w:cs="宋体"/>
                <w:kern w:val="0"/>
                <w:szCs w:val="21"/>
                <w:lang w:bidi="ar"/>
              </w:rPr>
              <w:br w:type="textWrapping"/>
            </w:r>
            <w:r>
              <w:rPr>
                <w:rFonts w:hint="eastAsia" w:ascii="宋体" w:hAnsi="宋体" w:cs="宋体"/>
                <w:kern w:val="0"/>
                <w:szCs w:val="21"/>
                <w:lang w:bidi="ar"/>
              </w:rPr>
              <w:t>3、内置红外发射管，360°全向发射红外信号，红外遥控无障碍距离≥8米。</w:t>
            </w:r>
            <w:r>
              <w:rPr>
                <w:rFonts w:hint="eastAsia" w:ascii="宋体" w:hAnsi="宋体" w:cs="宋体"/>
                <w:kern w:val="0"/>
                <w:szCs w:val="21"/>
                <w:lang w:bidi="ar"/>
              </w:rPr>
              <w:br w:type="textWrapping"/>
            </w:r>
            <w:r>
              <w:rPr>
                <w:rFonts w:hint="eastAsia" w:ascii="宋体" w:hAnsi="宋体" w:cs="宋体"/>
                <w:kern w:val="0"/>
                <w:szCs w:val="21"/>
                <w:lang w:bidi="ar"/>
              </w:rPr>
              <w:t>4、采用蓝牙通讯协议，支持信号中继，室内无障碍通讯距离≥20M。</w:t>
            </w:r>
            <w:r>
              <w:rPr>
                <w:rFonts w:hint="eastAsia" w:ascii="宋体" w:hAnsi="宋体" w:cs="宋体"/>
                <w:kern w:val="0"/>
                <w:szCs w:val="21"/>
                <w:lang w:bidi="ar"/>
              </w:rPr>
              <w:br w:type="textWrapping"/>
            </w:r>
            <w:r>
              <w:rPr>
                <w:rFonts w:hint="eastAsia" w:ascii="宋体" w:hAnsi="宋体" w:cs="宋体"/>
                <w:kern w:val="0"/>
                <w:szCs w:val="21"/>
                <w:lang w:bidi="ar"/>
              </w:rPr>
              <w:t>5、支持管理平台/小程序远程控制，定时/手动控制物联模块发射红外指令。</w:t>
            </w:r>
          </w:p>
        </w:tc>
        <w:tc>
          <w:tcPr>
            <w:tcW w:w="905" w:type="pct"/>
            <w:vAlign w:val="center"/>
          </w:tcPr>
          <w:p w14:paraId="2ED7138E">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640B35AA">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0CC6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066F6356">
            <w:pPr>
              <w:spacing w:line="276" w:lineRule="auto"/>
              <w:jc w:val="center"/>
              <w:rPr>
                <w:rFonts w:ascii="宋体" w:hAnsi="宋体" w:cs="宋体"/>
                <w:szCs w:val="21"/>
              </w:rPr>
            </w:pPr>
            <w:r>
              <w:rPr>
                <w:rFonts w:hint="eastAsia" w:ascii="宋体" w:hAnsi="宋体" w:cs="宋体"/>
                <w:szCs w:val="21"/>
              </w:rPr>
              <w:t>21</w:t>
            </w:r>
          </w:p>
        </w:tc>
        <w:tc>
          <w:tcPr>
            <w:tcW w:w="596" w:type="pct"/>
            <w:vAlign w:val="center"/>
          </w:tcPr>
          <w:p w14:paraId="6F5A7444">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智能多合一环境传感器</w:t>
            </w:r>
            <w:r>
              <w:rPr>
                <w:rFonts w:hint="eastAsia" w:ascii="MS Gothic" w:hAnsi="MS Gothic" w:eastAsia="MS Gothic" w:cs="MS Gothic"/>
                <w:kern w:val="0"/>
                <w:szCs w:val="21"/>
                <w:lang w:bidi="ar"/>
              </w:rPr>
              <w:t>​</w:t>
            </w:r>
          </w:p>
        </w:tc>
        <w:tc>
          <w:tcPr>
            <w:tcW w:w="373" w:type="pct"/>
            <w:vAlign w:val="center"/>
          </w:tcPr>
          <w:p w14:paraId="7FCF4131">
            <w:pPr>
              <w:widowControl/>
              <w:spacing w:line="276" w:lineRule="auto"/>
              <w:jc w:val="center"/>
              <w:rPr>
                <w:rFonts w:ascii="宋体" w:hAnsi="宋体" w:cs="宋体"/>
                <w:szCs w:val="21"/>
              </w:rPr>
            </w:pPr>
          </w:p>
        </w:tc>
        <w:tc>
          <w:tcPr>
            <w:tcW w:w="2756" w:type="pct"/>
            <w:vAlign w:val="center"/>
          </w:tcPr>
          <w:p w14:paraId="31C822AF">
            <w:pPr>
              <w:widowControl/>
              <w:spacing w:line="276" w:lineRule="auto"/>
              <w:jc w:val="left"/>
              <w:textAlignment w:val="center"/>
              <w:rPr>
                <w:rFonts w:ascii="宋体" w:hAnsi="宋体" w:cs="宋体"/>
                <w:szCs w:val="21"/>
              </w:rPr>
            </w:pPr>
            <w:r>
              <w:rPr>
                <w:rFonts w:hint="eastAsia" w:ascii="宋体" w:hAnsi="宋体" w:cs="宋体"/>
                <w:kern w:val="0"/>
                <w:szCs w:val="21"/>
                <w:lang w:bidi="ar"/>
              </w:rPr>
              <w:t>1、直流供电12V1A，吸顶安装，预热时间≤3分钟。</w:t>
            </w:r>
            <w:r>
              <w:rPr>
                <w:rFonts w:hint="eastAsia" w:ascii="宋体" w:hAnsi="宋体" w:cs="宋体"/>
                <w:kern w:val="0"/>
                <w:szCs w:val="21"/>
                <w:lang w:bidi="ar"/>
              </w:rPr>
              <w:br w:type="textWrapping"/>
            </w:r>
            <w:r>
              <w:rPr>
                <w:rFonts w:hint="eastAsia" w:ascii="宋体" w:hAnsi="宋体" w:cs="宋体"/>
                <w:kern w:val="0"/>
                <w:szCs w:val="21"/>
                <w:lang w:bidi="ar"/>
              </w:rPr>
              <w:t>2、通过RS485通讯协议进行环境数据采集及上报，标准4线接口。</w:t>
            </w:r>
            <w:r>
              <w:rPr>
                <w:rFonts w:hint="eastAsia" w:ascii="宋体" w:hAnsi="宋体" w:cs="宋体"/>
                <w:kern w:val="0"/>
                <w:szCs w:val="21"/>
                <w:lang w:bidi="ar"/>
              </w:rPr>
              <w:br w:type="textWrapping"/>
            </w:r>
            <w:r>
              <w:rPr>
                <w:rFonts w:hint="eastAsia" w:ascii="宋体" w:hAnsi="宋体" w:cs="宋体"/>
                <w:kern w:val="0"/>
                <w:szCs w:val="21"/>
                <w:lang w:bidi="ar"/>
              </w:rPr>
              <w:t>3、集成温度、湿度、光照度、噪声、二氧化碳、甲醛、TVOC、PM1.0颗粒物、激光粉尘PM2.5、PM10传感器。</w:t>
            </w:r>
            <w:r>
              <w:rPr>
                <w:rFonts w:hint="eastAsia" w:ascii="宋体" w:hAnsi="宋体" w:cs="宋体"/>
                <w:kern w:val="0"/>
                <w:szCs w:val="21"/>
                <w:lang w:bidi="ar"/>
              </w:rPr>
              <w:br w:type="textWrapping"/>
            </w:r>
            <w:r>
              <w:rPr>
                <w:rFonts w:hint="eastAsia" w:ascii="宋体" w:hAnsi="宋体" w:cs="宋体"/>
                <w:kern w:val="0"/>
                <w:szCs w:val="21"/>
                <w:lang w:bidi="ar"/>
              </w:rPr>
              <w:t>4、传感器测量分辨率分别优于以下要求温度：0.1℃，湿度：0.1%，噪声：1dB，光照度：1Lux，二氧化碳：1ppm，TVOC：1ug/m³，甲醛：1ug/ m³，PM2.5：1ug/ m³，PM10：1ug/ m³，PM1.0：1ug/ m³。</w:t>
            </w:r>
            <w:r>
              <w:rPr>
                <w:rFonts w:hint="eastAsia" w:ascii="宋体" w:hAnsi="宋体" w:cs="宋体"/>
                <w:kern w:val="0"/>
                <w:szCs w:val="21"/>
                <w:lang w:bidi="ar"/>
              </w:rPr>
              <w:br w:type="textWrapping"/>
            </w:r>
            <w:r>
              <w:rPr>
                <w:rFonts w:hint="eastAsia" w:ascii="宋体" w:hAnsi="宋体" w:cs="宋体"/>
                <w:kern w:val="0"/>
                <w:szCs w:val="21"/>
                <w:lang w:bidi="ar"/>
              </w:rPr>
              <w:t>5、触控面板及管理平台可实时显示环境数据。</w:t>
            </w:r>
            <w:r>
              <w:rPr>
                <w:rFonts w:hint="eastAsia" w:ascii="宋体" w:hAnsi="宋体" w:cs="宋体"/>
                <w:kern w:val="0"/>
                <w:szCs w:val="21"/>
                <w:lang w:bidi="ar"/>
              </w:rPr>
              <w:br w:type="textWrapping"/>
            </w:r>
            <w:r>
              <w:rPr>
                <w:rFonts w:hint="eastAsia" w:ascii="宋体" w:hAnsi="宋体" w:cs="宋体"/>
                <w:kern w:val="0"/>
                <w:szCs w:val="21"/>
                <w:lang w:bidi="ar"/>
              </w:rPr>
              <w:t>6、产品尺寸尺寸Φ90±5 * H40±3mm（含底座），安装高度高于地面15-20cm以上。</w:t>
            </w:r>
          </w:p>
        </w:tc>
        <w:tc>
          <w:tcPr>
            <w:tcW w:w="905" w:type="pct"/>
            <w:vAlign w:val="center"/>
          </w:tcPr>
          <w:p w14:paraId="37D34D2D">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475FB8DF">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763C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2D579846">
            <w:pPr>
              <w:spacing w:line="276" w:lineRule="auto"/>
              <w:jc w:val="center"/>
              <w:rPr>
                <w:rFonts w:ascii="宋体" w:hAnsi="宋体" w:cs="宋体"/>
                <w:szCs w:val="21"/>
              </w:rPr>
            </w:pPr>
            <w:r>
              <w:rPr>
                <w:rFonts w:hint="eastAsia" w:ascii="宋体" w:hAnsi="宋体" w:cs="宋体"/>
                <w:szCs w:val="21"/>
              </w:rPr>
              <w:t>22</w:t>
            </w:r>
          </w:p>
        </w:tc>
        <w:tc>
          <w:tcPr>
            <w:tcW w:w="596" w:type="pct"/>
            <w:vAlign w:val="center"/>
          </w:tcPr>
          <w:p w14:paraId="4F7BCD20">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智能窗帘电机</w:t>
            </w:r>
            <w:r>
              <w:rPr>
                <w:rFonts w:hint="eastAsia" w:ascii="MS Gothic" w:hAnsi="MS Gothic" w:eastAsia="MS Gothic" w:cs="MS Gothic"/>
                <w:kern w:val="0"/>
                <w:szCs w:val="21"/>
                <w:lang w:bidi="ar"/>
              </w:rPr>
              <w:t>​</w:t>
            </w:r>
          </w:p>
        </w:tc>
        <w:tc>
          <w:tcPr>
            <w:tcW w:w="373" w:type="pct"/>
            <w:vAlign w:val="center"/>
          </w:tcPr>
          <w:p w14:paraId="3E83AFD5">
            <w:pPr>
              <w:widowControl/>
              <w:spacing w:line="276" w:lineRule="auto"/>
              <w:jc w:val="center"/>
              <w:rPr>
                <w:rFonts w:ascii="宋体" w:hAnsi="宋体" w:cs="宋体"/>
                <w:szCs w:val="21"/>
              </w:rPr>
            </w:pPr>
          </w:p>
        </w:tc>
        <w:tc>
          <w:tcPr>
            <w:tcW w:w="2756" w:type="pct"/>
            <w:vAlign w:val="center"/>
          </w:tcPr>
          <w:p w14:paraId="1B7F5B77">
            <w:pPr>
              <w:widowControl/>
              <w:spacing w:line="276" w:lineRule="auto"/>
              <w:jc w:val="left"/>
              <w:textAlignment w:val="center"/>
              <w:rPr>
                <w:rFonts w:ascii="宋体" w:hAnsi="宋体" w:cs="宋体"/>
                <w:szCs w:val="21"/>
              </w:rPr>
            </w:pPr>
            <w:r>
              <w:rPr>
                <w:rFonts w:hint="eastAsia" w:ascii="宋体" w:hAnsi="宋体" w:cs="宋体"/>
                <w:kern w:val="0"/>
                <w:szCs w:val="21"/>
                <w:lang w:bidi="ar"/>
              </w:rPr>
              <w:t>1、AC 220V供电，支持停电可手动开关，采用静音设计方案，运行平稳安静。</w:t>
            </w:r>
            <w:r>
              <w:rPr>
                <w:rFonts w:hint="eastAsia" w:ascii="宋体" w:hAnsi="宋体" w:cs="宋体"/>
                <w:kern w:val="0"/>
                <w:szCs w:val="21"/>
                <w:lang w:bidi="ar"/>
              </w:rPr>
              <w:br w:type="textWrapping"/>
            </w:r>
            <w:r>
              <w:rPr>
                <w:rFonts w:hint="eastAsia" w:ascii="宋体" w:hAnsi="宋体" w:cs="宋体"/>
                <w:kern w:val="0"/>
                <w:szCs w:val="21"/>
                <w:lang w:bidi="ar"/>
              </w:rPr>
              <w:t>2、支持外接射频遥控器/86型射频开关/干接点开关对窗帘进行控制。</w:t>
            </w:r>
            <w:r>
              <w:rPr>
                <w:rFonts w:hint="eastAsia" w:ascii="宋体" w:hAnsi="宋体" w:cs="宋体"/>
                <w:kern w:val="0"/>
                <w:szCs w:val="21"/>
                <w:lang w:bidi="ar"/>
              </w:rPr>
              <w:br w:type="textWrapping"/>
            </w:r>
            <w:r>
              <w:rPr>
                <w:rFonts w:hint="eastAsia" w:ascii="宋体" w:hAnsi="宋体" w:cs="宋体"/>
                <w:kern w:val="0"/>
                <w:szCs w:val="21"/>
                <w:lang w:bidi="ar"/>
              </w:rPr>
              <w:t>3、遇阻停止保护，轻拉启动功能，自动记忆行程功能。</w:t>
            </w:r>
            <w:r>
              <w:rPr>
                <w:rFonts w:hint="eastAsia" w:ascii="宋体" w:hAnsi="宋体" w:cs="宋体"/>
                <w:kern w:val="0"/>
                <w:szCs w:val="21"/>
                <w:lang w:bidi="ar"/>
              </w:rPr>
              <w:br w:type="textWrapping"/>
            </w:r>
            <w:r>
              <w:rPr>
                <w:rFonts w:hint="eastAsia" w:ascii="宋体" w:hAnsi="宋体" w:cs="宋体"/>
                <w:kern w:val="0"/>
                <w:szCs w:val="21"/>
                <w:lang w:bidi="ar"/>
              </w:rPr>
              <w:t>4、采用蓝牙通讯协议，支持信号中继，室内无障碍通讯距离≥20M。</w:t>
            </w:r>
            <w:r>
              <w:rPr>
                <w:rFonts w:hint="eastAsia" w:ascii="宋体" w:hAnsi="宋体" w:cs="宋体"/>
                <w:kern w:val="0"/>
                <w:szCs w:val="21"/>
                <w:lang w:bidi="ar"/>
              </w:rPr>
              <w:br w:type="textWrapping"/>
            </w:r>
            <w:r>
              <w:rPr>
                <w:rFonts w:hint="eastAsia" w:ascii="宋体" w:hAnsi="宋体" w:cs="宋体"/>
                <w:kern w:val="0"/>
                <w:szCs w:val="21"/>
                <w:lang w:bidi="ar"/>
              </w:rPr>
              <w:t>5、具备状态反馈功能，实时监测电机及窗帘状态。</w:t>
            </w:r>
            <w:r>
              <w:rPr>
                <w:rFonts w:hint="eastAsia" w:ascii="宋体" w:hAnsi="宋体" w:cs="宋体"/>
                <w:kern w:val="0"/>
                <w:szCs w:val="21"/>
                <w:lang w:bidi="ar"/>
              </w:rPr>
              <w:br w:type="textWrapping"/>
            </w:r>
            <w:r>
              <w:rPr>
                <w:rFonts w:hint="eastAsia" w:ascii="宋体" w:hAnsi="宋体" w:cs="宋体"/>
                <w:kern w:val="0"/>
                <w:szCs w:val="21"/>
                <w:lang w:bidi="ar"/>
              </w:rPr>
              <w:t>6、支持本地控制，支持管理平台/小程序远程控制，定时/手动控制物联模块打开/关闭/禁用。</w:t>
            </w:r>
            <w:r>
              <w:rPr>
                <w:rFonts w:hint="eastAsia" w:ascii="宋体" w:hAnsi="宋体" w:cs="宋体"/>
                <w:kern w:val="0"/>
                <w:szCs w:val="21"/>
                <w:lang w:bidi="ar"/>
              </w:rPr>
              <w:br w:type="textWrapping"/>
            </w:r>
            <w:r>
              <w:rPr>
                <w:rFonts w:hint="eastAsia" w:ascii="宋体" w:hAnsi="宋体" w:cs="宋体"/>
                <w:kern w:val="0"/>
                <w:szCs w:val="21"/>
                <w:lang w:bidi="ar"/>
              </w:rPr>
              <w:t>7、电机与轨道连接采用卡口防脱落设计。</w:t>
            </w:r>
            <w:r>
              <w:rPr>
                <w:rFonts w:hint="eastAsia" w:ascii="宋体" w:hAnsi="宋体" w:cs="宋体"/>
                <w:kern w:val="0"/>
                <w:szCs w:val="21"/>
                <w:lang w:bidi="ar"/>
              </w:rPr>
              <w:br w:type="textWrapping"/>
            </w:r>
            <w:r>
              <w:rPr>
                <w:rFonts w:hint="eastAsia" w:ascii="宋体" w:hAnsi="宋体" w:cs="宋体"/>
                <w:kern w:val="0"/>
                <w:szCs w:val="21"/>
                <w:lang w:bidi="ar"/>
              </w:rPr>
              <w:t>8、无需额外加装控制模块即可远程控制电动窗帘。</w:t>
            </w:r>
          </w:p>
        </w:tc>
        <w:tc>
          <w:tcPr>
            <w:tcW w:w="905" w:type="pct"/>
            <w:vAlign w:val="center"/>
          </w:tcPr>
          <w:p w14:paraId="48651376">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5EF99821">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51D41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C132A16">
            <w:pPr>
              <w:spacing w:line="276" w:lineRule="auto"/>
              <w:jc w:val="center"/>
              <w:rPr>
                <w:rFonts w:ascii="宋体" w:hAnsi="宋体" w:cs="宋体"/>
                <w:szCs w:val="21"/>
              </w:rPr>
            </w:pPr>
            <w:r>
              <w:rPr>
                <w:rFonts w:hint="eastAsia" w:ascii="宋体" w:hAnsi="宋体" w:cs="宋体"/>
                <w:szCs w:val="21"/>
              </w:rPr>
              <w:t>23</w:t>
            </w:r>
          </w:p>
        </w:tc>
        <w:tc>
          <w:tcPr>
            <w:tcW w:w="596" w:type="pct"/>
            <w:vAlign w:val="center"/>
          </w:tcPr>
          <w:p w14:paraId="13507DED">
            <w:pPr>
              <w:widowControl/>
              <w:spacing w:line="276" w:lineRule="auto"/>
              <w:jc w:val="center"/>
              <w:textAlignment w:val="center"/>
              <w:rPr>
                <w:rFonts w:ascii="宋体" w:hAnsi="宋体" w:cs="宋体"/>
                <w:szCs w:val="21"/>
              </w:rPr>
            </w:pPr>
            <w:r>
              <w:rPr>
                <w:rStyle w:val="83"/>
                <w:rFonts w:hint="default"/>
                <w:color w:val="auto"/>
                <w:sz w:val="21"/>
                <w:szCs w:val="21"/>
                <w:lang w:bidi="ar"/>
              </w:rPr>
              <w:t>自动伸缩窗帘轨道</w:t>
            </w:r>
            <w:r>
              <w:rPr>
                <w:rStyle w:val="86"/>
                <w:rFonts w:hint="eastAsia" w:ascii="MS Gothic" w:hAnsi="MS Gothic" w:eastAsia="MS Gothic" w:cs="MS Gothic"/>
                <w:color w:val="auto"/>
                <w:sz w:val="21"/>
                <w:szCs w:val="21"/>
                <w:lang w:bidi="ar"/>
              </w:rPr>
              <w:t>​</w:t>
            </w:r>
          </w:p>
        </w:tc>
        <w:tc>
          <w:tcPr>
            <w:tcW w:w="373" w:type="pct"/>
            <w:vAlign w:val="center"/>
          </w:tcPr>
          <w:p w14:paraId="113DE526">
            <w:pPr>
              <w:widowControl/>
              <w:spacing w:line="276" w:lineRule="auto"/>
              <w:jc w:val="center"/>
              <w:rPr>
                <w:rFonts w:ascii="宋体" w:hAnsi="宋体" w:cs="宋体"/>
                <w:szCs w:val="21"/>
              </w:rPr>
            </w:pPr>
          </w:p>
        </w:tc>
        <w:tc>
          <w:tcPr>
            <w:tcW w:w="2756" w:type="pct"/>
            <w:vAlign w:val="center"/>
          </w:tcPr>
          <w:p w14:paraId="030A044B">
            <w:pPr>
              <w:widowControl/>
              <w:spacing w:line="276" w:lineRule="auto"/>
              <w:jc w:val="left"/>
              <w:textAlignment w:val="center"/>
              <w:rPr>
                <w:rFonts w:ascii="宋体" w:hAnsi="宋体" w:cs="宋体"/>
                <w:szCs w:val="21"/>
              </w:rPr>
            </w:pPr>
            <w:r>
              <w:rPr>
                <w:rFonts w:hint="eastAsia" w:ascii="宋体" w:hAnsi="宋体" w:cs="宋体"/>
                <w:kern w:val="0"/>
                <w:szCs w:val="21"/>
                <w:lang w:bidi="ar"/>
              </w:rPr>
              <w:t>1、采用2000系或7000系铝合金。</w:t>
            </w:r>
            <w:r>
              <w:rPr>
                <w:rFonts w:hint="eastAsia" w:ascii="宋体" w:hAnsi="宋体" w:cs="宋体"/>
                <w:kern w:val="0"/>
                <w:szCs w:val="21"/>
                <w:lang w:bidi="ar"/>
              </w:rPr>
              <w:br w:type="textWrapping"/>
            </w:r>
            <w:r>
              <w:rPr>
                <w:rFonts w:hint="eastAsia" w:ascii="宋体" w:hAnsi="宋体" w:cs="宋体"/>
                <w:kern w:val="0"/>
                <w:szCs w:val="21"/>
                <w:lang w:bidi="ar"/>
              </w:rPr>
              <w:t>2、表面采用电泳处理，静音耐磨。</w:t>
            </w:r>
            <w:r>
              <w:rPr>
                <w:rFonts w:hint="eastAsia" w:ascii="宋体" w:hAnsi="宋体" w:cs="宋体"/>
                <w:kern w:val="0"/>
                <w:szCs w:val="21"/>
                <w:lang w:bidi="ar"/>
              </w:rPr>
              <w:br w:type="textWrapping"/>
            </w:r>
            <w:r>
              <w:rPr>
                <w:rFonts w:hint="eastAsia" w:ascii="宋体" w:hAnsi="宋体" w:cs="宋体"/>
                <w:kern w:val="0"/>
                <w:szCs w:val="21"/>
                <w:lang w:bidi="ar"/>
              </w:rPr>
              <w:t>3、五金配件均采用304不锈钢材质。</w:t>
            </w:r>
            <w:r>
              <w:rPr>
                <w:rFonts w:hint="eastAsia" w:ascii="宋体" w:hAnsi="宋体" w:cs="宋体"/>
                <w:kern w:val="0"/>
                <w:szCs w:val="21"/>
                <w:lang w:bidi="ar"/>
              </w:rPr>
              <w:br w:type="textWrapping"/>
            </w:r>
            <w:r>
              <w:rPr>
                <w:rFonts w:hint="eastAsia" w:ascii="宋体" w:hAnsi="宋体" w:cs="宋体"/>
                <w:kern w:val="0"/>
                <w:szCs w:val="21"/>
                <w:lang w:bidi="ar"/>
              </w:rPr>
              <w:t>4、选用伸缩轨道，免量尺。</w:t>
            </w:r>
          </w:p>
        </w:tc>
        <w:tc>
          <w:tcPr>
            <w:tcW w:w="905" w:type="pct"/>
            <w:vAlign w:val="center"/>
          </w:tcPr>
          <w:p w14:paraId="78878660">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36D7D738">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4B69B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7382C1EB">
            <w:pPr>
              <w:spacing w:line="276" w:lineRule="auto"/>
              <w:jc w:val="center"/>
              <w:rPr>
                <w:rFonts w:ascii="宋体" w:hAnsi="宋体" w:cs="宋体"/>
                <w:szCs w:val="21"/>
              </w:rPr>
            </w:pPr>
            <w:r>
              <w:rPr>
                <w:rFonts w:hint="eastAsia" w:ascii="宋体" w:hAnsi="宋体" w:cs="宋体"/>
                <w:szCs w:val="21"/>
              </w:rPr>
              <w:t>24</w:t>
            </w:r>
          </w:p>
        </w:tc>
        <w:tc>
          <w:tcPr>
            <w:tcW w:w="596" w:type="pct"/>
            <w:vAlign w:val="center"/>
          </w:tcPr>
          <w:p w14:paraId="1FEF064A">
            <w:pPr>
              <w:widowControl/>
              <w:spacing w:line="276" w:lineRule="auto"/>
              <w:jc w:val="center"/>
              <w:textAlignment w:val="center"/>
              <w:rPr>
                <w:rFonts w:ascii="宋体" w:hAnsi="宋体" w:cs="宋体"/>
                <w:szCs w:val="21"/>
              </w:rPr>
            </w:pPr>
            <w:r>
              <w:rPr>
                <w:rStyle w:val="83"/>
                <w:rFonts w:hint="default"/>
                <w:color w:val="auto"/>
                <w:sz w:val="21"/>
                <w:szCs w:val="21"/>
                <w:lang w:bidi="ar"/>
              </w:rPr>
              <w:t>智能升降讲桌</w:t>
            </w:r>
            <w:r>
              <w:rPr>
                <w:rStyle w:val="86"/>
                <w:rFonts w:hint="eastAsia" w:ascii="MS Gothic" w:hAnsi="MS Gothic" w:eastAsia="MS Gothic" w:cs="MS Gothic"/>
                <w:color w:val="auto"/>
                <w:sz w:val="21"/>
                <w:szCs w:val="21"/>
                <w:lang w:bidi="ar"/>
              </w:rPr>
              <w:t>​</w:t>
            </w:r>
          </w:p>
        </w:tc>
        <w:tc>
          <w:tcPr>
            <w:tcW w:w="373" w:type="pct"/>
            <w:vAlign w:val="center"/>
          </w:tcPr>
          <w:p w14:paraId="1921F166">
            <w:pPr>
              <w:widowControl/>
              <w:spacing w:line="276" w:lineRule="auto"/>
              <w:jc w:val="center"/>
              <w:rPr>
                <w:rFonts w:ascii="宋体" w:hAnsi="宋体" w:cs="宋体"/>
                <w:szCs w:val="21"/>
              </w:rPr>
            </w:pPr>
          </w:p>
        </w:tc>
        <w:tc>
          <w:tcPr>
            <w:tcW w:w="2756" w:type="pct"/>
            <w:vAlign w:val="center"/>
          </w:tcPr>
          <w:p w14:paraId="4C5A4BE9">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数量：≥2</w:t>
            </w:r>
          </w:p>
          <w:p w14:paraId="73B2DB7C">
            <w:pPr>
              <w:widowControl/>
              <w:spacing w:line="276" w:lineRule="auto"/>
              <w:jc w:val="left"/>
              <w:textAlignment w:val="center"/>
              <w:rPr>
                <w:rFonts w:ascii="宋体" w:hAnsi="宋体" w:cs="宋体"/>
                <w:szCs w:val="21"/>
              </w:rPr>
            </w:pPr>
            <w:r>
              <w:rPr>
                <w:rFonts w:hint="eastAsia" w:ascii="宋体" w:hAnsi="宋体" w:cs="宋体"/>
                <w:kern w:val="0"/>
                <w:szCs w:val="21"/>
                <w:lang w:bidi="ar"/>
              </w:rPr>
              <w:t>1、采用钢木结合，柜体钢板厚度≥1.2mm，用高温、静电喷涂工艺；桌面采用≥25mm E0级（及以上）三聚氰胺板，pvc封边；围挡采用≥20mm多层实木喷油；</w:t>
            </w:r>
            <w:r>
              <w:rPr>
                <w:rFonts w:hint="eastAsia" w:ascii="宋体" w:hAnsi="宋体" w:cs="宋体"/>
                <w:kern w:val="0"/>
                <w:szCs w:val="21"/>
                <w:lang w:bidi="ar"/>
              </w:rPr>
              <w:br w:type="textWrapping"/>
            </w:r>
            <w:r>
              <w:rPr>
                <w:rFonts w:hint="eastAsia" w:ascii="宋体" w:hAnsi="宋体" w:cs="宋体"/>
                <w:kern w:val="0"/>
                <w:szCs w:val="21"/>
                <w:lang w:bidi="ar"/>
              </w:rPr>
              <w:t>2、桌面尺寸≥1.6M*0.75M，桌板前部和两侧设计有防物品掉落的围挡；</w:t>
            </w:r>
            <w:r>
              <w:rPr>
                <w:rFonts w:hint="eastAsia" w:ascii="宋体" w:hAnsi="宋体" w:cs="宋体"/>
                <w:kern w:val="0"/>
                <w:szCs w:val="21"/>
                <w:lang w:bidi="ar"/>
              </w:rPr>
              <w:br w:type="textWrapping"/>
            </w:r>
            <w:r>
              <w:rPr>
                <w:rFonts w:hint="eastAsia" w:ascii="宋体" w:hAnsi="宋体" w:cs="宋体"/>
                <w:kern w:val="0"/>
                <w:szCs w:val="21"/>
                <w:lang w:bidi="ar"/>
              </w:rPr>
              <w:t>3、一键电动升降，升降范围≥700～1100mm；双电机，动态承重≥120KG；</w:t>
            </w:r>
            <w:r>
              <w:rPr>
                <w:rFonts w:hint="eastAsia" w:ascii="宋体" w:hAnsi="宋体" w:cs="宋体"/>
                <w:kern w:val="0"/>
                <w:szCs w:val="21"/>
                <w:lang w:bidi="ar"/>
              </w:rPr>
              <w:br w:type="textWrapping"/>
            </w:r>
            <w:r>
              <w:rPr>
                <w:rFonts w:hint="eastAsia" w:ascii="宋体" w:hAnsi="宋体" w:cs="宋体"/>
                <w:kern w:val="0"/>
                <w:szCs w:val="21"/>
                <w:lang w:bidi="ar"/>
              </w:rPr>
              <w:t>4、讲桌需含左右两个柜体，总柜体≥11U，柜体固定高度，不随桌面升降，升降时桌面具备防夹功能；</w:t>
            </w:r>
            <w:r>
              <w:rPr>
                <w:rFonts w:hint="eastAsia" w:ascii="宋体" w:hAnsi="宋体" w:cs="宋体"/>
                <w:kern w:val="0"/>
                <w:szCs w:val="21"/>
                <w:lang w:bidi="ar"/>
              </w:rPr>
              <w:br w:type="textWrapping"/>
            </w:r>
            <w:r>
              <w:rPr>
                <w:rFonts w:hint="eastAsia" w:ascii="宋体" w:hAnsi="宋体" w:cs="宋体"/>
                <w:kern w:val="0"/>
                <w:szCs w:val="21"/>
                <w:lang w:bidi="ar"/>
              </w:rPr>
              <w:t>5、桌面升降控制器集成液晶屏显示桌面高度，支持多种高度预设模式；断电自锁；升降次数≥2万次；</w:t>
            </w:r>
            <w:r>
              <w:rPr>
                <w:rFonts w:hint="eastAsia" w:ascii="宋体" w:hAnsi="宋体" w:cs="宋体"/>
                <w:kern w:val="0"/>
                <w:szCs w:val="21"/>
                <w:lang w:bidi="ar"/>
              </w:rPr>
              <w:br w:type="textWrapping"/>
            </w:r>
            <w:r>
              <w:rPr>
                <w:rFonts w:hint="eastAsia" w:ascii="宋体" w:hAnsi="宋体" w:cs="宋体"/>
                <w:kern w:val="0"/>
                <w:szCs w:val="21"/>
                <w:lang w:bidi="ar"/>
              </w:rPr>
              <w:t>6、提供显示器支架，屏幕俯仰角度30°至90°可调，显示器前后可调、左右可一定角度旋转；支持VESA100安装方式的多种尺寸显示器；定位不移动，书写稳定；</w:t>
            </w:r>
            <w:r>
              <w:rPr>
                <w:rFonts w:hint="eastAsia" w:ascii="宋体" w:hAnsi="宋体" w:cs="宋体"/>
                <w:kern w:val="0"/>
                <w:szCs w:val="21"/>
                <w:lang w:bidi="ar"/>
              </w:rPr>
              <w:br w:type="textWrapping"/>
            </w:r>
            <w:r>
              <w:rPr>
                <w:rFonts w:hint="eastAsia" w:ascii="宋体" w:hAnsi="宋体" w:cs="宋体"/>
                <w:kern w:val="0"/>
                <w:szCs w:val="21"/>
                <w:lang w:bidi="ar"/>
              </w:rPr>
              <w:t>7、桌面提供非嵌入式86型电源插座≥2个，置物盒≥2个，水杯托≥1个；引出不少于4*USB、HDMI、Type-C、3合一手机充电线等常用插头线缆。</w:t>
            </w:r>
          </w:p>
        </w:tc>
        <w:tc>
          <w:tcPr>
            <w:tcW w:w="905" w:type="pct"/>
            <w:vAlign w:val="center"/>
          </w:tcPr>
          <w:p w14:paraId="45072BEB">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6B5FC0A7">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24377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53E69247">
            <w:pPr>
              <w:spacing w:line="276" w:lineRule="auto"/>
              <w:jc w:val="center"/>
              <w:rPr>
                <w:rFonts w:ascii="宋体" w:hAnsi="宋体" w:cs="宋体"/>
                <w:szCs w:val="21"/>
              </w:rPr>
            </w:pPr>
            <w:r>
              <w:rPr>
                <w:rFonts w:hint="eastAsia" w:ascii="宋体" w:hAnsi="宋体" w:cs="宋体"/>
                <w:szCs w:val="21"/>
              </w:rPr>
              <w:t>25</w:t>
            </w:r>
          </w:p>
        </w:tc>
        <w:tc>
          <w:tcPr>
            <w:tcW w:w="596" w:type="pct"/>
            <w:vAlign w:val="center"/>
          </w:tcPr>
          <w:p w14:paraId="6F0E1950">
            <w:pPr>
              <w:widowControl/>
              <w:spacing w:line="276" w:lineRule="auto"/>
              <w:jc w:val="center"/>
              <w:textAlignment w:val="center"/>
              <w:rPr>
                <w:rFonts w:ascii="宋体" w:hAnsi="宋体" w:cs="宋体"/>
                <w:szCs w:val="21"/>
              </w:rPr>
            </w:pPr>
            <w:r>
              <w:rPr>
                <w:rFonts w:hint="eastAsia" w:ascii="宋体" w:hAnsi="宋体" w:cs="宋体"/>
                <w:kern w:val="0"/>
                <w:szCs w:val="21"/>
                <w:lang w:bidi="ar"/>
              </w:rPr>
              <w:t>智能触控显示器</w:t>
            </w:r>
            <w:r>
              <w:rPr>
                <w:rFonts w:hint="eastAsia" w:ascii="MS Gothic" w:hAnsi="MS Gothic" w:eastAsia="MS Gothic" w:cs="MS Gothic"/>
                <w:kern w:val="0"/>
                <w:szCs w:val="21"/>
                <w:lang w:bidi="ar"/>
              </w:rPr>
              <w:t>​</w:t>
            </w:r>
          </w:p>
        </w:tc>
        <w:tc>
          <w:tcPr>
            <w:tcW w:w="373" w:type="pct"/>
            <w:vAlign w:val="center"/>
          </w:tcPr>
          <w:p w14:paraId="5E1FCB82">
            <w:pPr>
              <w:widowControl/>
              <w:spacing w:line="276" w:lineRule="auto"/>
              <w:jc w:val="center"/>
              <w:rPr>
                <w:rFonts w:ascii="宋体" w:hAnsi="宋体" w:cs="宋体"/>
                <w:szCs w:val="21"/>
              </w:rPr>
            </w:pPr>
          </w:p>
        </w:tc>
        <w:tc>
          <w:tcPr>
            <w:tcW w:w="2756" w:type="pct"/>
            <w:vAlign w:val="center"/>
          </w:tcPr>
          <w:p w14:paraId="5A450BC5">
            <w:pPr>
              <w:widowControl/>
              <w:spacing w:line="276" w:lineRule="auto"/>
              <w:jc w:val="left"/>
              <w:textAlignment w:val="center"/>
              <w:rPr>
                <w:rFonts w:ascii="宋体" w:hAnsi="宋体" w:cs="宋体"/>
                <w:szCs w:val="21"/>
              </w:rPr>
            </w:pPr>
            <w:r>
              <w:rPr>
                <w:rFonts w:hint="eastAsia" w:ascii="宋体" w:hAnsi="宋体" w:cs="宋体"/>
                <w:kern w:val="0"/>
                <w:szCs w:val="21"/>
                <w:lang w:bidi="ar"/>
              </w:rPr>
              <w:t>1、尺寸：≥23.8英寸；</w:t>
            </w:r>
            <w:r>
              <w:rPr>
                <w:rFonts w:hint="eastAsia" w:ascii="宋体" w:hAnsi="宋体" w:cs="宋体"/>
                <w:kern w:val="0"/>
                <w:szCs w:val="21"/>
                <w:lang w:bidi="ar"/>
              </w:rPr>
              <w:br w:type="textWrapping"/>
            </w:r>
            <w:r>
              <w:rPr>
                <w:rFonts w:hint="eastAsia" w:ascii="宋体" w:hAnsi="宋体" w:cs="宋体"/>
                <w:kern w:val="0"/>
                <w:szCs w:val="21"/>
                <w:lang w:bidi="ar"/>
              </w:rPr>
              <w:t>2、采用电容触控技术，支持10点触控，触控响应时间≤8ms；</w:t>
            </w:r>
            <w:r>
              <w:rPr>
                <w:rFonts w:hint="eastAsia" w:ascii="宋体" w:hAnsi="宋体" w:cs="宋体"/>
                <w:kern w:val="0"/>
                <w:szCs w:val="21"/>
                <w:lang w:bidi="ar"/>
              </w:rPr>
              <w:br w:type="textWrapping"/>
            </w:r>
            <w:r>
              <w:rPr>
                <w:rFonts w:hint="eastAsia" w:ascii="宋体" w:hAnsi="宋体" w:cs="宋体"/>
                <w:kern w:val="0"/>
                <w:szCs w:val="21"/>
                <w:lang w:bidi="ar"/>
              </w:rPr>
              <w:t>3、屏幕：</w:t>
            </w:r>
            <w:r>
              <w:rPr>
                <w:rFonts w:hint="eastAsia" w:ascii="宋体" w:hAnsi="宋体" w:cs="宋体"/>
                <w:kern w:val="0"/>
                <w:szCs w:val="21"/>
                <w:lang w:bidi="ar"/>
              </w:rPr>
              <w:br w:type="textWrapping"/>
            </w:r>
            <w:r>
              <w:rPr>
                <w:rFonts w:hint="eastAsia" w:ascii="宋体" w:hAnsi="宋体" w:cs="宋体"/>
                <w:kern w:val="0"/>
                <w:szCs w:val="21"/>
                <w:lang w:bidi="ar"/>
              </w:rPr>
              <w:t>分辨率：≥1920*1080；</w:t>
            </w:r>
            <w:r>
              <w:rPr>
                <w:rFonts w:hint="eastAsia" w:ascii="宋体" w:hAnsi="宋体" w:cs="宋体"/>
                <w:kern w:val="0"/>
                <w:szCs w:val="21"/>
                <w:lang w:bidi="ar"/>
              </w:rPr>
              <w:br w:type="textWrapping"/>
            </w:r>
            <w:r>
              <w:rPr>
                <w:rFonts w:hint="eastAsia" w:ascii="宋体" w:hAnsi="宋体" w:cs="宋体"/>
                <w:kern w:val="0"/>
                <w:szCs w:val="21"/>
                <w:lang w:bidi="ar"/>
              </w:rPr>
              <w:t>显示比例：16:9；</w:t>
            </w:r>
            <w:r>
              <w:rPr>
                <w:rFonts w:hint="eastAsia" w:ascii="宋体" w:hAnsi="宋体" w:cs="宋体"/>
                <w:kern w:val="0"/>
                <w:szCs w:val="21"/>
                <w:lang w:bidi="ar"/>
              </w:rPr>
              <w:br w:type="textWrapping"/>
            </w:r>
            <w:r>
              <w:rPr>
                <w:rFonts w:hint="eastAsia" w:ascii="宋体" w:hAnsi="宋体" w:cs="宋体"/>
                <w:kern w:val="0"/>
                <w:szCs w:val="21"/>
                <w:lang w:bidi="ar"/>
              </w:rPr>
              <w:t>可视化角度：≥178度；</w:t>
            </w:r>
            <w:r>
              <w:rPr>
                <w:rFonts w:hint="eastAsia" w:ascii="宋体" w:hAnsi="宋体" w:cs="宋体"/>
                <w:kern w:val="0"/>
                <w:szCs w:val="21"/>
                <w:lang w:bidi="ar"/>
              </w:rPr>
              <w:br w:type="textWrapping"/>
            </w:r>
            <w:r>
              <w:rPr>
                <w:rFonts w:hint="eastAsia" w:ascii="宋体" w:hAnsi="宋体" w:cs="宋体"/>
                <w:kern w:val="0"/>
                <w:szCs w:val="21"/>
                <w:lang w:bidi="ar"/>
              </w:rPr>
              <w:t>特点：防眩光、防水防尘；</w:t>
            </w:r>
            <w:r>
              <w:rPr>
                <w:rFonts w:hint="eastAsia" w:ascii="宋体" w:hAnsi="宋体" w:cs="宋体"/>
                <w:kern w:val="0"/>
                <w:szCs w:val="21"/>
                <w:lang w:bidi="ar"/>
              </w:rPr>
              <w:br w:type="textWrapping"/>
            </w:r>
            <w:r>
              <w:rPr>
                <w:rFonts w:hint="eastAsia" w:ascii="宋体" w:hAnsi="宋体" w:cs="宋体"/>
                <w:kern w:val="0"/>
                <w:szCs w:val="21"/>
                <w:lang w:bidi="ar"/>
              </w:rPr>
              <w:t>4、HDMI接口：≥1个；</w:t>
            </w:r>
            <w:r>
              <w:rPr>
                <w:rFonts w:hint="eastAsia" w:ascii="宋体" w:hAnsi="宋体" w:cs="宋体"/>
                <w:kern w:val="0"/>
                <w:szCs w:val="21"/>
                <w:lang w:bidi="ar"/>
              </w:rPr>
              <w:br w:type="textWrapping"/>
            </w:r>
            <w:r>
              <w:rPr>
                <w:rFonts w:hint="eastAsia" w:ascii="宋体" w:hAnsi="宋体" w:cs="宋体"/>
                <w:kern w:val="0"/>
                <w:szCs w:val="21"/>
                <w:lang w:bidi="ar"/>
              </w:rPr>
              <w:t>5、USB接口：≥1个。</w:t>
            </w:r>
          </w:p>
        </w:tc>
        <w:tc>
          <w:tcPr>
            <w:tcW w:w="905" w:type="pct"/>
            <w:vAlign w:val="center"/>
          </w:tcPr>
          <w:p w14:paraId="78E5E2CC">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3CE08283">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07BEF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0AB4403F">
            <w:pPr>
              <w:spacing w:line="276" w:lineRule="auto"/>
              <w:jc w:val="center"/>
              <w:rPr>
                <w:rFonts w:ascii="宋体" w:hAnsi="宋体" w:cs="宋体"/>
                <w:szCs w:val="21"/>
              </w:rPr>
            </w:pPr>
            <w:r>
              <w:rPr>
                <w:rFonts w:hint="eastAsia" w:ascii="宋体" w:hAnsi="宋体" w:cs="宋体"/>
                <w:szCs w:val="21"/>
              </w:rPr>
              <w:t>26</w:t>
            </w:r>
          </w:p>
        </w:tc>
        <w:tc>
          <w:tcPr>
            <w:tcW w:w="596" w:type="pct"/>
            <w:vAlign w:val="center"/>
          </w:tcPr>
          <w:p w14:paraId="05DA3B18">
            <w:pPr>
              <w:widowControl/>
              <w:spacing w:line="276" w:lineRule="auto"/>
              <w:jc w:val="center"/>
              <w:textAlignment w:val="center"/>
              <w:rPr>
                <w:rFonts w:ascii="宋体" w:hAnsi="宋体" w:cs="宋体"/>
                <w:szCs w:val="21"/>
              </w:rPr>
            </w:pPr>
            <w:r>
              <w:rPr>
                <w:rFonts w:hint="eastAsia" w:ascii="宋体" w:hAnsi="宋体" w:cs="宋体"/>
                <w:kern w:val="0"/>
                <w:szCs w:val="21"/>
                <w:lang w:bidi="ar"/>
              </w:rPr>
              <w:t>有线键鼠套装</w:t>
            </w:r>
          </w:p>
        </w:tc>
        <w:tc>
          <w:tcPr>
            <w:tcW w:w="373" w:type="pct"/>
            <w:vAlign w:val="center"/>
          </w:tcPr>
          <w:p w14:paraId="7DF1CA72">
            <w:pPr>
              <w:widowControl/>
              <w:spacing w:line="276" w:lineRule="auto"/>
              <w:jc w:val="center"/>
              <w:rPr>
                <w:rFonts w:ascii="宋体" w:hAnsi="宋体" w:cs="宋体"/>
                <w:szCs w:val="21"/>
              </w:rPr>
            </w:pPr>
          </w:p>
        </w:tc>
        <w:tc>
          <w:tcPr>
            <w:tcW w:w="2756" w:type="pct"/>
            <w:vAlign w:val="center"/>
          </w:tcPr>
          <w:p w14:paraId="4998E7DA">
            <w:pPr>
              <w:widowControl/>
              <w:spacing w:line="276" w:lineRule="auto"/>
              <w:jc w:val="left"/>
              <w:textAlignment w:val="center"/>
              <w:rPr>
                <w:rFonts w:ascii="宋体" w:hAnsi="宋体" w:cs="宋体"/>
                <w:szCs w:val="21"/>
              </w:rPr>
            </w:pPr>
            <w:r>
              <w:rPr>
                <w:rFonts w:hint="eastAsia" w:ascii="宋体" w:hAnsi="宋体" w:cs="宋体"/>
                <w:kern w:val="0"/>
                <w:szCs w:val="21"/>
                <w:lang w:bidi="ar"/>
              </w:rPr>
              <w:t xml:space="preserve">USB接口即插即用，支持XP、Vista、Win7/8/10、MAC。                                                                                                                                                                                                                                                                                   </w:t>
            </w:r>
          </w:p>
        </w:tc>
        <w:tc>
          <w:tcPr>
            <w:tcW w:w="905" w:type="pct"/>
            <w:vAlign w:val="center"/>
          </w:tcPr>
          <w:p w14:paraId="4B90D945">
            <w:pPr>
              <w:widowControl/>
              <w:spacing w:line="276" w:lineRule="auto"/>
              <w:jc w:val="center"/>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5499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4014E843">
            <w:pPr>
              <w:spacing w:line="276" w:lineRule="auto"/>
              <w:jc w:val="center"/>
              <w:rPr>
                <w:rFonts w:ascii="宋体" w:hAnsi="宋体" w:cs="宋体"/>
                <w:szCs w:val="21"/>
              </w:rPr>
            </w:pPr>
            <w:r>
              <w:rPr>
                <w:rFonts w:hint="eastAsia" w:ascii="宋体" w:hAnsi="宋体" w:cs="宋体"/>
                <w:szCs w:val="21"/>
              </w:rPr>
              <w:t>27</w:t>
            </w:r>
          </w:p>
        </w:tc>
        <w:tc>
          <w:tcPr>
            <w:tcW w:w="596" w:type="pct"/>
            <w:vAlign w:val="center"/>
          </w:tcPr>
          <w:p w14:paraId="5F3A396B">
            <w:pPr>
              <w:widowControl/>
              <w:spacing w:line="276" w:lineRule="auto"/>
              <w:jc w:val="center"/>
              <w:textAlignment w:val="center"/>
              <w:rPr>
                <w:rFonts w:ascii="宋体" w:hAnsi="宋体" w:cs="宋体"/>
                <w:szCs w:val="21"/>
              </w:rPr>
            </w:pPr>
            <w:r>
              <w:rPr>
                <w:rStyle w:val="83"/>
                <w:rFonts w:hint="default"/>
                <w:color w:val="auto"/>
                <w:sz w:val="21"/>
                <w:szCs w:val="21"/>
                <w:lang w:bidi="ar"/>
              </w:rPr>
              <w:t>创新扇形拼合桌与座椅</w:t>
            </w:r>
          </w:p>
        </w:tc>
        <w:tc>
          <w:tcPr>
            <w:tcW w:w="373" w:type="pct"/>
            <w:vAlign w:val="center"/>
          </w:tcPr>
          <w:p w14:paraId="757ACADD">
            <w:pPr>
              <w:widowControl/>
              <w:spacing w:line="276" w:lineRule="auto"/>
              <w:jc w:val="center"/>
              <w:rPr>
                <w:rFonts w:ascii="宋体" w:hAnsi="宋体" w:cs="宋体"/>
                <w:szCs w:val="21"/>
              </w:rPr>
            </w:pPr>
          </w:p>
        </w:tc>
        <w:tc>
          <w:tcPr>
            <w:tcW w:w="2756" w:type="pct"/>
            <w:vAlign w:val="center"/>
          </w:tcPr>
          <w:p w14:paraId="44AD0525">
            <w:pPr>
              <w:widowControl/>
              <w:spacing w:line="276" w:lineRule="auto"/>
              <w:jc w:val="left"/>
              <w:textAlignment w:val="center"/>
              <w:rPr>
                <w:rFonts w:ascii="宋体" w:hAnsi="宋体" w:cs="宋体"/>
                <w:kern w:val="0"/>
                <w:szCs w:val="21"/>
                <w:lang w:bidi="ar"/>
              </w:rPr>
            </w:pPr>
            <w:r>
              <w:rPr>
                <w:rStyle w:val="83"/>
                <w:rFonts w:hint="default"/>
                <w:color w:val="auto"/>
                <w:sz w:val="21"/>
                <w:szCs w:val="21"/>
                <w:lang w:bidi="ar"/>
              </w:rPr>
              <w:t>创新扇形拼合桌</w:t>
            </w:r>
            <w:r>
              <w:rPr>
                <w:rFonts w:hint="eastAsia" w:ascii="宋体" w:hAnsi="宋体" w:cs="宋体"/>
                <w:kern w:val="0"/>
                <w:szCs w:val="21"/>
                <w:lang w:bidi="ar"/>
              </w:rPr>
              <w:t>≥80套；</w:t>
            </w:r>
          </w:p>
          <w:p w14:paraId="75B8F612">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1.台面板形状为扇形，采用刨花板（三聚氰胺板），符合国家E1级板材标准，面粘三聚氰胺胶面，PVC封边；</w:t>
            </w:r>
          </w:p>
          <w:p w14:paraId="2AB4411E">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2.台面托架采用冷轧钢板一体而成，长280MM*宽30MM材料壁厚（3.0MM），表面采用防锈静电喷涂处理；</w:t>
            </w:r>
          </w:p>
          <w:p w14:paraId="25F24D5B">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3.前挡板 采用冷轧钢板，长为930mm，宽为340mm，壁厚为1.0mm ，挡板表面经防锈静电喷涂处理；</w:t>
            </w:r>
          </w:p>
          <w:p w14:paraId="44FEF211">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4.侧脚 采用冷轧圆形钢管，前后脚跨度为580mm，管材壁厚平均为1.5mm，表面经防锈静电喷涂处理；</w:t>
            </w:r>
          </w:p>
          <w:p w14:paraId="25BCD755">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5.横梁 采用φ50MM圆形冷轧钢管，壁厚1.5MM,表面再经防锈静电喷涂处理；</w:t>
            </w:r>
          </w:p>
          <w:p w14:paraId="269C548C">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6.书网 采用φ14MM圆管 厚度为1.0mm，经塑料件与圆管组合成型表面采用防锈静电喷涂处理。</w:t>
            </w:r>
          </w:p>
          <w:p w14:paraId="5A9570F1">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7.台架有旋钮拆叠装置，脚轮采用φ50MM  PU万向脚轮带刹车。</w:t>
            </w:r>
          </w:p>
          <w:p w14:paraId="642E4CFE">
            <w:pPr>
              <w:widowControl/>
              <w:spacing w:line="276" w:lineRule="auto"/>
              <w:jc w:val="left"/>
              <w:textAlignment w:val="center"/>
              <w:rPr>
                <w:rFonts w:ascii="宋体" w:hAnsi="宋体" w:cs="宋体"/>
                <w:b/>
                <w:bCs/>
                <w:szCs w:val="21"/>
                <w:shd w:val="clear" w:color="auto" w:fill="FFFFFF"/>
              </w:rPr>
            </w:pPr>
            <w:r>
              <w:rPr>
                <w:rFonts w:hint="eastAsia" w:ascii="宋体" w:hAnsi="宋体" w:cs="宋体"/>
                <w:b/>
                <w:bCs/>
                <w:szCs w:val="21"/>
                <w:shd w:val="clear" w:color="auto" w:fill="FFFFFF"/>
              </w:rPr>
              <w:t>备注：家具外形尺寸偏差应在±5mm内，所有钢材、板材、封边条等厚度只允许正偏离。</w:t>
            </w:r>
          </w:p>
          <w:p w14:paraId="4BAEFB71">
            <w:pPr>
              <w:widowControl/>
              <w:spacing w:line="276" w:lineRule="auto"/>
              <w:jc w:val="left"/>
              <w:textAlignment w:val="center"/>
              <w:rPr>
                <w:rFonts w:ascii="宋体" w:hAnsi="宋体" w:cs="宋体"/>
                <w:kern w:val="0"/>
                <w:szCs w:val="21"/>
                <w:lang w:bidi="ar"/>
              </w:rPr>
            </w:pPr>
            <w:r>
              <w:rPr>
                <w:rStyle w:val="83"/>
                <w:rFonts w:hint="default"/>
                <w:color w:val="auto"/>
                <w:sz w:val="21"/>
                <w:szCs w:val="21"/>
                <w:lang w:bidi="ar"/>
              </w:rPr>
              <w:t>创新拼合座椅</w:t>
            </w:r>
            <w:r>
              <w:rPr>
                <w:rFonts w:hint="eastAsia" w:ascii="宋体" w:hAnsi="宋体" w:cs="宋体"/>
                <w:kern w:val="0"/>
                <w:szCs w:val="21"/>
                <w:lang w:bidi="ar"/>
              </w:rPr>
              <w:t>≥80套；</w:t>
            </w:r>
          </w:p>
          <w:p w14:paraId="5459E2D7">
            <w:pPr>
              <w:widowControl/>
              <w:spacing w:line="276" w:lineRule="auto"/>
              <w:jc w:val="left"/>
              <w:textAlignment w:val="center"/>
              <w:rPr>
                <w:rFonts w:ascii="宋体" w:hAnsi="宋体" w:cs="宋体"/>
                <w:szCs w:val="21"/>
              </w:rPr>
            </w:pPr>
            <w:r>
              <w:rPr>
                <w:rFonts w:hint="eastAsia" w:ascii="宋体" w:hAnsi="宋体" w:cs="宋体"/>
                <w:kern w:val="0"/>
                <w:szCs w:val="21"/>
                <w:lang w:bidi="ar"/>
              </w:rPr>
              <w:t>白色磨砂喷涂椅架带黑固定脚，可以活动扶手，白色背+扶手，黑色PA尼龙背框扪网布，一次发泡成型PU定型棉+白色底壳+弹性绒布。静音轮，椅子可折叠。</w:t>
            </w:r>
          </w:p>
        </w:tc>
        <w:tc>
          <w:tcPr>
            <w:tcW w:w="905" w:type="pct"/>
            <w:vAlign w:val="center"/>
          </w:tcPr>
          <w:p w14:paraId="5F713704">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61CB5D7E">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6A21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3067DB7F">
            <w:pPr>
              <w:spacing w:line="276" w:lineRule="auto"/>
              <w:jc w:val="center"/>
              <w:rPr>
                <w:rFonts w:ascii="宋体" w:hAnsi="宋体" w:cs="宋体"/>
                <w:szCs w:val="21"/>
              </w:rPr>
            </w:pPr>
            <w:r>
              <w:rPr>
                <w:rFonts w:hint="eastAsia" w:ascii="宋体" w:hAnsi="宋体" w:cs="宋体"/>
                <w:szCs w:val="21"/>
              </w:rPr>
              <w:t>28</w:t>
            </w:r>
          </w:p>
        </w:tc>
        <w:tc>
          <w:tcPr>
            <w:tcW w:w="596" w:type="pct"/>
            <w:vAlign w:val="center"/>
          </w:tcPr>
          <w:p w14:paraId="63CD9C08">
            <w:pPr>
              <w:widowControl/>
              <w:spacing w:line="276" w:lineRule="auto"/>
              <w:jc w:val="center"/>
              <w:textAlignment w:val="center"/>
              <w:rPr>
                <w:rFonts w:ascii="宋体" w:hAnsi="宋体" w:cs="宋体"/>
                <w:szCs w:val="21"/>
              </w:rPr>
            </w:pPr>
            <w:r>
              <w:rPr>
                <w:rFonts w:hint="eastAsia" w:ascii="宋体" w:hAnsi="宋体" w:cs="宋体"/>
                <w:kern w:val="0"/>
                <w:szCs w:val="21"/>
                <w:lang w:bidi="ar"/>
              </w:rPr>
              <w:t>24口POE交换机</w:t>
            </w:r>
          </w:p>
        </w:tc>
        <w:tc>
          <w:tcPr>
            <w:tcW w:w="373" w:type="pct"/>
            <w:vAlign w:val="center"/>
          </w:tcPr>
          <w:p w14:paraId="0398CBBC">
            <w:pPr>
              <w:widowControl/>
              <w:spacing w:line="276" w:lineRule="auto"/>
              <w:jc w:val="center"/>
              <w:rPr>
                <w:rFonts w:ascii="宋体" w:hAnsi="宋体" w:cs="宋体"/>
                <w:szCs w:val="21"/>
              </w:rPr>
            </w:pPr>
          </w:p>
        </w:tc>
        <w:tc>
          <w:tcPr>
            <w:tcW w:w="2756" w:type="pct"/>
          </w:tcPr>
          <w:p w14:paraId="4EDFA56D">
            <w:pPr>
              <w:widowControl/>
              <w:spacing w:line="276" w:lineRule="auto"/>
              <w:jc w:val="left"/>
              <w:textAlignment w:val="top"/>
              <w:rPr>
                <w:rFonts w:ascii="宋体" w:hAnsi="宋体" w:cs="宋体"/>
                <w:szCs w:val="21"/>
              </w:rPr>
            </w:pPr>
            <w:r>
              <w:rPr>
                <w:rFonts w:hint="eastAsia" w:ascii="宋体" w:hAnsi="宋体" w:cs="宋体"/>
                <w:kern w:val="0"/>
                <w:szCs w:val="21"/>
                <w:lang w:bidi="ar"/>
              </w:rPr>
              <w:t>1.网络端口：具备≥24个10/100/1000Mbps RJ45 端口，端口具有≥1个Link/Ack、Speed 指示灯，设备具有≥1个Power指示灯，支持POE；</w:t>
            </w:r>
            <w:r>
              <w:rPr>
                <w:rFonts w:hint="eastAsia" w:ascii="宋体" w:hAnsi="宋体" w:cs="宋体"/>
                <w:kern w:val="0"/>
                <w:szCs w:val="21"/>
                <w:lang w:bidi="ar"/>
              </w:rPr>
              <w:br w:type="textWrapping"/>
            </w:r>
            <w:r>
              <w:rPr>
                <w:rFonts w:hint="eastAsia" w:ascii="宋体" w:hAnsi="宋体" w:cs="宋体"/>
                <w:kern w:val="0"/>
                <w:szCs w:val="21"/>
                <w:lang w:bidi="ar"/>
              </w:rPr>
              <w:t>2.网络标准：IEEE 802.3 、IEEE 802.3i、IEEE 802.3u、IEEE 802.3ab、IEEE 802.3x；</w:t>
            </w:r>
            <w:r>
              <w:rPr>
                <w:rFonts w:hint="eastAsia" w:ascii="宋体" w:hAnsi="宋体" w:cs="宋体"/>
                <w:kern w:val="0"/>
                <w:szCs w:val="21"/>
                <w:lang w:bidi="ar"/>
              </w:rPr>
              <w:br w:type="textWrapping"/>
            </w:r>
            <w:r>
              <w:rPr>
                <w:rFonts w:hint="eastAsia" w:ascii="宋体" w:hAnsi="宋体" w:cs="宋体"/>
                <w:kern w:val="0"/>
                <w:szCs w:val="21"/>
                <w:lang w:bidi="ar"/>
              </w:rPr>
              <w:t>3.设备性能：支持8K的MAC地址表深度，支持存储转发；</w:t>
            </w:r>
            <w:r>
              <w:rPr>
                <w:rFonts w:hint="eastAsia" w:ascii="宋体" w:hAnsi="宋体" w:cs="宋体"/>
                <w:kern w:val="0"/>
                <w:szCs w:val="21"/>
                <w:lang w:bidi="ar"/>
              </w:rPr>
              <w:br w:type="textWrapping"/>
            </w:r>
            <w:r>
              <w:rPr>
                <w:rFonts w:hint="eastAsia" w:ascii="宋体" w:hAnsi="宋体" w:cs="宋体"/>
                <w:kern w:val="0"/>
                <w:szCs w:val="21"/>
                <w:lang w:bidi="ar"/>
              </w:rPr>
              <w:t>4.使用环境：工作湿度：10%～90%RH，工作温度：0℃～40℃；</w:t>
            </w:r>
            <w:r>
              <w:rPr>
                <w:rFonts w:hint="eastAsia" w:ascii="宋体" w:hAnsi="宋体" w:cs="宋体"/>
                <w:kern w:val="0"/>
                <w:szCs w:val="21"/>
                <w:lang w:bidi="ar"/>
              </w:rPr>
              <w:br w:type="textWrapping"/>
            </w:r>
            <w:r>
              <w:rPr>
                <w:rFonts w:hint="eastAsia" w:ascii="宋体" w:hAnsi="宋体" w:cs="宋体"/>
                <w:kern w:val="0"/>
                <w:szCs w:val="21"/>
                <w:lang w:bidi="ar"/>
              </w:rPr>
              <w:t>5.输入电源：100-240V～ 50/60Hz</w:t>
            </w:r>
          </w:p>
        </w:tc>
        <w:tc>
          <w:tcPr>
            <w:tcW w:w="905" w:type="pct"/>
            <w:vAlign w:val="center"/>
          </w:tcPr>
          <w:p w14:paraId="3DE85E42">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790A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7D38CA02">
            <w:pPr>
              <w:spacing w:line="276" w:lineRule="auto"/>
              <w:jc w:val="center"/>
              <w:rPr>
                <w:rFonts w:ascii="宋体" w:hAnsi="宋体" w:cs="宋体"/>
                <w:szCs w:val="21"/>
              </w:rPr>
            </w:pPr>
            <w:r>
              <w:rPr>
                <w:rFonts w:hint="eastAsia" w:ascii="宋体" w:hAnsi="宋体" w:cs="宋体"/>
                <w:szCs w:val="21"/>
              </w:rPr>
              <w:t>29</w:t>
            </w:r>
          </w:p>
        </w:tc>
        <w:tc>
          <w:tcPr>
            <w:tcW w:w="596" w:type="pct"/>
            <w:vAlign w:val="center"/>
          </w:tcPr>
          <w:p w14:paraId="7CABF4F0">
            <w:pPr>
              <w:widowControl/>
              <w:spacing w:line="276" w:lineRule="auto"/>
              <w:jc w:val="center"/>
              <w:textAlignment w:val="center"/>
              <w:rPr>
                <w:rFonts w:ascii="宋体" w:hAnsi="宋体" w:cs="宋体"/>
                <w:szCs w:val="21"/>
              </w:rPr>
            </w:pPr>
            <w:r>
              <w:rPr>
                <w:rFonts w:hint="eastAsia" w:ascii="宋体" w:hAnsi="宋体" w:cs="宋体"/>
                <w:kern w:val="0"/>
                <w:szCs w:val="21"/>
                <w:lang w:bidi="ar"/>
              </w:rPr>
              <w:t>无线路由器</w:t>
            </w:r>
          </w:p>
        </w:tc>
        <w:tc>
          <w:tcPr>
            <w:tcW w:w="373" w:type="pct"/>
            <w:vAlign w:val="center"/>
          </w:tcPr>
          <w:p w14:paraId="288D1074">
            <w:pPr>
              <w:widowControl/>
              <w:spacing w:line="276" w:lineRule="auto"/>
              <w:jc w:val="center"/>
              <w:rPr>
                <w:rFonts w:ascii="宋体" w:hAnsi="宋体" w:cs="宋体"/>
                <w:szCs w:val="21"/>
              </w:rPr>
            </w:pPr>
          </w:p>
        </w:tc>
        <w:tc>
          <w:tcPr>
            <w:tcW w:w="2756" w:type="pct"/>
          </w:tcPr>
          <w:p w14:paraId="0E55BDC2">
            <w:pPr>
              <w:widowControl/>
              <w:spacing w:line="276" w:lineRule="auto"/>
              <w:jc w:val="left"/>
              <w:textAlignment w:val="top"/>
              <w:rPr>
                <w:rFonts w:ascii="宋体" w:hAnsi="宋体" w:cs="宋体"/>
                <w:szCs w:val="21"/>
              </w:rPr>
            </w:pPr>
            <w:r>
              <w:rPr>
                <w:rFonts w:hint="eastAsia" w:ascii="宋体" w:hAnsi="宋体" w:cs="宋体"/>
                <w:kern w:val="0"/>
                <w:szCs w:val="21"/>
                <w:lang w:bidi="ar"/>
              </w:rPr>
              <w:t>1.基于不低于Wi-Fi 6标准，支持不少于2x2 MU-MIMO技术、OFDMA空间复用技术和1024QAM调制解调算法，整机最高速率可达1.775Gbps，向下兼容802.11a/b/g/n/ac/Wave2。</w:t>
            </w:r>
            <w:r>
              <w:rPr>
                <w:rFonts w:hint="eastAsia" w:ascii="宋体" w:hAnsi="宋体" w:cs="宋体"/>
                <w:kern w:val="0"/>
                <w:szCs w:val="21"/>
                <w:lang w:bidi="ar"/>
              </w:rPr>
              <w:br w:type="textWrapping"/>
            </w:r>
            <w:r>
              <w:rPr>
                <w:rFonts w:hint="eastAsia" w:ascii="宋体" w:hAnsi="宋体" w:cs="宋体"/>
                <w:kern w:val="0"/>
                <w:szCs w:val="21"/>
                <w:lang w:bidi="ar"/>
              </w:rPr>
              <w:t>2.设备采用千兆以太网口上行链路；支持本地供电与PoE远程供电。</w:t>
            </w:r>
            <w:r>
              <w:rPr>
                <w:rFonts w:hint="eastAsia" w:ascii="宋体" w:hAnsi="宋体" w:cs="宋体"/>
                <w:kern w:val="0"/>
                <w:szCs w:val="21"/>
                <w:lang w:bidi="ar"/>
              </w:rPr>
              <w:br w:type="textWrapping"/>
            </w:r>
            <w:r>
              <w:rPr>
                <w:rFonts w:hint="eastAsia" w:ascii="宋体" w:hAnsi="宋体" w:cs="宋体"/>
                <w:kern w:val="0"/>
                <w:szCs w:val="21"/>
                <w:lang w:bidi="ar"/>
              </w:rPr>
              <w:t>3.最大接入用户数：≥150。</w:t>
            </w:r>
            <w:r>
              <w:rPr>
                <w:rFonts w:hint="eastAsia" w:ascii="宋体" w:hAnsi="宋体" w:cs="宋体"/>
                <w:kern w:val="0"/>
                <w:szCs w:val="21"/>
                <w:lang w:bidi="ar"/>
              </w:rPr>
              <w:br w:type="textWrapping"/>
            </w:r>
            <w:r>
              <w:rPr>
                <w:rFonts w:hint="eastAsia" w:ascii="宋体" w:hAnsi="宋体" w:cs="宋体"/>
                <w:kern w:val="0"/>
                <w:szCs w:val="21"/>
                <w:lang w:bidi="ar"/>
              </w:rPr>
              <w:t>4.单频最大传输速度：2.4G：≥570Mbps；5G：≥1200Mbps。</w:t>
            </w:r>
          </w:p>
        </w:tc>
        <w:tc>
          <w:tcPr>
            <w:tcW w:w="905" w:type="pct"/>
            <w:vAlign w:val="center"/>
          </w:tcPr>
          <w:p w14:paraId="4F313E32">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7984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24D44100">
            <w:pPr>
              <w:spacing w:line="276" w:lineRule="auto"/>
              <w:jc w:val="center"/>
              <w:rPr>
                <w:rFonts w:ascii="宋体" w:hAnsi="宋体" w:cs="宋体"/>
                <w:szCs w:val="21"/>
              </w:rPr>
            </w:pPr>
            <w:r>
              <w:rPr>
                <w:rFonts w:hint="eastAsia" w:ascii="宋体" w:hAnsi="宋体" w:cs="宋体"/>
                <w:szCs w:val="21"/>
              </w:rPr>
              <w:t>30</w:t>
            </w:r>
          </w:p>
        </w:tc>
        <w:tc>
          <w:tcPr>
            <w:tcW w:w="596" w:type="pct"/>
            <w:vAlign w:val="center"/>
          </w:tcPr>
          <w:p w14:paraId="128BD331">
            <w:pPr>
              <w:widowControl/>
              <w:spacing w:line="276" w:lineRule="auto"/>
              <w:jc w:val="center"/>
              <w:textAlignment w:val="center"/>
              <w:rPr>
                <w:rFonts w:ascii="宋体" w:hAnsi="宋体" w:cs="宋体"/>
                <w:szCs w:val="21"/>
              </w:rPr>
            </w:pPr>
            <w:r>
              <w:rPr>
                <w:rFonts w:hint="eastAsia" w:ascii="宋体" w:hAnsi="宋体" w:cs="宋体"/>
                <w:kern w:val="0"/>
                <w:szCs w:val="21"/>
                <w:lang w:bidi="ar"/>
              </w:rPr>
              <w:t>学生投屏器</w:t>
            </w:r>
          </w:p>
        </w:tc>
        <w:tc>
          <w:tcPr>
            <w:tcW w:w="373" w:type="pct"/>
            <w:vAlign w:val="center"/>
          </w:tcPr>
          <w:p w14:paraId="22A1854A">
            <w:pPr>
              <w:widowControl/>
              <w:spacing w:line="276" w:lineRule="auto"/>
              <w:jc w:val="center"/>
              <w:rPr>
                <w:rFonts w:ascii="宋体" w:hAnsi="宋体" w:cs="宋体"/>
                <w:szCs w:val="21"/>
              </w:rPr>
            </w:pPr>
          </w:p>
        </w:tc>
        <w:tc>
          <w:tcPr>
            <w:tcW w:w="2756" w:type="pct"/>
          </w:tcPr>
          <w:p w14:paraId="427F63B6">
            <w:pPr>
              <w:widowControl/>
              <w:spacing w:line="276" w:lineRule="auto"/>
              <w:jc w:val="left"/>
              <w:textAlignment w:val="top"/>
              <w:rPr>
                <w:rFonts w:ascii="宋体" w:hAnsi="宋体" w:cs="宋体"/>
                <w:szCs w:val="21"/>
              </w:rPr>
            </w:pPr>
            <w:r>
              <w:rPr>
                <w:rFonts w:hint="eastAsia" w:ascii="宋体" w:hAnsi="宋体" w:cs="宋体"/>
                <w:kern w:val="0"/>
                <w:szCs w:val="21"/>
                <w:lang w:bidi="ar"/>
              </w:rPr>
              <w:t>支持4K超清分辨率（3840×2160），传输延迟≤150毫秒，兼容Windows、macOS、Android、iOS系统，工作频段包含5GHz/2.4GHz。</w:t>
            </w:r>
          </w:p>
        </w:tc>
        <w:tc>
          <w:tcPr>
            <w:tcW w:w="905" w:type="pct"/>
            <w:vAlign w:val="center"/>
          </w:tcPr>
          <w:p w14:paraId="598A2103">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r w14:paraId="62230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1F3E8301">
            <w:pPr>
              <w:spacing w:line="276" w:lineRule="auto"/>
              <w:jc w:val="center"/>
              <w:rPr>
                <w:rFonts w:ascii="宋体" w:hAnsi="宋体" w:cs="宋体"/>
                <w:szCs w:val="21"/>
              </w:rPr>
            </w:pPr>
            <w:r>
              <w:rPr>
                <w:rFonts w:hint="eastAsia" w:ascii="宋体" w:hAnsi="宋体" w:cs="宋体"/>
                <w:szCs w:val="21"/>
              </w:rPr>
              <w:t>31</w:t>
            </w:r>
          </w:p>
        </w:tc>
        <w:tc>
          <w:tcPr>
            <w:tcW w:w="596" w:type="pct"/>
            <w:vAlign w:val="center"/>
          </w:tcPr>
          <w:p w14:paraId="41BCF328">
            <w:pPr>
              <w:widowControl/>
              <w:spacing w:line="276" w:lineRule="auto"/>
              <w:jc w:val="center"/>
              <w:textAlignment w:val="center"/>
              <w:rPr>
                <w:rFonts w:ascii="宋体" w:hAnsi="宋体" w:cs="宋体"/>
                <w:szCs w:val="21"/>
              </w:rPr>
            </w:pPr>
            <w:r>
              <w:rPr>
                <w:rFonts w:hint="eastAsia" w:ascii="宋体" w:hAnsi="宋体" w:cs="宋体"/>
                <w:kern w:val="0"/>
                <w:szCs w:val="21"/>
                <w:lang w:bidi="ar"/>
              </w:rPr>
              <w:t>高性能服务器</w:t>
            </w:r>
          </w:p>
        </w:tc>
        <w:tc>
          <w:tcPr>
            <w:tcW w:w="373" w:type="pct"/>
            <w:vAlign w:val="center"/>
          </w:tcPr>
          <w:p w14:paraId="0AEF061E">
            <w:pPr>
              <w:widowControl/>
              <w:spacing w:line="276" w:lineRule="auto"/>
              <w:jc w:val="center"/>
              <w:rPr>
                <w:rFonts w:ascii="宋体" w:hAnsi="宋体" w:cs="宋体"/>
                <w:szCs w:val="21"/>
              </w:rPr>
            </w:pPr>
            <w:r>
              <w:rPr>
                <w:rFonts w:hint="eastAsia" w:ascii="宋体" w:hAnsi="宋体" w:cs="宋体"/>
                <w:kern w:val="0"/>
                <w:szCs w:val="21"/>
                <w:lang w:bidi="ar"/>
              </w:rPr>
              <w:t>#</w:t>
            </w:r>
            <w:r>
              <w:rPr>
                <w:rFonts w:hint="eastAsia" w:ascii="宋体" w:hAnsi="宋体" w:cs="宋体"/>
                <w:kern w:val="0"/>
                <w:szCs w:val="21"/>
                <w:lang w:bidi="ar"/>
              </w:rPr>
              <w:br w:type="textWrapping"/>
            </w:r>
            <w:r>
              <w:rPr>
                <w:rFonts w:hint="eastAsia" w:ascii="宋体" w:hAnsi="宋体" w:cs="宋体"/>
                <w:kern w:val="0"/>
                <w:szCs w:val="21"/>
                <w:lang w:bidi="ar"/>
              </w:rPr>
              <w:t>重要指标</w:t>
            </w:r>
          </w:p>
        </w:tc>
        <w:tc>
          <w:tcPr>
            <w:tcW w:w="2756" w:type="pct"/>
            <w:vAlign w:val="center"/>
          </w:tcPr>
          <w:p w14:paraId="5388A377">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2U机架式高性能服务器，搭载≥2颗x86架构处理器（单颗物理核心≥28核，线程≥56，主频≥2.3GHz，L3缓存≥42MB）；配置≥256GB DDR4 ECC RDIMM内存；</w:t>
            </w:r>
          </w:p>
          <w:p w14:paraId="456D4964">
            <w:pPr>
              <w:widowControl/>
              <w:spacing w:line="276" w:lineRule="auto"/>
              <w:jc w:val="left"/>
              <w:textAlignment w:val="center"/>
              <w:rPr>
                <w:rFonts w:ascii="宋体" w:hAnsi="宋体" w:cs="宋体"/>
                <w:szCs w:val="21"/>
              </w:rPr>
            </w:pPr>
            <w:r>
              <w:rPr>
                <w:rFonts w:hint="eastAsia" w:ascii="宋体" w:hAnsi="宋体" w:cs="宋体"/>
                <w:kern w:val="0"/>
                <w:szCs w:val="21"/>
                <w:lang w:bidi="ar"/>
              </w:rPr>
              <w:t>≥3块3.84T 2.5英寸U.2 NVMe PCIe 4.0固态硬盘；≥1块独立磁盘阵列控制器（支持SAS及NVMe协议，板载缓存≥4GB并配置非易失性缓存保护模块，支持RAID 0/1/5/6/10/50/60）；≥2个千兆以太网电口和≥2个万兆以太网光口（含配套模块）；配备≥2个800W 冗余电源，附带设备导轨。</w:t>
            </w:r>
          </w:p>
        </w:tc>
        <w:tc>
          <w:tcPr>
            <w:tcW w:w="905" w:type="pct"/>
            <w:vAlign w:val="center"/>
          </w:tcPr>
          <w:p w14:paraId="3B34F895">
            <w:pPr>
              <w:widowControl/>
              <w:spacing w:line="276" w:lineRule="auto"/>
              <w:jc w:val="center"/>
              <w:rPr>
                <w:rFonts w:ascii="宋体" w:hAnsi="宋体" w:cs="宋体"/>
                <w:snapToGrid w:val="0"/>
                <w:kern w:val="0"/>
                <w:szCs w:val="21"/>
                <w:lang w:val="zh-CN"/>
              </w:rPr>
            </w:pPr>
            <w:r>
              <w:rPr>
                <w:rFonts w:hint="eastAsia" w:ascii="宋体" w:hAnsi="宋体" w:cs="宋体"/>
                <w:szCs w:val="21"/>
              </w:rPr>
              <w:t xml:space="preserve">□无  </w:t>
            </w:r>
            <w:r>
              <w:rPr>
                <w:rFonts w:ascii="Segoe UI Symbol" w:hAnsi="Segoe UI Symbol" w:cs="Segoe UI Symbol"/>
                <w:szCs w:val="21"/>
              </w:rPr>
              <w:t>☑</w:t>
            </w:r>
            <w:r>
              <w:rPr>
                <w:rFonts w:hint="eastAsia" w:ascii="宋体" w:hAnsi="宋体" w:cs="宋体"/>
                <w:szCs w:val="21"/>
              </w:rPr>
              <w:t>有，要求：</w:t>
            </w:r>
          </w:p>
          <w:p w14:paraId="38505468">
            <w:pPr>
              <w:widowControl/>
              <w:spacing w:line="276" w:lineRule="auto"/>
              <w:rPr>
                <w:rFonts w:ascii="宋体" w:hAnsi="宋体" w:cs="宋体"/>
                <w:szCs w:val="21"/>
              </w:rPr>
            </w:pPr>
            <w:r>
              <w:rPr>
                <w:rFonts w:hint="eastAsia" w:ascii="宋体" w:hAnsi="宋体" w:cs="宋体"/>
                <w:bCs/>
                <w:szCs w:val="21"/>
              </w:rPr>
              <w:t>制造商官方网站截图或产品白皮书或第三方机构检测机构提供的检验报告。</w:t>
            </w:r>
          </w:p>
        </w:tc>
      </w:tr>
      <w:tr w14:paraId="47C18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 w:type="pct"/>
            <w:vAlign w:val="center"/>
          </w:tcPr>
          <w:p w14:paraId="2453CBDE">
            <w:pPr>
              <w:spacing w:line="276" w:lineRule="auto"/>
              <w:jc w:val="center"/>
              <w:rPr>
                <w:rFonts w:ascii="宋体" w:hAnsi="宋体" w:cs="宋体"/>
                <w:szCs w:val="21"/>
              </w:rPr>
            </w:pPr>
            <w:r>
              <w:rPr>
                <w:rFonts w:hint="eastAsia" w:ascii="宋体" w:hAnsi="宋体" w:cs="宋体"/>
                <w:szCs w:val="21"/>
              </w:rPr>
              <w:t>3</w:t>
            </w:r>
            <w:r>
              <w:rPr>
                <w:rFonts w:ascii="宋体" w:hAnsi="宋体" w:cs="宋体"/>
                <w:szCs w:val="21"/>
              </w:rPr>
              <w:t>2</w:t>
            </w:r>
          </w:p>
        </w:tc>
        <w:tc>
          <w:tcPr>
            <w:tcW w:w="596" w:type="pct"/>
            <w:vAlign w:val="center"/>
          </w:tcPr>
          <w:p w14:paraId="059D50E0">
            <w:pPr>
              <w:widowControl/>
              <w:spacing w:line="276" w:lineRule="auto"/>
              <w:jc w:val="center"/>
              <w:textAlignment w:val="center"/>
              <w:rPr>
                <w:rFonts w:ascii="宋体" w:hAnsi="宋体" w:cs="宋体"/>
                <w:szCs w:val="21"/>
              </w:rPr>
            </w:pPr>
            <w:r>
              <w:rPr>
                <w:rFonts w:hint="eastAsia" w:ascii="宋体" w:hAnsi="宋体" w:cs="宋体"/>
                <w:kern w:val="0"/>
                <w:szCs w:val="21"/>
                <w:lang w:bidi="ar"/>
              </w:rPr>
              <w:t>门厅走廊智能全景监控</w:t>
            </w:r>
          </w:p>
        </w:tc>
        <w:tc>
          <w:tcPr>
            <w:tcW w:w="373" w:type="pct"/>
            <w:vAlign w:val="center"/>
          </w:tcPr>
          <w:p w14:paraId="3563D263">
            <w:pPr>
              <w:widowControl/>
              <w:spacing w:line="276" w:lineRule="auto"/>
              <w:jc w:val="center"/>
              <w:rPr>
                <w:rFonts w:ascii="宋体" w:hAnsi="宋体" w:cs="宋体"/>
                <w:szCs w:val="21"/>
              </w:rPr>
            </w:pPr>
          </w:p>
        </w:tc>
        <w:tc>
          <w:tcPr>
            <w:tcW w:w="2756" w:type="pct"/>
            <w:vAlign w:val="center"/>
          </w:tcPr>
          <w:p w14:paraId="6715FEF9">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全景覆盖与高清成像：支持无盲区全景拼接（如多镜头融合或鱼眼镜头畸变校正），实现门厅走廊全场景高清监控（分辨率≥4K），适应复杂光照条件（如逆光、低照度），具备宽动态范围（WDR≥120dB）及强光抑制/弱光补偿功能，确保关键区域（出入口、楼梯口等）细节清晰可辨。</w:t>
            </w:r>
          </w:p>
          <w:p w14:paraId="678277A6">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智能行为分析与预警：集成AI算法实现人员行为识别（如奔跑、摔倒、聚集、逆行）、目标检测（人脸/人体/行李/可疑物品）、异常事件预警（如滞留超时、尾随闯入、区域入侵），支持自定义规则配置（如特定时段禁行区管控），联动声光报警或门禁系统实时响应。</w:t>
            </w:r>
          </w:p>
          <w:p w14:paraId="2B86DD48">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数据高效存储与检索：支持高清视频本地存储（如NVR，容量≥30天）与云端备份，具备智能视频摘要（关键事件自动标记）、快速检索（按时间/目标/事件类型筛选）、多路视频同步回放功能，保障数据完整性与可追溯性。</w:t>
            </w:r>
          </w:p>
          <w:p w14:paraId="157AE38F">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系统稳定性与安全防护：采用低码流传输技术（如H.265编码）降低带宽占用，支持断网续传与双电源冗余备份；具备防篡改（数字水印）、加密传输（SSL/TLS）、权限分级管理（管理员/操作员/访客）等安全机制，符合GB/T 28181等安防标准。</w:t>
            </w:r>
          </w:p>
          <w:p w14:paraId="61F276FA">
            <w:pPr>
              <w:widowControl/>
              <w:spacing w:line="276" w:lineRule="auto"/>
              <w:jc w:val="left"/>
              <w:textAlignment w:val="center"/>
              <w:rPr>
                <w:rFonts w:ascii="宋体" w:hAnsi="宋体" w:cs="宋体"/>
                <w:kern w:val="0"/>
                <w:szCs w:val="21"/>
                <w:lang w:bidi="ar"/>
              </w:rPr>
            </w:pPr>
            <w:r>
              <w:rPr>
                <w:rFonts w:hint="eastAsia" w:ascii="宋体" w:hAnsi="宋体" w:cs="宋体"/>
                <w:kern w:val="0"/>
                <w:szCs w:val="21"/>
                <w:lang w:bidi="ar"/>
              </w:rPr>
              <w:t>扩展与集成能力：支持多设备接入（如门禁、报警器、消防传感器），兼容第三方平台（如校园/园区综合管理平台），提供API接口实现数据互通与联动控制（如异常事件同步至安保中心），适配不同建筑结构的门厅走廊场景（如弧形/狭窄通道）。</w:t>
            </w:r>
          </w:p>
          <w:p w14:paraId="6B01BADC">
            <w:pPr>
              <w:widowControl/>
              <w:spacing w:line="276" w:lineRule="auto"/>
              <w:jc w:val="left"/>
              <w:textAlignment w:val="center"/>
              <w:rPr>
                <w:rFonts w:ascii="宋体" w:hAnsi="宋体" w:cs="宋体"/>
                <w:szCs w:val="21"/>
              </w:rPr>
            </w:pPr>
            <w:r>
              <w:rPr>
                <w:rFonts w:hint="eastAsia" w:ascii="宋体" w:hAnsi="宋体" w:cs="宋体"/>
                <w:kern w:val="0"/>
                <w:szCs w:val="21"/>
                <w:lang w:bidi="ar"/>
              </w:rPr>
              <w:t>满足门厅和走廊的使用，</w:t>
            </w:r>
            <w:r>
              <w:rPr>
                <w:rFonts w:hint="eastAsia" w:ascii="宋体" w:hAnsi="宋体" w:cs="宋体"/>
                <w:szCs w:val="21"/>
              </w:rPr>
              <w:t>包含但不限于设备、安装、调试、辅料等。</w:t>
            </w:r>
          </w:p>
        </w:tc>
        <w:tc>
          <w:tcPr>
            <w:tcW w:w="905" w:type="pct"/>
            <w:vAlign w:val="center"/>
          </w:tcPr>
          <w:p w14:paraId="06E129AE">
            <w:pPr>
              <w:widowControl/>
              <w:spacing w:line="276" w:lineRule="auto"/>
              <w:rPr>
                <w:rFonts w:ascii="宋体" w:hAnsi="宋体" w:cs="宋体"/>
                <w:szCs w:val="21"/>
              </w:rPr>
            </w:pPr>
            <w:r>
              <w:rPr>
                <w:rFonts w:ascii="Segoe UI Symbol" w:hAnsi="Segoe UI Symbol" w:cs="Segoe UI Symbol"/>
                <w:szCs w:val="21"/>
              </w:rPr>
              <w:t>☑</w:t>
            </w:r>
            <w:r>
              <w:rPr>
                <w:rFonts w:hint="eastAsia" w:ascii="宋体" w:hAnsi="宋体" w:cs="宋体"/>
                <w:szCs w:val="21"/>
              </w:rPr>
              <w:t>无  □有，要求：</w:t>
            </w:r>
          </w:p>
        </w:tc>
      </w:tr>
    </w:tbl>
    <w:p w14:paraId="17384E34">
      <w:pPr>
        <w:spacing w:line="276" w:lineRule="auto"/>
        <w:jc w:val="left"/>
        <w:rPr>
          <w:rFonts w:ascii="宋体" w:hAnsi="宋体" w:cs="宋体"/>
          <w:snapToGrid w:val="0"/>
          <w:color w:val="000000"/>
          <w:kern w:val="0"/>
          <w:szCs w:val="21"/>
        </w:rPr>
      </w:pPr>
    </w:p>
    <w:tbl>
      <w:tblPr>
        <w:tblStyle w:val="26"/>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161"/>
        <w:gridCol w:w="725"/>
        <w:gridCol w:w="5370"/>
        <w:gridCol w:w="1713"/>
      </w:tblGrid>
      <w:tr w14:paraId="4B781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508EAFB5">
            <w:pPr>
              <w:widowControl/>
              <w:spacing w:line="276" w:lineRule="auto"/>
              <w:jc w:val="center"/>
              <w:rPr>
                <w:rFonts w:ascii="宋体" w:hAnsi="宋体" w:cs="宋体"/>
                <w:b/>
                <w:color w:val="000000"/>
                <w:szCs w:val="21"/>
              </w:rPr>
            </w:pPr>
            <w:r>
              <w:rPr>
                <w:rFonts w:hint="eastAsia" w:ascii="宋体" w:hAnsi="宋体" w:cs="宋体"/>
                <w:b/>
                <w:color w:val="000000"/>
                <w:szCs w:val="21"/>
              </w:rPr>
              <w:t>2.货物名称</w:t>
            </w:r>
          </w:p>
        </w:tc>
        <w:tc>
          <w:tcPr>
            <w:tcW w:w="2771" w:type="pct"/>
            <w:vAlign w:val="center"/>
          </w:tcPr>
          <w:p w14:paraId="41C7EC72">
            <w:pPr>
              <w:widowControl/>
              <w:spacing w:line="276" w:lineRule="auto"/>
              <w:jc w:val="center"/>
              <w:rPr>
                <w:rFonts w:ascii="宋体" w:hAnsi="宋体" w:cs="宋体"/>
                <w:b/>
                <w:color w:val="000000"/>
                <w:szCs w:val="21"/>
              </w:rPr>
            </w:pPr>
            <w:r>
              <w:rPr>
                <w:rFonts w:hint="eastAsia" w:ascii="宋体" w:hAnsi="宋体" w:cs="宋体"/>
                <w:b/>
                <w:color w:val="000000"/>
                <w:szCs w:val="21"/>
              </w:rPr>
              <w:t>教育录播系统</w:t>
            </w:r>
          </w:p>
        </w:tc>
        <w:tc>
          <w:tcPr>
            <w:tcW w:w="884" w:type="pct"/>
            <w:vAlign w:val="center"/>
          </w:tcPr>
          <w:p w14:paraId="3B8BC181">
            <w:pPr>
              <w:widowControl/>
              <w:spacing w:line="276" w:lineRule="auto"/>
              <w:jc w:val="center"/>
              <w:rPr>
                <w:rFonts w:ascii="宋体" w:hAnsi="宋体" w:cs="宋体"/>
                <w:b/>
                <w:color w:val="000000"/>
                <w:szCs w:val="21"/>
              </w:rPr>
            </w:pPr>
            <w:r>
              <w:rPr>
                <w:rFonts w:hint="eastAsia" w:ascii="宋体" w:hAnsi="宋体" w:cs="宋体"/>
                <w:b/>
                <w:color w:val="000000"/>
                <w:szCs w:val="21"/>
              </w:rPr>
              <w:t>数量：1套</w:t>
            </w:r>
          </w:p>
        </w:tc>
      </w:tr>
      <w:tr w14:paraId="1370A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5CCF89A0">
            <w:pPr>
              <w:widowControl/>
              <w:spacing w:line="276" w:lineRule="auto"/>
              <w:jc w:val="center"/>
              <w:rPr>
                <w:rFonts w:ascii="宋体" w:hAnsi="宋体" w:cs="宋体"/>
                <w:b/>
                <w:color w:val="000000"/>
                <w:szCs w:val="21"/>
              </w:rPr>
            </w:pPr>
            <w:r>
              <w:rPr>
                <w:rFonts w:hint="eastAsia" w:ascii="宋体" w:hAnsi="宋体" w:cs="宋体"/>
                <w:color w:val="000000"/>
                <w:szCs w:val="21"/>
              </w:rPr>
              <w:t>主要功能要求</w:t>
            </w:r>
          </w:p>
        </w:tc>
        <w:tc>
          <w:tcPr>
            <w:tcW w:w="3655" w:type="pct"/>
            <w:gridSpan w:val="2"/>
            <w:vAlign w:val="center"/>
          </w:tcPr>
          <w:p w14:paraId="60D44A8A">
            <w:pPr>
              <w:widowControl/>
              <w:spacing w:line="276" w:lineRule="auto"/>
              <w:jc w:val="left"/>
              <w:rPr>
                <w:rFonts w:ascii="宋体" w:hAnsi="宋体" w:cs="宋体"/>
                <w:b/>
                <w:color w:val="000000"/>
                <w:szCs w:val="21"/>
              </w:rPr>
            </w:pPr>
            <w:r>
              <w:rPr>
                <w:rFonts w:hint="eastAsia" w:ascii="宋体" w:hAnsi="宋体" w:cs="宋体"/>
                <w:color w:val="000000"/>
                <w:szCs w:val="21"/>
                <w:u w:val="single"/>
              </w:rPr>
              <w:t>教育录播系统支持高清多场景录制与多格式输出，具备实时直播、便捷点播及AI分析功能，支持远程交互与系统集成。</w:t>
            </w:r>
          </w:p>
        </w:tc>
      </w:tr>
      <w:tr w14:paraId="614A5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50BF3284">
            <w:pPr>
              <w:widowControl/>
              <w:spacing w:line="276" w:lineRule="auto"/>
              <w:jc w:val="center"/>
              <w:rPr>
                <w:rFonts w:ascii="宋体" w:hAnsi="宋体" w:cs="宋体"/>
                <w:color w:val="000000"/>
                <w:szCs w:val="21"/>
              </w:rPr>
            </w:pPr>
            <w:r>
              <w:rPr>
                <w:rFonts w:hint="eastAsia" w:ascii="宋体" w:hAnsi="宋体" w:cs="宋体"/>
                <w:color w:val="000000"/>
                <w:szCs w:val="21"/>
                <w:lang w:val="en"/>
              </w:rPr>
              <w:t>应遵循的相关国家标准、行业标准等标准、规范</w:t>
            </w:r>
          </w:p>
        </w:tc>
        <w:tc>
          <w:tcPr>
            <w:tcW w:w="3655" w:type="pct"/>
            <w:gridSpan w:val="2"/>
            <w:vAlign w:val="center"/>
          </w:tcPr>
          <w:p w14:paraId="7BD0B6B5">
            <w:pPr>
              <w:spacing w:line="276" w:lineRule="auto"/>
              <w:jc w:val="left"/>
              <w:outlineLvl w:val="0"/>
              <w:rPr>
                <w:rFonts w:ascii="宋体" w:hAnsi="宋体" w:cs="宋体"/>
                <w:b/>
                <w:color w:val="000000"/>
                <w:szCs w:val="21"/>
              </w:rPr>
            </w:pPr>
            <w:r>
              <w:rPr>
                <w:rFonts w:hint="eastAsia" w:ascii="宋体" w:hAnsi="宋体" w:cs="宋体"/>
                <w:color w:val="000000"/>
                <w:szCs w:val="21"/>
              </w:rPr>
              <w:t>☑无  □有，要求：</w:t>
            </w:r>
            <w:r>
              <w:rPr>
                <w:rFonts w:hint="eastAsia" w:ascii="宋体" w:hAnsi="宋体" w:cs="宋体"/>
                <w:color w:val="000000"/>
                <w:szCs w:val="21"/>
                <w:u w:val="single"/>
              </w:rPr>
              <w:t xml:space="preserve">      </w:t>
            </w:r>
          </w:p>
        </w:tc>
      </w:tr>
      <w:tr w14:paraId="25F7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6011C748">
            <w:pPr>
              <w:widowControl/>
              <w:spacing w:line="276" w:lineRule="auto"/>
              <w:jc w:val="center"/>
              <w:rPr>
                <w:rFonts w:ascii="宋体" w:hAnsi="宋体" w:cs="宋体"/>
                <w:b/>
                <w:color w:val="000000"/>
                <w:szCs w:val="21"/>
              </w:rPr>
            </w:pPr>
            <w:r>
              <w:rPr>
                <w:rFonts w:hint="eastAsia" w:ascii="宋体" w:hAnsi="宋体" w:cs="宋体"/>
                <w:color w:val="000000"/>
                <w:szCs w:val="21"/>
                <w:u w:val="single"/>
              </w:rPr>
              <w:t xml:space="preserve">教育录播系统 </w:t>
            </w:r>
            <w:r>
              <w:rPr>
                <w:rFonts w:hint="eastAsia" w:ascii="宋体" w:hAnsi="宋体" w:cs="宋体"/>
                <w:b/>
                <w:color w:val="000000"/>
                <w:szCs w:val="21"/>
              </w:rPr>
              <w:t xml:space="preserve"> 技术指标</w:t>
            </w:r>
          </w:p>
        </w:tc>
      </w:tr>
      <w:tr w14:paraId="17B60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61528B7">
            <w:pPr>
              <w:spacing w:line="276" w:lineRule="auto"/>
              <w:jc w:val="center"/>
              <w:rPr>
                <w:rFonts w:ascii="宋体" w:hAnsi="宋体" w:cs="宋体"/>
                <w:color w:val="000000"/>
                <w:szCs w:val="21"/>
              </w:rPr>
            </w:pPr>
            <w:r>
              <w:rPr>
                <w:rFonts w:hint="eastAsia" w:ascii="宋体" w:hAnsi="宋体" w:cs="宋体"/>
                <w:color w:val="000000"/>
                <w:szCs w:val="21"/>
              </w:rPr>
              <w:t>序号</w:t>
            </w:r>
          </w:p>
        </w:tc>
        <w:tc>
          <w:tcPr>
            <w:tcW w:w="599" w:type="pct"/>
            <w:vAlign w:val="center"/>
          </w:tcPr>
          <w:p w14:paraId="34F5F6DF">
            <w:pPr>
              <w:widowControl/>
              <w:spacing w:line="276" w:lineRule="auto"/>
              <w:jc w:val="center"/>
              <w:rPr>
                <w:rFonts w:ascii="宋体" w:hAnsi="宋体" w:cs="宋体"/>
                <w:color w:val="000000"/>
                <w:szCs w:val="21"/>
              </w:rPr>
            </w:pPr>
            <w:r>
              <w:rPr>
                <w:rFonts w:hint="eastAsia" w:ascii="宋体" w:hAnsi="宋体" w:cs="宋体"/>
                <w:color w:val="000000"/>
                <w:szCs w:val="21"/>
              </w:rPr>
              <w:t>指标项</w:t>
            </w:r>
          </w:p>
        </w:tc>
        <w:tc>
          <w:tcPr>
            <w:tcW w:w="374" w:type="pct"/>
            <w:vAlign w:val="center"/>
          </w:tcPr>
          <w:p w14:paraId="084E88F7">
            <w:pPr>
              <w:widowControl/>
              <w:spacing w:line="276" w:lineRule="auto"/>
              <w:jc w:val="center"/>
              <w:rPr>
                <w:rFonts w:ascii="宋体" w:hAnsi="宋体" w:cs="宋体"/>
                <w:color w:val="000000"/>
                <w:szCs w:val="21"/>
              </w:rPr>
            </w:pPr>
            <w:r>
              <w:rPr>
                <w:rFonts w:hint="eastAsia" w:ascii="宋体" w:hAnsi="宋体" w:cs="宋体"/>
                <w:color w:val="000000"/>
                <w:szCs w:val="21"/>
              </w:rPr>
              <w:t>重要性</w:t>
            </w:r>
          </w:p>
        </w:tc>
        <w:tc>
          <w:tcPr>
            <w:tcW w:w="2771" w:type="pct"/>
            <w:vAlign w:val="center"/>
          </w:tcPr>
          <w:p w14:paraId="1D69E95E">
            <w:pPr>
              <w:widowControl/>
              <w:spacing w:line="276" w:lineRule="auto"/>
              <w:jc w:val="center"/>
              <w:rPr>
                <w:rFonts w:ascii="宋体" w:hAnsi="宋体" w:cs="宋体"/>
                <w:color w:val="000000"/>
                <w:szCs w:val="21"/>
              </w:rPr>
            </w:pPr>
            <w:r>
              <w:rPr>
                <w:rFonts w:hint="eastAsia" w:ascii="宋体" w:hAnsi="宋体" w:cs="宋体"/>
                <w:color w:val="000000"/>
                <w:szCs w:val="21"/>
              </w:rPr>
              <w:t>指标要求</w:t>
            </w:r>
          </w:p>
        </w:tc>
        <w:tc>
          <w:tcPr>
            <w:tcW w:w="884" w:type="pct"/>
            <w:vAlign w:val="center"/>
          </w:tcPr>
          <w:p w14:paraId="5DCD397B">
            <w:pPr>
              <w:widowControl/>
              <w:spacing w:line="276" w:lineRule="auto"/>
              <w:jc w:val="center"/>
              <w:rPr>
                <w:rFonts w:ascii="宋体" w:hAnsi="宋体" w:cs="宋体"/>
                <w:color w:val="000000"/>
                <w:szCs w:val="21"/>
              </w:rPr>
            </w:pPr>
            <w:r>
              <w:rPr>
                <w:rFonts w:hint="eastAsia" w:ascii="宋体" w:hAnsi="宋体" w:cs="宋体"/>
                <w:color w:val="000000"/>
                <w:szCs w:val="21"/>
              </w:rPr>
              <w:t>需提供证明材料要求</w:t>
            </w:r>
          </w:p>
        </w:tc>
      </w:tr>
      <w:tr w14:paraId="6A521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17AA8C0">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1</w:t>
            </w:r>
          </w:p>
        </w:tc>
        <w:tc>
          <w:tcPr>
            <w:tcW w:w="599" w:type="pct"/>
            <w:vAlign w:val="center"/>
          </w:tcPr>
          <w:p w14:paraId="13A08E96">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AI精品录播一体机</w:t>
            </w:r>
          </w:p>
        </w:tc>
        <w:tc>
          <w:tcPr>
            <w:tcW w:w="374" w:type="pct"/>
            <w:vAlign w:val="center"/>
          </w:tcPr>
          <w:p w14:paraId="757517A5">
            <w:pPr>
              <w:widowControl/>
              <w:spacing w:line="276" w:lineRule="auto"/>
              <w:jc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1" w:type="pct"/>
          </w:tcPr>
          <w:p w14:paraId="7BC22034">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1、终端采用高度集成设计，单机可实现音视频采集、音视频编解码、音视频处理、视频录制、视频点播、视频直播、视频导播、远程互动、运维管理控制等功能；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2、终端为标准1U机架式设备，录播主机为非壁挂式架构；</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3、主机采用嵌入式架构设计，ARM多核处理器，采用国产自主嵌入式操作系统，非Windows系统、非 Android系统，支持7*24小时工作；</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4、终端采用金属机箱、无风扇散热设计，噪声&lt;26dB；</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5、终端内置</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3.2寸液晶屏，显示系统硬盘空间、版本号和录制状态、IP地址等设备信息；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6、终端机身具备功能快捷按键，可通过面板按键快速查看IP、录播、直播状态，控制开启/结束录制、直播等；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7、终端视频支持 H.264、H.265视频编解码标准，视频编码码率可调，支持512kbps~20Mbps，视频分辨率可调，支持640x360~3840×2160；</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8、终端音频采用高品质 AAC 音频编码技术，采样率</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48KHz；</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9、支持≥2路HDMI输入接口，输入接口最大可支持4K分辨率，并向下兼容1080、720等常规分辨率；</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10、支持≥4路SDI输入接口，并支持音视频同时输入，接入视频可支持1080分辨率，并向下兼容720等常规分辨率；</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11、支持≥5路高清视频输出，并具备音频输出能力，其中HDMI信号输出≥4路，UVC视频输出≥1路。输出接口最大可支持4K分辨率；</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12、支持≥10路声音输入，其中HDMI音频输入≥2路，SDI音频输入≥4路，线路立体声音频输入≥3路，UAC音频输入≥1路，允许不同视频选择不同的音频进行编码合成；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13、支持≥8路声音输出，其中HDMI音频输出≥4路，线路立体声音频输出≥3路，UAC音频输出≥1路；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14、支持≥2路10/100/1000M自适应RJ45接口；</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15、支持≥5路RS232接口，可外接中控主机、导播键盘、控制面板等设备；</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16、支持≥8个USB接口，其中USB Type-A接口≥5个，USB Type-B接口≥1个，USB Type-C接口≥2个；</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17、终端可选配内置互动功能，无需增加云端/本地互动服务器，终端即可实现十方远程互动，同时可支持外扩自主互动平台服务器实现大规模互动场景，最大可扩建至10000方以上的应用场景；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18、终端内置HID控制，可实现在终端上直接操作所接入终端的电脑；</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19、终端支持标准USB音视频信号输出，支持UVC+UAC协议，通过终端的USB Type-B接口可实现图像和声音同步输出及声音输入，免驱动，即插即用，可无缝兼容主流系统及主流视频会议软件；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20、终端支持多种类型视频信号接入，支持标准网络视频信号接入、高速数字信号接入；</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21、终端具备多种开关机方式，包括上电自启动、定时启动、常规启动等方式；</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22、终端具备Reset复位键，支持硬件复位功能，可通过Reset复位键实现整机系统还原；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23、终端内置</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2TB硬盘，用于录制文件本地存储数据，支持存储空间扩展。</w:t>
            </w:r>
          </w:p>
        </w:tc>
        <w:tc>
          <w:tcPr>
            <w:tcW w:w="884" w:type="pct"/>
            <w:vAlign w:val="center"/>
          </w:tcPr>
          <w:p w14:paraId="699BA84A">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7C535272">
            <w:pPr>
              <w:widowControl/>
              <w:spacing w:line="276" w:lineRule="auto"/>
              <w:rPr>
                <w:rFonts w:ascii="宋体" w:hAnsi="宋体" w:cs="宋体"/>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3E31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5FE669CA">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2</w:t>
            </w:r>
          </w:p>
        </w:tc>
        <w:tc>
          <w:tcPr>
            <w:tcW w:w="599" w:type="pct"/>
            <w:vAlign w:val="center"/>
          </w:tcPr>
          <w:p w14:paraId="6619BC35">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智能录播系统软件</w:t>
            </w:r>
          </w:p>
        </w:tc>
        <w:tc>
          <w:tcPr>
            <w:tcW w:w="374" w:type="pct"/>
            <w:vAlign w:val="center"/>
          </w:tcPr>
          <w:p w14:paraId="3B2379D6">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4F971BFE">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53C1EBD3">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1、系统软件安装于终端主机内，基于B/S及C/S双管理操作界面架构，支持本地导播、远程导播；</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2、系统软件集视频实时预览，视频导播切换、云台控制，录制/直播控制，字幕、台标LOGO、OSD、片头片尾、直播监视、视频点播等多功能于一体；</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3、系统支持多种控制方式，可对终端设备进行录制、直播、互动、导播等控制，控制方式包括：web后台、本地导播、安卓APP、PC客户端；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4、系统支持在导播界面可实时观看电影、电脑、电脑2、教师特写、教师全景、学生特写、学生全景、互动等至少8路视频通道画面，同时支持通过点击画面进行切换；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5、系统支持可选择任意画面通道进行录制，最多可同时录制8路画面通道，支持生成MP4或TS格式标准视频文件；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6、系统支持异常视频资源修复功能，支持对设备异常断电、宕机造成的异常损坏视频文件进行修复；</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7、系统支持录制时长设定，录制时长到达后自动停止录制,单次录像可支持24小时；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8、系统支持开机录制功能、设备开启自动录制，支持定时录制功能、可设置8组定时录制任务，支持录制倒计时功能，可自定义倒计时时间；</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9、系统支持循环录制，当存储容量快满时，系统会自动删除时间靠前的视频，来存储新录制的视频，避免造成存储不足导致无法录制的现象；</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10、所录制的视频文件既可存储在本地硬盘，也支持通过FTP上传至平台；FTP上传具备定时、实时、闲暇等上传模式，同时支持用户随时通过录播主机点播回放视频，并可使用移动磁盘或硬盘拷贝下载；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11、系统支持U盘等外部存储接入主机后，实现本机与U盘同步录制保存的功能。主机正常录制的同时，另存为一份文件保存到U盘中；</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12、系统支持可选择任意画面通道进行直播，最多可同时直播9路画面通道，支持不少于RTMP（push）直播、RTMPS (push)、HLS直播等多种不同直播模式，以适应不同场景直播需求。支持主机开机后自动开始直播功能；支持定时直播功能，提供不少于8组定时直播设置功能；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13、系统内置流媒体广播功能，在无需部署任何平台服务器的前提下，可通过网络将直播画面实时推送到指定分组的观看端。观看端无需进行任何操作即可直接观看高清直播，最大可支持并发50个点；</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14、系统内置导播算法，支持人工手动导播模式，半自动导播模式、自动导播模式多种导播模式，可根据不同场景无缝切换所需的模式；</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15、自动导播支持灵活自定义设置，可根据用户习惯设置导播优先级、导播通道、默认画面、过渡画面、过渡时间、画面停留时间；</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16、系统支持双路HDMI多媒体电脑画面侦测算法，无需在多媒体电脑上安装任何程序即可探测移动鼠标、操作课件翻页等动作并将电脑画面切入导播画面，支持对多媒体电脑画面检测区域设定，最多可绘制5个检测区域，便于屏蔽弹窗、任务栏区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17、系统支持相机控制，可以对相机进行放大缩小变焦调节、上下左右控制、云台转动灵敏度等控制，同时支持为每路相机设置/调用≥8个预置位；</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18、系统支持手动模式鼠标点击跟踪功能，可在通过点击导播视频画面，系统将以点击坐标为中心，控制摄像机进行转动，快速定位。并支持使用鼠标滑轮控制摄像机变焦；</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19、系统支持8种画面布局模式，包括单画面、画中画、双分屏、三分屏、四分屏等布局，并支持自定义布局画面；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20、系统支持9种转场切换特效，包括淡入淡出、格栅、上切、下切、左切、右切等主流转场切换特效；</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21、支持在线语音转写功能，实现将语音转写成文本并自动生成字幕；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22、支持设置≥5条预设字幕，支持对字幕字体、文字大小、颜色进行设置，可支持通过拖拽方式自定义字幕显示位置；</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23、支持设置≥5个预设台标，台标大小比例支持自定义调节，台标显示位置支持通过自带的常用位置快捷快速设定，同时支持自定义拖拽调节台标大小比例及位置；</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24、支持设置≥5个预设片头片尾，支持自定义片头片尾持续时间，同时支持通过U盘接入终端的方式，将U盘内的图片作为片头片尾素材；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25、系统界面自带虚拟软键盘，无需外接 USB 键盘，即可进行中英文、数字、符号输入等操作功能；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26、系统支持对视频文件进行点播回放，拖拽播放进度条播放，视频文件下载；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27、系统支持网络检测功能，可对当前终端所接入网络的状态进行检测，包括：网络联通性、上下行速度等信息；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28、系统支持导入导出终端配置文件，方便用户进行升级、调试、后期维护。</w:t>
            </w:r>
          </w:p>
        </w:tc>
        <w:tc>
          <w:tcPr>
            <w:tcW w:w="884" w:type="pct"/>
            <w:vAlign w:val="center"/>
          </w:tcPr>
          <w:p w14:paraId="12195A06">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73ACA1AF">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1956A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4EBB2E1">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3</w:t>
            </w:r>
          </w:p>
        </w:tc>
        <w:tc>
          <w:tcPr>
            <w:tcW w:w="599" w:type="pct"/>
            <w:vAlign w:val="center"/>
          </w:tcPr>
          <w:p w14:paraId="7426FB34">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智慧录播控制面板</w:t>
            </w:r>
          </w:p>
        </w:tc>
        <w:tc>
          <w:tcPr>
            <w:tcW w:w="374" w:type="pct"/>
            <w:vAlign w:val="center"/>
          </w:tcPr>
          <w:p w14:paraId="421008F8">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13F670B7">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6CD6A823">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w:t>
            </w:r>
            <w:r>
              <w:rPr>
                <w:rFonts w:hint="eastAsia" w:ascii="宋体" w:hAnsi="宋体" w:cs="宋体"/>
                <w:b/>
                <w:bCs/>
                <w:color w:val="000000" w:themeColor="text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7英寸 IPS屏幕；配备电容式触摸屏；</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2.可安装于讲台上，实现“一键式”上课、下课；一键直播/录制，老师上课时轻按直播/录制按钮，课件开始录制；下课时老师再轻按停止直播/录制按钮，课件录制完成。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3.可用于配合互动课堂系统实现一键互动开始/结束，互动教室的选择；</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4.自动、手动跟踪模式切换，支持将直接将视频信号切换到导播画面；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5.录像控制能实现画中画模式切换和其它多种布局特效；</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6.可显示连接的录播主机状态、IP和硬盘余量。可实现面板亮度、休眠时间设置。</w:t>
            </w:r>
          </w:p>
        </w:tc>
        <w:tc>
          <w:tcPr>
            <w:tcW w:w="884" w:type="pct"/>
            <w:vAlign w:val="center"/>
          </w:tcPr>
          <w:p w14:paraId="6245C7CA">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299FCECA">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7A2D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06DF9A6">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4</w:t>
            </w:r>
          </w:p>
        </w:tc>
        <w:tc>
          <w:tcPr>
            <w:tcW w:w="599" w:type="pct"/>
            <w:vAlign w:val="center"/>
          </w:tcPr>
          <w:p w14:paraId="4C8754A4">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AI高清云台摄像机</w:t>
            </w:r>
          </w:p>
        </w:tc>
        <w:tc>
          <w:tcPr>
            <w:tcW w:w="374" w:type="pct"/>
            <w:vAlign w:val="center"/>
          </w:tcPr>
          <w:p w14:paraId="6495C0F4">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5268255C">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3FCE90B5">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1.不低于214万像素 1/2.8英寸CMOS传感器；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2.支持H.265、H.264网络视频编码；</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3.支持1080P</w:t>
            </w:r>
            <w:r>
              <w:rPr>
                <w:rFonts w:ascii="宋体" w:hAnsi="宋体" w:cs="宋体"/>
                <w:color w:val="000000" w:themeColor="text1"/>
                <w:kern w:val="0"/>
                <w:szCs w:val="21"/>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60视频输出；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4.支持3G-SDI、HDMI高清视频输出；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5.≥20倍光学变焦，最大广角≥59.5°；</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6.支持双码流，支持多级别视频质量配置；</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7.支持≥1 路音频输入和≥1 路音频输出；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8.支持最大64G TF卡本地存储；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9.精密传动系统；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10.支持多种协议及多种控制接口，支持菊花链组网；</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11.配多功能IR遥控器；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12.内置中英文操作菜单；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13.有相应技术处理投影、电视等设备对拍摄人物的影响；</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14.支持不少于桌面安装、壁挂安装和吸顶安装3种安装方式。</w:t>
            </w:r>
          </w:p>
        </w:tc>
        <w:tc>
          <w:tcPr>
            <w:tcW w:w="884" w:type="pct"/>
            <w:vAlign w:val="center"/>
          </w:tcPr>
          <w:p w14:paraId="41AEAF3F">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49AB4E45">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147A8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27C725AE">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5</w:t>
            </w:r>
          </w:p>
        </w:tc>
        <w:tc>
          <w:tcPr>
            <w:tcW w:w="599" w:type="pct"/>
            <w:vAlign w:val="center"/>
          </w:tcPr>
          <w:p w14:paraId="72535D97">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智能学生跟踪云台摄像机​</w:t>
            </w:r>
          </w:p>
        </w:tc>
        <w:tc>
          <w:tcPr>
            <w:tcW w:w="374" w:type="pct"/>
            <w:vAlign w:val="center"/>
          </w:tcPr>
          <w:p w14:paraId="230D03B8">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0587BDE5">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7421D58E">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1.不低于214万像素 1/2.8英寸CMOS传感器；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2.支持H.265、H.264网络视频编码；</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3.支持1080P</w:t>
            </w:r>
            <w:r>
              <w:rPr>
                <w:rFonts w:ascii="宋体" w:hAnsi="宋体" w:cs="宋体"/>
                <w:color w:val="000000" w:themeColor="text1"/>
                <w:kern w:val="0"/>
                <w:szCs w:val="21"/>
                <w:lang w:bidi="ar"/>
                <w14:textFill>
                  <w14:solidFill>
                    <w14:schemeClr w14:val="tx1"/>
                  </w14:solidFill>
                </w14:textFill>
              </w:rPr>
              <w:t xml:space="preserve"> </w:t>
            </w:r>
            <w:r>
              <w:rPr>
                <w:rFonts w:hint="eastAsia" w:ascii="宋体" w:hAnsi="宋体" w:cs="宋体"/>
                <w:color w:val="000000" w:themeColor="text1"/>
                <w:kern w:val="0"/>
                <w:szCs w:val="21"/>
                <w:lang w:bidi="ar"/>
                <w14:textFill>
                  <w14:solidFill>
                    <w14:schemeClr w14:val="tx1"/>
                  </w14:solidFill>
                </w14:textFill>
              </w:rPr>
              <w:t>60视频输出；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4.支持3G-SDI、HDMI高清视频输出；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5.≥12倍光学变焦，最大广角≥72.5°；</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6.支持双码流，支持多级别视频质量配置；</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7.支持≥1 路音频输入和≥1 路音频输出；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8.支持最大64G TF卡本地存储；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9.精密传动系统；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10.支持多种协议及多种控制接口，支持菊花链组网；</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11.配多功能IR遥控器；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12.内置中英文操作菜单；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13.有相应技术处理投影、电视等设备对拍摄人物的影响；</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14.支持不少于桌面安装、壁挂安装和吸顶安装3种安装方式。</w:t>
            </w:r>
          </w:p>
        </w:tc>
        <w:tc>
          <w:tcPr>
            <w:tcW w:w="884" w:type="pct"/>
            <w:vAlign w:val="center"/>
          </w:tcPr>
          <w:p w14:paraId="242767D9">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7C0EBFEB">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0DDDE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1C8DB644">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6</w:t>
            </w:r>
          </w:p>
        </w:tc>
        <w:tc>
          <w:tcPr>
            <w:tcW w:w="599" w:type="pct"/>
            <w:vAlign w:val="center"/>
          </w:tcPr>
          <w:p w14:paraId="57C80207">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全景辅助定位摄像机​</w:t>
            </w:r>
          </w:p>
        </w:tc>
        <w:tc>
          <w:tcPr>
            <w:tcW w:w="374" w:type="pct"/>
            <w:vAlign w:val="center"/>
          </w:tcPr>
          <w:p w14:paraId="03C954BD">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44E8D4F2">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2FEA87BE">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1.半球性结构；</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2.CMOS传感器 ≥1/2.7英寸；</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3.有效像素≥200万；</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4.焦距≤2.8mm, 视场角：水平≥114°，垂直≥60°；</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5.逐行扫描；</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6.支持RJ-45网络接口。</w:t>
            </w:r>
          </w:p>
        </w:tc>
        <w:tc>
          <w:tcPr>
            <w:tcW w:w="884" w:type="pct"/>
            <w:vAlign w:val="center"/>
          </w:tcPr>
          <w:p w14:paraId="5F870171">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068BF21E">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7A88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70BAACD">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7</w:t>
            </w:r>
          </w:p>
        </w:tc>
        <w:tc>
          <w:tcPr>
            <w:tcW w:w="599" w:type="pct"/>
            <w:vAlign w:val="center"/>
          </w:tcPr>
          <w:p w14:paraId="3D13AB6A">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智慧教学资源云管理平台</w:t>
            </w:r>
          </w:p>
        </w:tc>
        <w:tc>
          <w:tcPr>
            <w:tcW w:w="374" w:type="pct"/>
            <w:vAlign w:val="center"/>
          </w:tcPr>
          <w:p w14:paraId="71F4E30A">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2F313AAC">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重要指标</w:t>
            </w:r>
          </w:p>
        </w:tc>
        <w:tc>
          <w:tcPr>
            <w:tcW w:w="2771" w:type="pct"/>
          </w:tcPr>
          <w:p w14:paraId="59F460E6">
            <w:pPr>
              <w:widowControl/>
              <w:spacing w:line="276" w:lineRule="auto"/>
              <w:jc w:val="left"/>
              <w:textAlignment w:val="top"/>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1.支持每个班级都可以在平台上生成独立的直播通道；</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2.能够基于学校的教学计划，课程表等，统一规划各类录播课堂教学工作，也可以根据实际的工作要求临时插入全校统一的教学直播计划；</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3.支持在线巡课，可对录播教室设备实现在线实时音视频巡课，设备只要开机，无论是否开课，都可实现巡课应用；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4.支持用户无需安装任何插件即可观看资源门户展示的各类资源；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5.支持三种以上清晰度和码率，可以在播放时进行不同清晰度的节目源切换，以匹配不同性能的设备和不同带宽的网络；</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6.采用独立的转码模块，可以在多台设备运行，可同时转码若干个文件，支持多线程转码，提升转码速度，可对转码任务设置优先级，支持转码时采用硬件加速；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7.支持对各类资源文件的编辑、下载、删除等功能；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8．支持资源按照多维度进行分类，例如学院、班级、教室等，支持用户自定义分类；</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9．支持设置资源的观看权限；支持设置直播通道的观看权限；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10．支持对资源进行关键字搜索功能；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11．支持上传教学、教研、会议的视频附件，附件可与相关的视频关联绑定；附件支持word、excel、ppt、PDF、jpeg等格式；支持用户在点播视频同时下载附件；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12.提供教学资源管理平台对应的软件著作权证书。</w:t>
            </w:r>
          </w:p>
        </w:tc>
        <w:tc>
          <w:tcPr>
            <w:tcW w:w="884" w:type="pct"/>
            <w:vAlign w:val="center"/>
          </w:tcPr>
          <w:p w14:paraId="7748640C">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2A6C4D3E">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bl>
    <w:p w14:paraId="2BBC3AB0">
      <w:pPr>
        <w:spacing w:line="276" w:lineRule="auto"/>
        <w:rPr>
          <w:rFonts w:ascii="宋体" w:hAnsi="宋体" w:cs="宋体"/>
          <w:szCs w:val="21"/>
        </w:rPr>
      </w:pPr>
    </w:p>
    <w:tbl>
      <w:tblPr>
        <w:tblStyle w:val="26"/>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160"/>
        <w:gridCol w:w="726"/>
        <w:gridCol w:w="5369"/>
        <w:gridCol w:w="1707"/>
      </w:tblGrid>
      <w:tr w14:paraId="535F7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17366048">
            <w:pPr>
              <w:widowControl/>
              <w:spacing w:line="276" w:lineRule="auto"/>
              <w:jc w:val="center"/>
              <w:rPr>
                <w:rFonts w:ascii="宋体" w:hAnsi="宋体" w:cs="宋体"/>
                <w:b/>
                <w:color w:val="000000"/>
                <w:szCs w:val="21"/>
              </w:rPr>
            </w:pPr>
            <w:r>
              <w:rPr>
                <w:rFonts w:hint="eastAsia" w:ascii="宋体" w:hAnsi="宋体" w:cs="宋体"/>
                <w:b/>
                <w:color w:val="000000"/>
                <w:szCs w:val="21"/>
              </w:rPr>
              <w:t>3.货物名称</w:t>
            </w:r>
          </w:p>
        </w:tc>
        <w:tc>
          <w:tcPr>
            <w:tcW w:w="2772" w:type="pct"/>
            <w:vAlign w:val="center"/>
          </w:tcPr>
          <w:p w14:paraId="2FECF4DE">
            <w:pPr>
              <w:widowControl/>
              <w:spacing w:line="276" w:lineRule="auto"/>
              <w:jc w:val="center"/>
              <w:rPr>
                <w:rFonts w:ascii="宋体" w:hAnsi="宋体" w:cs="宋体"/>
                <w:b/>
                <w:color w:val="000000"/>
                <w:szCs w:val="21"/>
              </w:rPr>
            </w:pPr>
            <w:r>
              <w:rPr>
                <w:rFonts w:hint="eastAsia" w:ascii="宋体" w:hAnsi="宋体" w:cs="宋体"/>
                <w:b/>
                <w:color w:val="000000"/>
                <w:szCs w:val="21"/>
              </w:rPr>
              <w:t>线上互动教学系统</w:t>
            </w:r>
          </w:p>
        </w:tc>
        <w:tc>
          <w:tcPr>
            <w:tcW w:w="881" w:type="pct"/>
            <w:vAlign w:val="center"/>
          </w:tcPr>
          <w:p w14:paraId="1D7CFD8A">
            <w:pPr>
              <w:widowControl/>
              <w:spacing w:line="276" w:lineRule="auto"/>
              <w:jc w:val="center"/>
              <w:rPr>
                <w:rFonts w:ascii="宋体" w:hAnsi="宋体" w:cs="宋体"/>
                <w:b/>
                <w:color w:val="000000"/>
                <w:szCs w:val="21"/>
              </w:rPr>
            </w:pPr>
            <w:r>
              <w:rPr>
                <w:rFonts w:hint="eastAsia" w:ascii="宋体" w:hAnsi="宋体" w:cs="宋体"/>
                <w:b/>
                <w:color w:val="000000"/>
                <w:szCs w:val="21"/>
              </w:rPr>
              <w:t>数量：1套</w:t>
            </w:r>
          </w:p>
        </w:tc>
      </w:tr>
      <w:tr w14:paraId="4C58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60E7285E">
            <w:pPr>
              <w:widowControl/>
              <w:spacing w:line="276" w:lineRule="auto"/>
              <w:jc w:val="center"/>
              <w:rPr>
                <w:rFonts w:ascii="宋体" w:hAnsi="宋体" w:cs="宋体"/>
                <w:b/>
                <w:color w:val="000000"/>
                <w:szCs w:val="21"/>
              </w:rPr>
            </w:pPr>
            <w:r>
              <w:rPr>
                <w:rFonts w:hint="eastAsia" w:ascii="宋体" w:hAnsi="宋体" w:cs="宋体"/>
                <w:color w:val="000000"/>
                <w:szCs w:val="21"/>
              </w:rPr>
              <w:t>主要功能要求</w:t>
            </w:r>
          </w:p>
        </w:tc>
        <w:tc>
          <w:tcPr>
            <w:tcW w:w="3654" w:type="pct"/>
            <w:gridSpan w:val="2"/>
            <w:vAlign w:val="center"/>
          </w:tcPr>
          <w:p w14:paraId="7155CAB8">
            <w:pPr>
              <w:widowControl/>
              <w:spacing w:line="276" w:lineRule="auto"/>
              <w:jc w:val="left"/>
              <w:rPr>
                <w:rFonts w:ascii="宋体" w:hAnsi="宋体" w:cs="宋体"/>
                <w:b/>
                <w:color w:val="000000"/>
                <w:szCs w:val="21"/>
              </w:rPr>
            </w:pPr>
            <w:r>
              <w:rPr>
                <w:rFonts w:hint="eastAsia" w:ascii="宋体" w:hAnsi="宋体" w:cs="宋体"/>
                <w:color w:val="000000"/>
                <w:szCs w:val="21"/>
              </w:rPr>
              <w:t>线上互动教学系统需支持多格式资源展示与屏幕共享，实现低延迟直播/录播；提供实时音视频互动、弹幕提问、投票分组等功能；支持课程管理、考勤测评及作业批改，适配多终端并保障数据安全，支持课程回放。</w:t>
            </w:r>
          </w:p>
        </w:tc>
      </w:tr>
      <w:tr w14:paraId="5B69B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0E5ED309">
            <w:pPr>
              <w:widowControl/>
              <w:spacing w:line="276" w:lineRule="auto"/>
              <w:jc w:val="center"/>
              <w:rPr>
                <w:rFonts w:ascii="宋体" w:hAnsi="宋体" w:cs="宋体"/>
                <w:color w:val="000000"/>
                <w:szCs w:val="21"/>
              </w:rPr>
            </w:pPr>
            <w:r>
              <w:rPr>
                <w:rFonts w:hint="eastAsia" w:ascii="宋体" w:hAnsi="宋体" w:cs="宋体"/>
                <w:color w:val="000000"/>
                <w:szCs w:val="21"/>
                <w:lang w:val="en"/>
              </w:rPr>
              <w:t>应遵循的相关国家标准、行业标准等标准、规范</w:t>
            </w:r>
          </w:p>
        </w:tc>
        <w:tc>
          <w:tcPr>
            <w:tcW w:w="3654" w:type="pct"/>
            <w:gridSpan w:val="2"/>
            <w:vAlign w:val="center"/>
          </w:tcPr>
          <w:p w14:paraId="42E2A7B6">
            <w:pPr>
              <w:spacing w:line="276" w:lineRule="auto"/>
              <w:jc w:val="left"/>
              <w:outlineLvl w:val="0"/>
              <w:rPr>
                <w:rFonts w:ascii="宋体" w:hAnsi="宋体" w:cs="宋体"/>
                <w:b/>
                <w:color w:val="000000"/>
                <w:szCs w:val="21"/>
              </w:rPr>
            </w:pPr>
            <w:r>
              <w:rPr>
                <w:rFonts w:hint="eastAsia" w:ascii="宋体" w:hAnsi="宋体" w:cs="宋体"/>
                <w:color w:val="000000"/>
                <w:szCs w:val="21"/>
              </w:rPr>
              <w:t>☑无  □有，要求：</w:t>
            </w:r>
            <w:r>
              <w:rPr>
                <w:rFonts w:hint="eastAsia" w:ascii="宋体" w:hAnsi="宋体" w:cs="宋体"/>
                <w:color w:val="000000"/>
                <w:szCs w:val="21"/>
                <w:u w:val="single"/>
              </w:rPr>
              <w:t xml:space="preserve">      </w:t>
            </w:r>
          </w:p>
        </w:tc>
      </w:tr>
      <w:tr w14:paraId="6B56A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69E2FBC5">
            <w:pPr>
              <w:widowControl/>
              <w:spacing w:line="276" w:lineRule="auto"/>
              <w:jc w:val="center"/>
              <w:rPr>
                <w:rFonts w:ascii="宋体" w:hAnsi="宋体" w:cs="宋体"/>
                <w:b/>
                <w:color w:val="000000"/>
                <w:szCs w:val="21"/>
              </w:rPr>
            </w:pPr>
            <w:r>
              <w:rPr>
                <w:rFonts w:hint="eastAsia" w:ascii="宋体" w:hAnsi="宋体" w:cs="宋体"/>
                <w:color w:val="000000"/>
                <w:szCs w:val="21"/>
                <w:u w:val="single"/>
              </w:rPr>
              <w:t xml:space="preserve">线上互动教学系统 </w:t>
            </w:r>
            <w:r>
              <w:rPr>
                <w:rFonts w:hint="eastAsia" w:ascii="宋体" w:hAnsi="宋体" w:cs="宋体"/>
                <w:b/>
                <w:color w:val="000000"/>
                <w:szCs w:val="21"/>
              </w:rPr>
              <w:t>技术指标</w:t>
            </w:r>
          </w:p>
        </w:tc>
      </w:tr>
      <w:tr w14:paraId="5450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2C2A89BE">
            <w:pPr>
              <w:spacing w:line="276" w:lineRule="auto"/>
              <w:jc w:val="center"/>
              <w:rPr>
                <w:rFonts w:ascii="宋体" w:hAnsi="宋体" w:cs="宋体"/>
                <w:color w:val="000000"/>
                <w:szCs w:val="21"/>
              </w:rPr>
            </w:pPr>
            <w:r>
              <w:rPr>
                <w:rFonts w:hint="eastAsia" w:ascii="宋体" w:hAnsi="宋体" w:cs="宋体"/>
                <w:color w:val="000000"/>
                <w:szCs w:val="21"/>
              </w:rPr>
              <w:t>序号</w:t>
            </w:r>
          </w:p>
        </w:tc>
        <w:tc>
          <w:tcPr>
            <w:tcW w:w="599" w:type="pct"/>
            <w:vAlign w:val="center"/>
          </w:tcPr>
          <w:p w14:paraId="5DF4391E">
            <w:pPr>
              <w:widowControl/>
              <w:spacing w:line="276" w:lineRule="auto"/>
              <w:jc w:val="center"/>
              <w:rPr>
                <w:rFonts w:ascii="宋体" w:hAnsi="宋体" w:cs="宋体"/>
                <w:color w:val="000000"/>
                <w:szCs w:val="21"/>
              </w:rPr>
            </w:pPr>
            <w:r>
              <w:rPr>
                <w:rFonts w:hint="eastAsia" w:ascii="宋体" w:hAnsi="宋体" w:cs="宋体"/>
                <w:color w:val="000000"/>
                <w:szCs w:val="21"/>
              </w:rPr>
              <w:t>指标项</w:t>
            </w:r>
          </w:p>
        </w:tc>
        <w:tc>
          <w:tcPr>
            <w:tcW w:w="375" w:type="pct"/>
            <w:vAlign w:val="center"/>
          </w:tcPr>
          <w:p w14:paraId="0C9DFFD0">
            <w:pPr>
              <w:widowControl/>
              <w:spacing w:line="276" w:lineRule="auto"/>
              <w:jc w:val="center"/>
              <w:rPr>
                <w:rFonts w:ascii="宋体" w:hAnsi="宋体" w:cs="宋体"/>
                <w:color w:val="000000"/>
                <w:szCs w:val="21"/>
              </w:rPr>
            </w:pPr>
            <w:r>
              <w:rPr>
                <w:rFonts w:hint="eastAsia" w:ascii="宋体" w:hAnsi="宋体" w:cs="宋体"/>
                <w:color w:val="000000"/>
                <w:szCs w:val="21"/>
              </w:rPr>
              <w:t>重要性</w:t>
            </w:r>
          </w:p>
        </w:tc>
        <w:tc>
          <w:tcPr>
            <w:tcW w:w="2772" w:type="pct"/>
            <w:vAlign w:val="center"/>
          </w:tcPr>
          <w:p w14:paraId="1A8CC6AE">
            <w:pPr>
              <w:widowControl/>
              <w:spacing w:line="276" w:lineRule="auto"/>
              <w:jc w:val="center"/>
              <w:rPr>
                <w:rFonts w:ascii="宋体" w:hAnsi="宋体" w:cs="宋体"/>
                <w:color w:val="000000"/>
                <w:szCs w:val="21"/>
              </w:rPr>
            </w:pPr>
            <w:r>
              <w:rPr>
                <w:rFonts w:hint="eastAsia" w:ascii="宋体" w:hAnsi="宋体" w:cs="宋体"/>
                <w:color w:val="000000"/>
                <w:szCs w:val="21"/>
              </w:rPr>
              <w:t>指标要求</w:t>
            </w:r>
          </w:p>
        </w:tc>
        <w:tc>
          <w:tcPr>
            <w:tcW w:w="881" w:type="pct"/>
            <w:vAlign w:val="center"/>
          </w:tcPr>
          <w:p w14:paraId="1717F09D">
            <w:pPr>
              <w:widowControl/>
              <w:spacing w:line="276" w:lineRule="auto"/>
              <w:jc w:val="center"/>
              <w:rPr>
                <w:rFonts w:ascii="宋体" w:hAnsi="宋体" w:cs="宋体"/>
                <w:color w:val="000000"/>
                <w:szCs w:val="21"/>
              </w:rPr>
            </w:pPr>
            <w:r>
              <w:rPr>
                <w:rFonts w:hint="eastAsia" w:ascii="宋体" w:hAnsi="宋体" w:cs="宋体"/>
                <w:color w:val="000000"/>
                <w:szCs w:val="21"/>
              </w:rPr>
              <w:t>需提供证明材料要求</w:t>
            </w:r>
          </w:p>
        </w:tc>
      </w:tr>
      <w:tr w14:paraId="54E92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7F143C5B">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1</w:t>
            </w:r>
          </w:p>
        </w:tc>
        <w:tc>
          <w:tcPr>
            <w:tcW w:w="599" w:type="pct"/>
            <w:vAlign w:val="center"/>
          </w:tcPr>
          <w:p w14:paraId="0FEB2A41">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远程智能互动课堂软件​</w:t>
            </w:r>
          </w:p>
        </w:tc>
        <w:tc>
          <w:tcPr>
            <w:tcW w:w="375" w:type="pct"/>
            <w:vAlign w:val="center"/>
          </w:tcPr>
          <w:p w14:paraId="08E9CFDA">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tcPr>
          <w:p w14:paraId="14D19AEB">
            <w:pPr>
              <w:widowControl/>
              <w:spacing w:line="276" w:lineRule="auto"/>
              <w:jc w:val="left"/>
              <w:textAlignment w:val="top"/>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1、互动功能不依赖于专线接入和专线骨干网传输，可基于普通的宽带互联网即可实现互动，不但能支持国内互联网应用，同时还能支持全球互联网应用；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2、系统支持双流互动，无需设置，终端自动发送双流，建立互动后，作为听讲可根据互动需求选择是否接收双流；</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3、互动软件支持接收平台下发的预约互动课表，用户只需点击预约课程信息，即可进入预约好的互动课堂；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4、支持多种互动协议，除私有协议外，同时还支持标准323、SIP协议，通过SIP或H.323协议可无缝对接第三方MCU或视频会议终端；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5、互动系统支持自动入课功能，作为听课端会自动接通来自主讲端的互动请求，无需用户操作；</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6、互动系统支持多种方式进入互动，包括通讯录邀请、手动输入课程号加入；</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7、支持互动画面实时轮询显示，且轮询时间可支持自定义，当互动数量超过单屏最大显示数量时，互动画面自动按照设置好的时间将听讲画面进行自动轮询方式呈现；</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8、支持自定义设置开启互动后默认发送给远端的视频画面，且互动过程中支持手动切换发给远端的视频画面，以便适应不同的互动应用需求；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9、支持自定义设置发言画面全屏功能，开启后在授课过程中选择听讲发言，发言方的画面即自动全屏放大，关闭后在授课过程中选择听讲发言，发言方的画面不全屏放大；</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10、支持举手申请发言，听讲端如需发言，点击举手按钮即可申请发言，主讲教室在收到发言申请后，可选择是否运行发言；</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11、支持通过PC客户端软件进行互动发起/结束、画面切换、发言管理、听课端列表查看等功能。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12、支持实时网络监测，可实时显示当前互动网络丢包率、网络延时等信息；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13、系统支持在2Mbps的网络带宽下即可呈现1080P高清互动画质；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14、支持码率自适应，可根据网络状态，自适应调整码流大小，始终保障互动过程音视频流畅；</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15、支持抗丢包处理能力，双向互动过程中，在系统总丢包率≤30%的网络环境下，视频清晰，语音连贯；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16、支持将双方交互的音视频过程进行录制和直播；</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17、支持外扩自主互动平台服务器实现大规模互动场景，最大可扩建至10000方以上的应用场景。</w:t>
            </w:r>
          </w:p>
        </w:tc>
        <w:tc>
          <w:tcPr>
            <w:tcW w:w="881" w:type="pct"/>
            <w:vAlign w:val="center"/>
          </w:tcPr>
          <w:p w14:paraId="3088E12C">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17E4C14B">
            <w:pPr>
              <w:widowControl/>
              <w:spacing w:line="276" w:lineRule="auto"/>
              <w:rPr>
                <w:rFonts w:ascii="宋体" w:hAnsi="宋体" w:cs="宋体"/>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7099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06470F71">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2</w:t>
            </w:r>
          </w:p>
        </w:tc>
        <w:tc>
          <w:tcPr>
            <w:tcW w:w="599" w:type="pct"/>
            <w:vAlign w:val="center"/>
          </w:tcPr>
          <w:p w14:paraId="379B6419">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​智能流媒体交互平台服务软件​</w:t>
            </w:r>
          </w:p>
        </w:tc>
        <w:tc>
          <w:tcPr>
            <w:tcW w:w="375" w:type="pct"/>
            <w:vAlign w:val="center"/>
          </w:tcPr>
          <w:p w14:paraId="361FE71D">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tcPr>
          <w:p w14:paraId="7C4190BA">
            <w:pPr>
              <w:widowControl/>
              <w:spacing w:line="276" w:lineRule="auto"/>
              <w:jc w:val="left"/>
              <w:textAlignment w:val="top"/>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1、系统采用B/S架构，管理员通过浏览器即可对平台进行维护；</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2、支持所有教室终端的注册、分类、管理、控制。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3、支持对互动端账号、媒体资源的注册与管理；</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4、支持组会管理包括会议的创建，撤销，加入，退出等等；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5、支持对流媒体服务器管理，自动实现各流媒体资源负载均衡；</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6、所有链路都支持AES加密；</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7、支持服务集群，通过多服务器集群实现网络服务不掉线，同时也保证应用规模的可扩展性；</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8、提供灵活的消息自定义通道，方便上层应用逻辑的搭建；</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9、采用多种QOS策略包括NACK/FEC/JITTER BUFFER来保证在弱网情况下，在30%的丢包情况下音视频能正常播放不卡顿；</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10、支持多种音视频格式，支持音视频实时同步，数据自适应重传、帧率自适应；</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11、支持文本信息AEC加密透传；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12、支持端到端加AES密传输透传；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13、媒体数据采用智能加密算法。</w:t>
            </w:r>
          </w:p>
        </w:tc>
        <w:tc>
          <w:tcPr>
            <w:tcW w:w="881" w:type="pct"/>
            <w:vAlign w:val="center"/>
          </w:tcPr>
          <w:p w14:paraId="7F9DF858">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09ADA1DD">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08F61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49D9049E">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3</w:t>
            </w:r>
          </w:p>
        </w:tc>
        <w:tc>
          <w:tcPr>
            <w:tcW w:w="599" w:type="pct"/>
            <w:vAlign w:val="center"/>
          </w:tcPr>
          <w:p w14:paraId="39253333">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远程互动AI系统服务器​</w:t>
            </w:r>
          </w:p>
        </w:tc>
        <w:tc>
          <w:tcPr>
            <w:tcW w:w="375" w:type="pct"/>
            <w:vAlign w:val="center"/>
          </w:tcPr>
          <w:p w14:paraId="1201E289">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vAlign w:val="center"/>
          </w:tcPr>
          <w:p w14:paraId="28229DB7">
            <w:pPr>
              <w:pStyle w:val="25"/>
              <w:spacing w:line="276" w:lineRule="auto"/>
              <w:ind w:left="0" w:firstLine="0"/>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1、标准1U机架式，最大支持可接入&gt;100个互动端；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2、核心数≥2核心，线程数≥4线程，基准频率≥3.7GHz。≥16GB DDR4内存，≥32GB SSD flash；</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3、提供不少于6个GBE RJ45接口；</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4、配置开关电源。</w:t>
            </w:r>
          </w:p>
        </w:tc>
        <w:tc>
          <w:tcPr>
            <w:tcW w:w="881" w:type="pct"/>
            <w:vAlign w:val="center"/>
          </w:tcPr>
          <w:p w14:paraId="4D4E8AA7">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4111A3CE">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7E75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459E9F76">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4</w:t>
            </w:r>
          </w:p>
        </w:tc>
        <w:tc>
          <w:tcPr>
            <w:tcW w:w="599" w:type="pct"/>
            <w:vAlign w:val="center"/>
          </w:tcPr>
          <w:p w14:paraId="0D6AE65C">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​智能AEC音频处理模块​</w:t>
            </w:r>
          </w:p>
        </w:tc>
        <w:tc>
          <w:tcPr>
            <w:tcW w:w="375" w:type="pct"/>
            <w:vAlign w:val="center"/>
          </w:tcPr>
          <w:p w14:paraId="4214D151">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vAlign w:val="center"/>
          </w:tcPr>
          <w:p w14:paraId="5D8DC607">
            <w:pPr>
              <w:widowControl/>
              <w:spacing w:line="276" w:lineRule="auto"/>
              <w:jc w:val="left"/>
              <w:textAlignment w:val="top"/>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可内嵌于主机中的音频处理模块，支持回声抑制处理；回声消除尾音长度：≥512ms；回声消除幅度：≥60dB；收敛速度：≥70dB/S；自适应背景降噪（ANS），信噪比提升≥24dB；信号处理延时：&lt;60ms；信噪比（S/N）：≥100dB。</w:t>
            </w:r>
          </w:p>
        </w:tc>
        <w:tc>
          <w:tcPr>
            <w:tcW w:w="881" w:type="pct"/>
            <w:vAlign w:val="center"/>
          </w:tcPr>
          <w:p w14:paraId="271C0B7A">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1EB3AB08">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5948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631A972F">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5</w:t>
            </w:r>
          </w:p>
        </w:tc>
        <w:tc>
          <w:tcPr>
            <w:tcW w:w="599" w:type="pct"/>
            <w:vAlign w:val="center"/>
          </w:tcPr>
          <w:p w14:paraId="1F4BDC5A">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AI教室物联管理平台​</w:t>
            </w:r>
          </w:p>
        </w:tc>
        <w:tc>
          <w:tcPr>
            <w:tcW w:w="375" w:type="pct"/>
            <w:vAlign w:val="center"/>
          </w:tcPr>
          <w:p w14:paraId="5122C4F7">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tcPr>
          <w:p w14:paraId="36CA225D">
            <w:pPr>
              <w:widowControl/>
              <w:spacing w:line="276" w:lineRule="auto"/>
              <w:jc w:val="left"/>
              <w:textAlignment w:val="top"/>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1.支持展示教室上课状态（教室总数、上课教室、自习教室）、教室设备运行状态（开机、关机、故障、离线）、工单情况、今日满意度、运维情况（电话情况、故障情况、巡检情况、教室预警、设备预警、维护预警）、资产情况（固定资产分布、低值设备分布、耗材分布）；</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2.支持与学校教务系统对接（开放接口，能与第三方管理平台对接），获取并展示当日各楼栋教室课表安排（提供过往与第三方管理平台成功对接的运行界面截图）；</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3.支持树形教室地址管理，支持学校名称、校区、教学楼、楼号、教室编号、教室名称等教室基础信息配置管理；</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教室设备基础信息管理，支持动态配置教室授课场景，支持批量复制设备、场景信息，支持教室各类设备分类管理，支持设备备份与还原功能，展示教室总数量以及不同状态的教室数量，状态包括已绑定与未绑定；（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5.支持中控设备绑定与解绑，设备参数修改与配置，支持设备单个和批量进行初始化、升级、版本查看，中控远程重启等；（提供软件运行截图并加盖公章）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6.支持灵活绑定设备，不限制品牌、型号，通过模型的方式动态新增或去掉设备模型；（提供软件运行截图并加盖公章）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7.支持对每个教室配置不同授课场景，支持通过字典配置场景；（提供软件运行截图并加盖公章）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8.支持对用户权限、操作日志、设备日志、满意度记录等数据查询；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9.支持对教室讲台电脑、中控面板设备远程操作配置管理，可批量维护；（提供软件运行截图并加盖公章）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10.支持对教室设备集中管控，用户不仅可对一间教室内的设备进行控制，还可批量对多个教室内的设备进行控制，如上下课、面板锁屏/解锁、重启、灯光控制开关、幕布升降、讲台电脑控制开关等；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11.设备状态实时检测，系统可实时监测各教室设备运行状态，并以图形方式展示各教室和设备运行状态；</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12.支持在同一界面查看教室前、教室后、教室电脑及中控屏实时画面，教室电脑和中控屏远程协助，可远程接管控制教室的计算机及中控屏，协助老师解决问题；（提供软件运行截图并加盖公章）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13.支持根据设备状态筛选教室，支持多种教室状态查询（在用、空闲、离线、故障等），有课、无课等；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14.支持按课表时间自动开启教室多媒体系统；支持按楼栋、教室设置定时执行上课、下课策略；支持按楼栋、教室设置教室中控面板定时开机、关机时间策略；支持按楼栋、教室设置教室中控面板定时重启策略；支持按楼栋、教室设置教室中控面板登录模式；（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15.支持在系统中显示对教室的环境监测结果，展示数据包括温度值、湿度值、PM2.5浓度、甲醛含量、二氧化碳含量等，并可查看教室的实时监控画面；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16.支持用户在系统中设置报警规则，当环境数据满足某一要求，生成报警数据并推送；</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17.支持对系统的操作日志和报警日志进行记录；并可通过时间、楼栋、操作类型、风险等级进行筛选；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18.支持创建盘点任务，制定盘点人员，查看盘点进度，查询盘点结果等；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19.支持资产管理，对设备、软件、耗材资产入库登记、出入库记录等；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20.支持不同类别资产图表分析和展示，支持总资产按不同周期（年、月、周、日等）展示数据报表和图表分析；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21.支持平台向指定教室中控面板发送信息,支持设置信息模板，显示时间、时长均可设置，能查询发布记录；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22.当发生教室端IP电话呼叫时，控制室接听电话，自动弹出事件提醒，应答后联动进入该教室控制页面及监控后面，并支持反向呼叫；（提供软件运行截图并加盖公章）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23.教室端中控面板的报修信息及设备巡检产生的故障，能自动生成运维工单；同时支持人工录入、其他故障报修途径反馈的工单；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24.运维人员绩效管理，根据相关绩效方案自动计算运维人员绩效。</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25.支持设置人工巡检任务，运维人员需到相应教室中控界面登陆，接受平台向移动端下发的任务，可上传巡检图文视频信息。可设置多个巡检模板，并形成检测结果及报告；（提供软件运行截图并加盖公章）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26、支持不同类别资产图表分析和展示，支持总资产按不同周期（年、月、周、日等）展示数据报表和图表分析；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27.支持移动端，包含对设备控制、运维管理、个人中心等内容；</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28.提供管控平台对应的软件著作权证书。</w:t>
            </w:r>
          </w:p>
        </w:tc>
        <w:tc>
          <w:tcPr>
            <w:tcW w:w="881" w:type="pct"/>
            <w:vAlign w:val="center"/>
          </w:tcPr>
          <w:p w14:paraId="37937922">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4B75F944">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6098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586E0E7E">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6</w:t>
            </w:r>
          </w:p>
        </w:tc>
        <w:tc>
          <w:tcPr>
            <w:tcW w:w="599" w:type="pct"/>
            <w:vAlign w:val="center"/>
          </w:tcPr>
          <w:p w14:paraId="698D4DDB">
            <w:pPr>
              <w:widowControl/>
              <w:spacing w:line="276" w:lineRule="auto"/>
              <w:jc w:val="center"/>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移动端智能物联管控助手​</w:t>
            </w:r>
          </w:p>
        </w:tc>
        <w:tc>
          <w:tcPr>
            <w:tcW w:w="375" w:type="pct"/>
            <w:vAlign w:val="center"/>
          </w:tcPr>
          <w:p w14:paraId="438B4947">
            <w:pPr>
              <w:widowControl/>
              <w:spacing w:line="276" w:lineRule="auto"/>
              <w:jc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2" w:type="pct"/>
          </w:tcPr>
          <w:p w14:paraId="29AA5168">
            <w:pPr>
              <w:widowControl/>
              <w:spacing w:line="276" w:lineRule="auto"/>
              <w:jc w:val="left"/>
              <w:textAlignment w:val="top"/>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1.支持通过移动端接管教室各类设备，实现对接管设备进行智能控制与统一管理；</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2.支持通过移动端对单/多教室进行可视化管理，批量进行上下课、解锁、开门等管控操作；</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3.支持通过移动端查看教室当前监控画面并切换教室内课件、老师摄像头、学生摄像头画面；</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4.支持通过移动端查看教室当前环境数据、能耗数据、终端状态等信息；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5.提供移动端智能物联管控助手对应的软件著作权证书。</w:t>
            </w:r>
          </w:p>
        </w:tc>
        <w:tc>
          <w:tcPr>
            <w:tcW w:w="881" w:type="pct"/>
            <w:vAlign w:val="center"/>
          </w:tcPr>
          <w:p w14:paraId="39C8865E">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422D3EE3">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2728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3" w:type="pct"/>
            <w:vAlign w:val="center"/>
          </w:tcPr>
          <w:p w14:paraId="28A45AB6">
            <w:pPr>
              <w:spacing w:line="276" w:lineRule="auto"/>
              <w:jc w:val="center"/>
              <w:rPr>
                <w:rFonts w:ascii="宋体" w:hAnsi="宋体" w:cs="宋体"/>
                <w:color w:val="000000"/>
                <w:szCs w:val="21"/>
                <w:lang w:val="en"/>
              </w:rPr>
            </w:pPr>
            <w:r>
              <w:rPr>
                <w:rFonts w:hint="eastAsia" w:ascii="宋体" w:hAnsi="宋体" w:cs="宋体"/>
                <w:color w:val="000000" w:themeColor="text1"/>
                <w:szCs w:val="21"/>
                <w14:textFill>
                  <w14:solidFill>
                    <w14:schemeClr w14:val="tx1"/>
                  </w14:solidFill>
                </w14:textFill>
              </w:rPr>
              <w:t>7</w:t>
            </w:r>
          </w:p>
        </w:tc>
        <w:tc>
          <w:tcPr>
            <w:tcW w:w="599" w:type="pct"/>
            <w:vAlign w:val="center"/>
          </w:tcPr>
          <w:p w14:paraId="794832F3">
            <w:pPr>
              <w:widowControl/>
              <w:spacing w:line="276" w:lineRule="auto"/>
              <w:jc w:val="left"/>
              <w:textAlignment w:val="center"/>
              <w:rPr>
                <w:rFonts w:ascii="宋体" w:hAnsi="宋体" w:cs="宋体"/>
                <w:color w:val="000000"/>
                <w:szCs w:val="21"/>
                <w:lang w:val="en"/>
              </w:rPr>
            </w:pPr>
            <w:r>
              <w:rPr>
                <w:rFonts w:hint="eastAsia" w:ascii="宋体" w:hAnsi="宋体" w:cs="宋体"/>
                <w:color w:val="000000" w:themeColor="text1"/>
                <w:kern w:val="0"/>
                <w:szCs w:val="21"/>
                <w:lang w:bidi="ar"/>
                <w14:textFill>
                  <w14:solidFill>
                    <w14:schemeClr w14:val="tx1"/>
                  </w14:solidFill>
                </w14:textFill>
              </w:rPr>
              <w:t>系统对接（教务系统、一卡通、单点登录）</w:t>
            </w:r>
          </w:p>
        </w:tc>
        <w:tc>
          <w:tcPr>
            <w:tcW w:w="375" w:type="pct"/>
            <w:vAlign w:val="center"/>
          </w:tcPr>
          <w:p w14:paraId="57D2878D">
            <w:pPr>
              <w:widowControl/>
              <w:spacing w:line="276" w:lineRule="auto"/>
              <w:jc w:val="center"/>
              <w:rPr>
                <w:rFonts w:ascii="宋体" w:hAnsi="宋体" w:cs="宋体"/>
                <w:color w:val="000000"/>
                <w:szCs w:val="21"/>
                <w:lang w:val="en"/>
              </w:rPr>
            </w:pPr>
          </w:p>
        </w:tc>
        <w:tc>
          <w:tcPr>
            <w:tcW w:w="2772" w:type="pct"/>
            <w:vAlign w:val="center"/>
          </w:tcPr>
          <w:p w14:paraId="1A777954">
            <w:pPr>
              <w:widowControl/>
              <w:numPr>
                <w:ilvl w:val="0"/>
                <w:numId w:val="40"/>
              </w:numPr>
              <w:spacing w:line="276" w:lineRule="auto"/>
              <w:jc w:val="left"/>
              <w:textAlignment w:val="center"/>
              <w:rPr>
                <w:rStyle w:val="66"/>
                <w:rFonts w:hint="default"/>
                <w:color w:val="000000" w:themeColor="text1"/>
                <w:sz w:val="21"/>
                <w:szCs w:val="21"/>
                <w:lang w:bidi="ar"/>
                <w14:textFill>
                  <w14:solidFill>
                    <w14:schemeClr w14:val="tx1"/>
                  </w14:solidFill>
                </w14:textFill>
              </w:rPr>
            </w:pPr>
            <w:r>
              <w:rPr>
                <w:rStyle w:val="66"/>
                <w:rFonts w:hint="default"/>
                <w:color w:val="000000" w:themeColor="text1"/>
                <w:sz w:val="21"/>
                <w:szCs w:val="21"/>
                <w:lang w:bidi="ar"/>
                <w14:textFill>
                  <w14:solidFill>
                    <w14:schemeClr w14:val="tx1"/>
                  </w14:solidFill>
                </w14:textFill>
              </w:rPr>
              <w:t>与学校已建设的教务系统（支持开放接口，能与第三方管理平台对接）对接，</w:t>
            </w:r>
            <w:r>
              <w:rPr>
                <w:rFonts w:hint="eastAsia" w:ascii="宋体" w:hAnsi="宋体" w:cs="宋体"/>
                <w:color w:val="000000" w:themeColor="text1"/>
                <w:kern w:val="0"/>
                <w:szCs w:val="21"/>
                <w:lang w:bidi="ar"/>
                <w14:textFill>
                  <w14:solidFill>
                    <w14:schemeClr w14:val="tx1"/>
                  </w14:solidFill>
                </w14:textFill>
              </w:rPr>
              <w:t>包括不限于“教务系统、一卡通、单点登录</w:t>
            </w:r>
            <w:r>
              <w:rPr>
                <w:rStyle w:val="93"/>
                <w:rFonts w:hint="default"/>
                <w:color w:val="000000" w:themeColor="text1"/>
                <w:sz w:val="21"/>
                <w:szCs w:val="21"/>
                <w:lang w:bidi="ar"/>
                <w14:textFill>
                  <w14:solidFill>
                    <w14:schemeClr w14:val="tx1"/>
                  </w14:solidFill>
                </w14:textFill>
              </w:rPr>
              <w:t>”，</w:t>
            </w:r>
            <w:r>
              <w:rPr>
                <w:rStyle w:val="66"/>
                <w:rFonts w:hint="default"/>
                <w:color w:val="000000" w:themeColor="text1"/>
                <w:sz w:val="21"/>
                <w:szCs w:val="21"/>
                <w:lang w:bidi="ar"/>
                <w14:textFill>
                  <w14:solidFill>
                    <w14:schemeClr w14:val="tx1"/>
                  </w14:solidFill>
                </w14:textFill>
              </w:rPr>
              <w:t>打破资源孤岛，提供数据的协作、共享和开放服务；实现资源的集中管理，提高管理效率。</w:t>
            </w:r>
            <w:r>
              <w:rPr>
                <w:rStyle w:val="66"/>
                <w:rFonts w:hint="default"/>
                <w:color w:val="000000" w:themeColor="text1"/>
                <w:sz w:val="21"/>
                <w:szCs w:val="21"/>
                <w:lang w:bidi="ar"/>
                <w14:textFill>
                  <w14:solidFill>
                    <w14:schemeClr w14:val="tx1"/>
                  </w14:solidFill>
                </w14:textFill>
              </w:rPr>
              <w:br w:type="textWrapping"/>
            </w:r>
            <w:r>
              <w:rPr>
                <w:rStyle w:val="66"/>
                <w:rFonts w:hint="default"/>
                <w:color w:val="000000" w:themeColor="text1"/>
                <w:sz w:val="21"/>
                <w:szCs w:val="21"/>
                <w:lang w:bidi="ar"/>
                <w14:textFill>
                  <w14:solidFill>
                    <w14:schemeClr w14:val="tx1"/>
                  </w14:solidFill>
                </w14:textFill>
              </w:rPr>
              <w:t>2.对接校方教务系统，实现课堂分析数据、教学资源分析数据的自动汇聚。</w:t>
            </w:r>
            <w:r>
              <w:rPr>
                <w:rStyle w:val="66"/>
                <w:rFonts w:hint="default"/>
                <w:color w:val="000000" w:themeColor="text1"/>
                <w:sz w:val="21"/>
                <w:szCs w:val="21"/>
                <w:lang w:bidi="ar"/>
                <w14:textFill>
                  <w14:solidFill>
                    <w14:schemeClr w14:val="tx1"/>
                  </w14:solidFill>
                </w14:textFill>
              </w:rPr>
              <w:br w:type="textWrapping"/>
            </w:r>
            <w:r>
              <w:rPr>
                <w:rStyle w:val="66"/>
                <w:rFonts w:hint="default"/>
                <w:color w:val="000000" w:themeColor="text1"/>
                <w:sz w:val="21"/>
                <w:szCs w:val="21"/>
                <w:lang w:bidi="ar"/>
                <w14:textFill>
                  <w14:solidFill>
                    <w14:schemeClr w14:val="tx1"/>
                  </w14:solidFill>
                </w14:textFill>
              </w:rPr>
              <w:t>3.与学校账号数据系统（支持开放接口，能与第三方管理平台对接）数据对接。对接后实时获取账号系统数据并推送至平台，根据系统原有账号实现统一登录平台，实现自动同步；当账号数据系统发生变更时，对接程序自动与校方数据中心同步并且自动下发到各教室。</w:t>
            </w:r>
            <w:r>
              <w:rPr>
                <w:rStyle w:val="66"/>
                <w:rFonts w:hint="default"/>
                <w:color w:val="000000" w:themeColor="text1"/>
                <w:sz w:val="21"/>
                <w:szCs w:val="21"/>
                <w:lang w:bidi="ar"/>
                <w14:textFill>
                  <w14:solidFill>
                    <w14:schemeClr w14:val="tx1"/>
                  </w14:solidFill>
                </w14:textFill>
              </w:rPr>
              <w:br w:type="textWrapping"/>
            </w:r>
            <w:r>
              <w:rPr>
                <w:rStyle w:val="66"/>
                <w:rFonts w:hint="default"/>
                <w:color w:val="000000" w:themeColor="text1"/>
                <w:sz w:val="21"/>
                <w:szCs w:val="21"/>
                <w:lang w:bidi="ar"/>
                <w14:textFill>
                  <w14:solidFill>
                    <w14:schemeClr w14:val="tx1"/>
                  </w14:solidFill>
                </w14:textFill>
              </w:rPr>
              <w:t>4.与校方教务排课系统（支持开放接口，能与第三方管理平台对接）数据对接。对接后实时获取教务排课系统课表数据并推送至平台，根据课表信息自动匹配资源信息；当教务排课数据发生变更时，对接程序自动与校方数据中心同步并且自动对应到各端资源。</w:t>
            </w:r>
          </w:p>
          <w:p w14:paraId="444E8669">
            <w:pPr>
              <w:widowControl/>
              <w:spacing w:line="276" w:lineRule="auto"/>
              <w:jc w:val="left"/>
              <w:textAlignment w:val="center"/>
              <w:rPr>
                <w:rFonts w:ascii="宋体" w:hAnsi="宋体" w:cs="宋体"/>
                <w:color w:val="000000"/>
                <w:szCs w:val="21"/>
                <w:lang w:val="en"/>
              </w:rPr>
            </w:pPr>
            <w:r>
              <w:rPr>
                <w:rStyle w:val="66"/>
                <w:rFonts w:hint="default"/>
                <w:color w:val="000000" w:themeColor="text1"/>
                <w:sz w:val="21"/>
                <w:szCs w:val="21"/>
                <w:lang w:bidi="ar"/>
                <w14:textFill>
                  <w14:solidFill>
                    <w14:schemeClr w14:val="tx1"/>
                  </w14:solidFill>
                </w14:textFill>
              </w:rPr>
              <w:t>校方数据开放由申购单位进行申请。</w:t>
            </w:r>
          </w:p>
        </w:tc>
        <w:tc>
          <w:tcPr>
            <w:tcW w:w="881" w:type="pct"/>
            <w:vAlign w:val="center"/>
          </w:tcPr>
          <w:p w14:paraId="10B23450">
            <w:pPr>
              <w:widowControl/>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☑无  □有，要求：</w:t>
            </w:r>
          </w:p>
        </w:tc>
      </w:tr>
    </w:tbl>
    <w:p w14:paraId="2E9F08D8">
      <w:pPr>
        <w:spacing w:line="276" w:lineRule="auto"/>
        <w:rPr>
          <w:rFonts w:ascii="宋体" w:hAnsi="宋体" w:cs="宋体"/>
          <w:szCs w:val="21"/>
        </w:rPr>
      </w:pPr>
    </w:p>
    <w:tbl>
      <w:tblPr>
        <w:tblStyle w:val="26"/>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161"/>
        <w:gridCol w:w="725"/>
        <w:gridCol w:w="5370"/>
        <w:gridCol w:w="1713"/>
      </w:tblGrid>
      <w:tr w14:paraId="74AA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58694B1C">
            <w:pPr>
              <w:widowControl/>
              <w:spacing w:line="276" w:lineRule="auto"/>
              <w:jc w:val="center"/>
              <w:rPr>
                <w:rFonts w:ascii="宋体" w:hAnsi="宋体" w:cs="宋体"/>
                <w:b/>
                <w:color w:val="000000"/>
                <w:szCs w:val="21"/>
              </w:rPr>
            </w:pPr>
            <w:r>
              <w:rPr>
                <w:rFonts w:hint="eastAsia" w:ascii="宋体" w:hAnsi="宋体" w:cs="宋体"/>
                <w:b/>
                <w:color w:val="000000"/>
                <w:szCs w:val="21"/>
              </w:rPr>
              <w:t>4.货物名称</w:t>
            </w:r>
          </w:p>
        </w:tc>
        <w:tc>
          <w:tcPr>
            <w:tcW w:w="2771" w:type="pct"/>
            <w:vAlign w:val="center"/>
          </w:tcPr>
          <w:p w14:paraId="316ACE27">
            <w:pPr>
              <w:widowControl/>
              <w:spacing w:line="276" w:lineRule="auto"/>
              <w:jc w:val="center"/>
              <w:rPr>
                <w:rFonts w:ascii="宋体" w:hAnsi="宋体" w:cs="宋体"/>
                <w:b/>
                <w:color w:val="000000"/>
                <w:szCs w:val="21"/>
              </w:rPr>
            </w:pPr>
            <w:r>
              <w:rPr>
                <w:rFonts w:hint="eastAsia" w:ascii="宋体" w:hAnsi="宋体" w:cs="宋体"/>
                <w:b/>
                <w:color w:val="000000"/>
                <w:szCs w:val="21"/>
              </w:rPr>
              <w:t>知识产权实训系统</w:t>
            </w:r>
          </w:p>
        </w:tc>
        <w:tc>
          <w:tcPr>
            <w:tcW w:w="884" w:type="pct"/>
            <w:vAlign w:val="center"/>
          </w:tcPr>
          <w:p w14:paraId="5C7808DA">
            <w:pPr>
              <w:widowControl/>
              <w:spacing w:line="276" w:lineRule="auto"/>
              <w:jc w:val="center"/>
              <w:rPr>
                <w:rFonts w:ascii="宋体" w:hAnsi="宋体" w:cs="宋体"/>
                <w:b/>
                <w:color w:val="000000"/>
                <w:szCs w:val="21"/>
              </w:rPr>
            </w:pPr>
            <w:r>
              <w:rPr>
                <w:rFonts w:hint="eastAsia" w:ascii="宋体" w:hAnsi="宋体" w:cs="宋体"/>
                <w:b/>
                <w:color w:val="000000"/>
                <w:szCs w:val="21"/>
              </w:rPr>
              <w:t>数量：1套</w:t>
            </w:r>
          </w:p>
        </w:tc>
      </w:tr>
      <w:tr w14:paraId="10BDA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47AD6782">
            <w:pPr>
              <w:widowControl/>
              <w:spacing w:line="276" w:lineRule="auto"/>
              <w:jc w:val="center"/>
              <w:rPr>
                <w:rFonts w:ascii="宋体" w:hAnsi="宋体" w:cs="宋体"/>
                <w:b/>
                <w:color w:val="000000"/>
                <w:szCs w:val="21"/>
              </w:rPr>
            </w:pPr>
            <w:r>
              <w:rPr>
                <w:rFonts w:hint="eastAsia" w:ascii="宋体" w:hAnsi="宋体" w:cs="宋体"/>
                <w:color w:val="000000"/>
                <w:szCs w:val="21"/>
              </w:rPr>
              <w:t>主要功能要求</w:t>
            </w:r>
          </w:p>
        </w:tc>
        <w:tc>
          <w:tcPr>
            <w:tcW w:w="3655" w:type="pct"/>
            <w:gridSpan w:val="2"/>
            <w:vAlign w:val="center"/>
          </w:tcPr>
          <w:p w14:paraId="0DDA56E1">
            <w:pPr>
              <w:widowControl/>
              <w:spacing w:line="276" w:lineRule="auto"/>
              <w:rPr>
                <w:rFonts w:ascii="宋体" w:hAnsi="宋体" w:cs="宋体"/>
                <w:color w:val="000000"/>
                <w:szCs w:val="21"/>
              </w:rPr>
            </w:pPr>
            <w:r>
              <w:rPr>
                <w:rFonts w:hint="eastAsia" w:ascii="宋体" w:hAnsi="宋体" w:cs="宋体"/>
                <w:color w:val="000000"/>
                <w:szCs w:val="21"/>
              </w:rPr>
              <w:t>知识产权实训系统主要功能要求涵盖教学、实践、管理与拓展四大维度：支持知识产权日常课程教学、典型案例库（含专利、商标、著作权等类型）与教学资源库（课件、图文、音视频资源、法律法规库、政策库）管理，提供模拟申请（如专利撰写、商标注册流程实操）、模拟法庭与仲裁、侵权分析、专利检索分析、商业谈判、文书撰写、维权策略制定等实训工具；支持多角色（学生/教师/导师）在线协作，具备实训任务发布、进度跟踪、成果提交与批改功能；集成考核评价模块（如过程评分+成果评测），支持数据统计与个性化学习分析；适配多终端并保障数据安全，可扩展对接外部数据库或实务平台。</w:t>
            </w:r>
          </w:p>
        </w:tc>
      </w:tr>
      <w:tr w14:paraId="4CEE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5" w:type="pct"/>
            <w:gridSpan w:val="3"/>
            <w:vAlign w:val="center"/>
          </w:tcPr>
          <w:p w14:paraId="5080A057">
            <w:pPr>
              <w:widowControl/>
              <w:spacing w:line="276" w:lineRule="auto"/>
              <w:jc w:val="center"/>
              <w:rPr>
                <w:rFonts w:ascii="宋体" w:hAnsi="宋体" w:cs="宋体"/>
                <w:color w:val="000000"/>
                <w:szCs w:val="21"/>
              </w:rPr>
            </w:pPr>
            <w:r>
              <w:rPr>
                <w:rFonts w:hint="eastAsia" w:ascii="宋体" w:hAnsi="宋体" w:cs="宋体"/>
                <w:color w:val="000000"/>
                <w:szCs w:val="21"/>
                <w:lang w:val="en"/>
              </w:rPr>
              <w:t>应遵循的相关国家标准、行业标准等标准、规范</w:t>
            </w:r>
          </w:p>
        </w:tc>
        <w:tc>
          <w:tcPr>
            <w:tcW w:w="3655" w:type="pct"/>
            <w:gridSpan w:val="2"/>
            <w:vAlign w:val="center"/>
          </w:tcPr>
          <w:p w14:paraId="27003975">
            <w:pPr>
              <w:widowControl/>
              <w:spacing w:line="276" w:lineRule="auto"/>
              <w:jc w:val="left"/>
              <w:rPr>
                <w:rFonts w:ascii="宋体" w:hAnsi="宋体" w:cs="宋体"/>
                <w:color w:val="000000"/>
                <w:szCs w:val="21"/>
              </w:rPr>
            </w:pPr>
            <w:r>
              <w:rPr>
                <w:rFonts w:hint="eastAsia" w:ascii="宋体" w:hAnsi="宋体" w:cs="宋体"/>
                <w:color w:val="000000"/>
                <w:szCs w:val="21"/>
              </w:rPr>
              <w:t>☑无 □有，要求：</w:t>
            </w:r>
          </w:p>
        </w:tc>
      </w:tr>
      <w:tr w14:paraId="6B8B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6B4A29EB">
            <w:pPr>
              <w:widowControl/>
              <w:spacing w:line="276" w:lineRule="auto"/>
              <w:jc w:val="center"/>
              <w:rPr>
                <w:rFonts w:ascii="宋体" w:hAnsi="宋体" w:cs="宋体"/>
                <w:b/>
                <w:color w:val="000000"/>
                <w:szCs w:val="21"/>
              </w:rPr>
            </w:pPr>
            <w:r>
              <w:rPr>
                <w:rFonts w:hint="eastAsia" w:ascii="宋体" w:hAnsi="宋体" w:cs="宋体"/>
                <w:color w:val="000000"/>
                <w:szCs w:val="21"/>
                <w:u w:val="single"/>
              </w:rPr>
              <w:t xml:space="preserve">知识产权实训系统 </w:t>
            </w:r>
            <w:r>
              <w:rPr>
                <w:rFonts w:hint="eastAsia" w:ascii="宋体" w:hAnsi="宋体" w:cs="宋体"/>
                <w:b/>
                <w:color w:val="000000"/>
                <w:szCs w:val="21"/>
              </w:rPr>
              <w:t>技术指标</w:t>
            </w:r>
          </w:p>
        </w:tc>
      </w:tr>
      <w:tr w14:paraId="292C5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43E77B7">
            <w:pPr>
              <w:spacing w:line="276" w:lineRule="auto"/>
              <w:jc w:val="center"/>
              <w:rPr>
                <w:rFonts w:ascii="宋体" w:hAnsi="宋体" w:cs="宋体"/>
                <w:color w:val="000000"/>
                <w:szCs w:val="21"/>
              </w:rPr>
            </w:pPr>
            <w:r>
              <w:rPr>
                <w:rFonts w:hint="eastAsia" w:ascii="宋体" w:hAnsi="宋体" w:cs="宋体"/>
                <w:color w:val="000000"/>
                <w:szCs w:val="21"/>
              </w:rPr>
              <w:t>序号</w:t>
            </w:r>
          </w:p>
        </w:tc>
        <w:tc>
          <w:tcPr>
            <w:tcW w:w="599" w:type="pct"/>
            <w:vAlign w:val="center"/>
          </w:tcPr>
          <w:p w14:paraId="2801A3A0">
            <w:pPr>
              <w:widowControl/>
              <w:spacing w:line="276" w:lineRule="auto"/>
              <w:jc w:val="center"/>
              <w:rPr>
                <w:rFonts w:ascii="宋体" w:hAnsi="宋体" w:cs="宋体"/>
                <w:color w:val="000000"/>
                <w:szCs w:val="21"/>
              </w:rPr>
            </w:pPr>
            <w:r>
              <w:rPr>
                <w:rFonts w:hint="eastAsia" w:ascii="宋体" w:hAnsi="宋体" w:cs="宋体"/>
                <w:color w:val="000000"/>
                <w:szCs w:val="21"/>
              </w:rPr>
              <w:t>指标项</w:t>
            </w:r>
          </w:p>
        </w:tc>
        <w:tc>
          <w:tcPr>
            <w:tcW w:w="374" w:type="pct"/>
            <w:vAlign w:val="center"/>
          </w:tcPr>
          <w:p w14:paraId="290184A8">
            <w:pPr>
              <w:widowControl/>
              <w:spacing w:line="276" w:lineRule="auto"/>
              <w:jc w:val="center"/>
              <w:rPr>
                <w:rFonts w:ascii="宋体" w:hAnsi="宋体" w:cs="宋体"/>
                <w:color w:val="000000"/>
                <w:szCs w:val="21"/>
              </w:rPr>
            </w:pPr>
            <w:r>
              <w:rPr>
                <w:rFonts w:hint="eastAsia" w:ascii="宋体" w:hAnsi="宋体" w:cs="宋体"/>
                <w:color w:val="000000"/>
                <w:szCs w:val="21"/>
              </w:rPr>
              <w:t>重要性</w:t>
            </w:r>
          </w:p>
        </w:tc>
        <w:tc>
          <w:tcPr>
            <w:tcW w:w="2771" w:type="pct"/>
            <w:vAlign w:val="center"/>
          </w:tcPr>
          <w:p w14:paraId="6103CB28">
            <w:pPr>
              <w:widowControl/>
              <w:spacing w:line="276" w:lineRule="auto"/>
              <w:jc w:val="center"/>
              <w:rPr>
                <w:rFonts w:ascii="宋体" w:hAnsi="宋体" w:cs="宋体"/>
                <w:color w:val="000000"/>
                <w:szCs w:val="21"/>
              </w:rPr>
            </w:pPr>
            <w:r>
              <w:rPr>
                <w:rFonts w:hint="eastAsia" w:ascii="宋体" w:hAnsi="宋体" w:cs="宋体"/>
                <w:color w:val="000000"/>
                <w:szCs w:val="21"/>
              </w:rPr>
              <w:t>指标要求</w:t>
            </w:r>
          </w:p>
        </w:tc>
        <w:tc>
          <w:tcPr>
            <w:tcW w:w="884" w:type="pct"/>
            <w:vAlign w:val="center"/>
          </w:tcPr>
          <w:p w14:paraId="2418F1DE">
            <w:pPr>
              <w:widowControl/>
              <w:spacing w:line="276" w:lineRule="auto"/>
              <w:jc w:val="center"/>
              <w:rPr>
                <w:rFonts w:ascii="宋体" w:hAnsi="宋体" w:cs="宋体"/>
                <w:color w:val="000000"/>
                <w:szCs w:val="21"/>
              </w:rPr>
            </w:pPr>
            <w:r>
              <w:rPr>
                <w:rFonts w:hint="eastAsia" w:ascii="宋体" w:hAnsi="宋体" w:cs="宋体"/>
                <w:color w:val="000000"/>
                <w:szCs w:val="21"/>
              </w:rPr>
              <w:t>需提供证明材料要求</w:t>
            </w:r>
          </w:p>
        </w:tc>
      </w:tr>
      <w:tr w14:paraId="0F56B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AA272B6">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1</w:t>
            </w:r>
          </w:p>
        </w:tc>
        <w:tc>
          <w:tcPr>
            <w:tcW w:w="599" w:type="pct"/>
            <w:vAlign w:val="center"/>
          </w:tcPr>
          <w:p w14:paraId="0161D1D9">
            <w:pPr>
              <w:widowControl/>
              <w:spacing w:line="276" w:lineRule="auto"/>
              <w:jc w:val="center"/>
              <w:textAlignment w:val="center"/>
              <w:rPr>
                <w:rFonts w:ascii="宋体" w:hAnsi="宋体" w:cs="宋体"/>
                <w:b/>
                <w:color w:val="000000"/>
                <w:szCs w:val="21"/>
              </w:rPr>
            </w:pPr>
            <w:r>
              <w:rPr>
                <w:rFonts w:hint="eastAsia" w:ascii="宋体" w:hAnsi="宋体" w:cs="宋体"/>
                <w:color w:val="000000" w:themeColor="text1"/>
                <w:kern w:val="0"/>
                <w:szCs w:val="21"/>
                <w:lang w:bidi="ar"/>
                <w14:textFill>
                  <w14:solidFill>
                    <w14:schemeClr w14:val="tx1"/>
                  </w14:solidFill>
                </w14:textFill>
              </w:rPr>
              <w:t>知识产权纠纷多元化解决机制虚拟仿真系统</w:t>
            </w:r>
          </w:p>
        </w:tc>
        <w:tc>
          <w:tcPr>
            <w:tcW w:w="374" w:type="pct"/>
            <w:vAlign w:val="center"/>
          </w:tcPr>
          <w:p w14:paraId="4FEE47AF">
            <w:pPr>
              <w:widowControl/>
              <w:spacing w:line="276" w:lineRule="auto"/>
              <w:jc w:val="center"/>
              <w:rPr>
                <w:rFonts w:ascii="宋体" w:hAnsi="宋体" w:cs="宋体"/>
                <w:b/>
                <w:color w:val="000000"/>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1" w:type="pct"/>
            <w:vAlign w:val="center"/>
          </w:tcPr>
          <w:p w14:paraId="5A90E9A3">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知识产权纠纷多元化解决机制虚拟仿真系统定制软件：具备开展以某设计专利纠纷为案例教学背景的系统化流程建设和情景仿真实验模拟操作，至少包含实验项目简介、理论学习、虚拟实验三个子模块内容，完成实验仿真法院场景、办公场景、主要人物角色的三维建模与虚拟现实仿真实验流程，可还原某设计专利纠纷案件过程。</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（一）理论学习子模块内容包含：</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1.知识产权战略与管理</w:t>
            </w:r>
          </w:p>
          <w:p w14:paraId="045FE6E3">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2.著作权</w:t>
            </w:r>
          </w:p>
          <w:p w14:paraId="6E294FAE">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3.专利权</w:t>
            </w:r>
          </w:p>
          <w:p w14:paraId="41E2AF69">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4.商业秘密（新增）</w:t>
            </w:r>
          </w:p>
          <w:p w14:paraId="307029E2">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5.商标权与地理标志权</w:t>
            </w:r>
          </w:p>
          <w:p w14:paraId="5A039BAA">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6.其他知识产权</w:t>
            </w:r>
          </w:p>
          <w:p w14:paraId="5777BD6C">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7.反不正当竞争</w:t>
            </w:r>
          </w:p>
          <w:p w14:paraId="27AAAAF5">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8.知识产权国际条约</w:t>
            </w:r>
          </w:p>
          <w:p w14:paraId="1B1AAFF3">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 xml:space="preserve">9.理论学习模块要求具有多页式交互片的功能，学生通过人机交互的模式可以学习理论知识，并进行案例分析训练。交互并将图文、动画、语音、视频等元素的自由组合与相互衔接，并设置特定的趣味化的人机操作形式，让实验者独自完成一系列的教学内容。具体功能要求包括： </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1）可以实现各种人机互动元素组合与创作，基于HTML5跨平台技术，支持各种人机互动元素的流畅运行；</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2）根据互动需求，设置不同层次不同功能的人机互动元素和它们的内在逻辑关系，实现元素间的紧密交互；</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3）支持脚本级的变量和逻辑关系设定，创作虚拟仿真的教学互动过程；</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4）通过后台编辑器实现各种创意，创作过程中可以随时预览；</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5）将教学过程按课程知识点以生动的形式展现，提升学生学习兴趣，巩固知识点学习；</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6）基于HTML5实现在各种现代浏览器和设备的运行；</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7）交互片的设计教师端在交互片编辑器中设计完成，无须技术人员编写代码。</w:t>
            </w:r>
          </w:p>
          <w:p w14:paraId="17A426DA">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p>
          <w:p w14:paraId="0B85B6A6">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（二）虚拟实验子模块内容包含：</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1.知识产权诉讼纠纷全流程实训</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知识产权诉讼纠纷业务模块运用RPG游戏化技术设置虚拟的大地图场景，学生可以控制场景中的主要人物角色，根据业务需要进行不同方向的行走、不同场景之间的任意切换、自动寻找办案路径等，需要有公司知识产权业务部、律师事务所、人民法院等动画场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2.多角色综合实训</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通过多角色互动实训实验让学生充分了解和掌握实务工作的过程和内容。</w:t>
            </w:r>
          </w:p>
          <w:p w14:paraId="1E2D5793">
            <w:pPr>
              <w:widowControl/>
              <w:spacing w:line="276" w:lineRule="auto"/>
              <w:jc w:val="left"/>
              <w:textAlignment w:val="center"/>
              <w:rPr>
                <w:rFonts w:ascii="宋体" w:hAnsi="宋体" w:cs="宋体"/>
                <w:b/>
                <w:color w:val="000000"/>
                <w:szCs w:val="21"/>
              </w:rPr>
            </w:pP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（三）参数要求如下：</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1.本软件应为网络版，系统采用 B/S 架构，三维内容嵌入浏览器中，用户无需安装插件，即可通过网页访问虚拟实验内容，并进行交互实验，不受节点和位置限制。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2.支持谷歌、360等主流浏览器。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3.后台数据库支持mysql、SQL server等数据库的导入、关联和同步，软件采用通用、开放的协议、无条件开放数据接口、能与学校现有信息化系统互联互通，保证系统的开放性和扩展性。</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4.用户可多角度观察整个场景，画面帧数不得低于25帧/秒。</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5.人机交互反馈时间不高于0.5秒。</w:t>
            </w:r>
          </w:p>
        </w:tc>
        <w:tc>
          <w:tcPr>
            <w:tcW w:w="884" w:type="pct"/>
            <w:vAlign w:val="center"/>
          </w:tcPr>
          <w:p w14:paraId="29BBE442">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63E17E63">
            <w:pPr>
              <w:widowControl/>
              <w:spacing w:line="276"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技术方案和承</w:t>
            </w:r>
          </w:p>
          <w:p w14:paraId="6BA980C7">
            <w:pPr>
              <w:widowControl/>
              <w:spacing w:line="276" w:lineRule="auto"/>
              <w:rPr>
                <w:rFonts w:ascii="宋体" w:hAnsi="宋体" w:cs="宋体"/>
                <w:szCs w:val="21"/>
              </w:rPr>
            </w:pPr>
            <w:r>
              <w:rPr>
                <w:rFonts w:hint="eastAsia" w:ascii="宋体" w:hAnsi="宋体" w:cs="宋体"/>
                <w:bCs/>
                <w:color w:val="000000" w:themeColor="text1"/>
                <w:szCs w:val="21"/>
                <w14:textFill>
                  <w14:solidFill>
                    <w14:schemeClr w14:val="tx1"/>
                  </w14:solidFill>
                </w14:textFill>
              </w:rPr>
              <w:t>诺函。</w:t>
            </w:r>
          </w:p>
        </w:tc>
      </w:tr>
      <w:tr w14:paraId="14632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DFEE120">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2</w:t>
            </w:r>
          </w:p>
        </w:tc>
        <w:tc>
          <w:tcPr>
            <w:tcW w:w="599" w:type="pct"/>
            <w:vAlign w:val="center"/>
          </w:tcPr>
          <w:p w14:paraId="4017DE67">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专利侵权软件（案例）开发</w:t>
            </w:r>
          </w:p>
        </w:tc>
        <w:tc>
          <w:tcPr>
            <w:tcW w:w="374" w:type="pct"/>
            <w:vAlign w:val="center"/>
          </w:tcPr>
          <w:p w14:paraId="718C06EC">
            <w:pPr>
              <w:widowControl/>
              <w:spacing w:line="276" w:lineRule="auto"/>
              <w:jc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1" w:type="pct"/>
            <w:vAlign w:val="center"/>
          </w:tcPr>
          <w:p w14:paraId="2EF47207">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专利侵权软件（案例）系统定制软件：具备3D可视化、智能比对、案例模拟等功能的专利侵权分析虚拟仿真系统，应用于法律教学、企业培训和司法辅助。包括：虚拟仿真软件系统（含PC端、Web端及VR适配版本）、配套教学/培训课程模块。</w:t>
            </w:r>
          </w:p>
          <w:p w14:paraId="463C05C8">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参数要求：</w:t>
            </w:r>
          </w:p>
          <w:p w14:paraId="5F3A90CC">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1.软件架构：PC端：采用C/S架构，支持Windows10及以上系统，支持离线使用；Web端：采用B/S架构，三维内容嵌入浏览器，无需安装插件；VR版本：</w:t>
            </w:r>
            <w:r>
              <w:rPr>
                <w:rFonts w:hint="eastAsia" w:ascii="宋体" w:hAnsi="宋体"/>
                <w:szCs w:val="21"/>
              </w:rPr>
              <w:t>基于OpenXR 1.1及以上标准开发</w:t>
            </w:r>
            <w:r>
              <w:rPr>
                <w:rFonts w:hint="eastAsia" w:ascii="宋体" w:hAnsi="宋体" w:cs="宋体"/>
                <w:color w:val="000000" w:themeColor="text1"/>
                <w:kern w:val="0"/>
                <w:szCs w:val="21"/>
                <w:lang w:bidi="ar"/>
                <w14:textFill>
                  <w14:solidFill>
                    <w14:schemeClr w14:val="tx1"/>
                  </w14:solidFill>
                </w14:textFill>
              </w:rPr>
              <w:t>。</w:t>
            </w:r>
          </w:p>
          <w:p w14:paraId="2EF4E402">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2.浏览器支持：Web端兼容谷歌Chrome（90.0及以上）、火狐Firefox（88.0及以上）、360安全浏览器（13.0及以上）、QQ浏览器（11.0及以上）。</w:t>
            </w:r>
          </w:p>
          <w:p w14:paraId="00D6EBB8">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3.数据库要求：后台支持MySQL8.0、SQLServer2019及以上版本，案例数据、用户操作记录、课程进度可导入、关联及同步；开放数据接口（API），支持与学校教务系统、企业培训平台、司法辅助系统互联互通，保证扩展性。</w:t>
            </w:r>
          </w:p>
          <w:p w14:paraId="2E27BB2C">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4.3D开发要求：采用Unity3D2021及以上或UnRealEngine5.0及以上引擎开发；模型格式至少包含.fbx，单场景（如专利产品拆解场景、庭审模拟场景）总面数不低于20万；贴图分辨率不低于1024*1024pix，模型材质需烘培处理，具备阴影、高光、反射（如金属部件反光、玻璃材质透明效果）。</w:t>
            </w:r>
          </w:p>
          <w:p w14:paraId="10A24779">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5.性能要求：PC端/Web端画面帧数≥25帧/秒，VR端画面帧数≥90帧/秒（避免眩晕）；人机交互反馈时间≤0.5秒（如点击拆解部件、触发比对分析的响应速度）；VR端支持手势交互（如抓取虚拟专利部件、标注侵权点），识别准确率≥95%。</w:t>
            </w:r>
          </w:p>
          <w:p w14:paraId="1E55B459">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6.软件著作权：供应商负责系统软件著作权证书的申报与获取，交付时需提供证书复印件，</w:t>
            </w:r>
            <w:r>
              <w:rPr>
                <w:rFonts w:hint="eastAsia" w:ascii="宋体" w:hAnsi="宋体"/>
                <w:szCs w:val="21"/>
              </w:rPr>
              <w:t>软件版权归属采购人所有</w:t>
            </w:r>
            <w:r>
              <w:rPr>
                <w:rFonts w:hint="eastAsia" w:ascii="宋体" w:hAnsi="宋体" w:cs="宋体"/>
                <w:color w:val="000000" w:themeColor="text1"/>
                <w:kern w:val="0"/>
                <w:szCs w:val="21"/>
                <w:lang w:bidi="ar"/>
                <w14:textFill>
                  <w14:solidFill>
                    <w14:schemeClr w14:val="tx1"/>
                  </w14:solidFill>
                </w14:textFill>
              </w:rPr>
              <w:t>。</w:t>
            </w:r>
          </w:p>
        </w:tc>
        <w:tc>
          <w:tcPr>
            <w:tcW w:w="884" w:type="pct"/>
            <w:vAlign w:val="center"/>
          </w:tcPr>
          <w:p w14:paraId="0524E342">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03CBF1C7">
            <w:pPr>
              <w:widowControl/>
              <w:spacing w:line="276"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技术方案和承</w:t>
            </w:r>
          </w:p>
          <w:p w14:paraId="57C1C5D6">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诺函。</w:t>
            </w:r>
          </w:p>
        </w:tc>
      </w:tr>
      <w:tr w14:paraId="0F15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Merge w:val="restart"/>
            <w:vAlign w:val="center"/>
          </w:tcPr>
          <w:p w14:paraId="3D8A2DDA">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3</w:t>
            </w:r>
          </w:p>
        </w:tc>
        <w:tc>
          <w:tcPr>
            <w:tcW w:w="599" w:type="pct"/>
            <w:vMerge w:val="restart"/>
            <w:vAlign w:val="center"/>
          </w:tcPr>
          <w:p w14:paraId="0DCBDE06">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法制史、法制文物展示（法律博物馆）</w:t>
            </w:r>
          </w:p>
        </w:tc>
        <w:tc>
          <w:tcPr>
            <w:tcW w:w="374" w:type="pct"/>
            <w:vAlign w:val="center"/>
          </w:tcPr>
          <w:p w14:paraId="360F03D5">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18E69184">
            <w:pPr>
              <w:widowControl/>
              <w:spacing w:line="276" w:lineRule="auto"/>
              <w:jc w:val="center"/>
              <w:rPr>
                <w:rFonts w:ascii="宋体" w:hAnsi="宋体" w:cs="宋体"/>
                <w:color w:val="000000"/>
                <w:szCs w:val="21"/>
              </w:rPr>
            </w:pPr>
            <w:r>
              <w:rPr>
                <w:rFonts w:hint="eastAsia" w:ascii="宋体" w:hAnsi="宋体" w:cs="宋体"/>
                <w:snapToGrid w:val="0"/>
                <w:color w:val="000000" w:themeColor="text1"/>
                <w:kern w:val="0"/>
                <w:szCs w:val="21"/>
                <w:lang w:val="zh-CN"/>
                <w14:textFill>
                  <w14:solidFill>
                    <w14:schemeClr w14:val="tx1"/>
                  </w14:solidFill>
                </w14:textFill>
              </w:rPr>
              <w:t>关键指标</w:t>
            </w:r>
          </w:p>
        </w:tc>
        <w:tc>
          <w:tcPr>
            <w:tcW w:w="2771" w:type="pct"/>
            <w:vAlign w:val="center"/>
          </w:tcPr>
          <w:p w14:paraId="615CA9A8">
            <w:pPr>
              <w:widowControl/>
              <w:spacing w:line="276" w:lineRule="auto"/>
              <w:jc w:val="left"/>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法制史、法制文物展示系统(法律博物馆)定制软件：包括但不限于，法律实物文物数字化；法律仪器：古代刑具、量具、印信的3D模型；法律文书：契约、诉状、判词的3D复原与放大展示；法律象征物：獬豸像、法律天平的3D模型，不少于30个互动场景，且需配套相应实物、展示柜、虚拟场景展示屏（可触摸）。</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要求具备：互动展示功能，包括但不限于，360度旋转查看文物细节；文物分层展示(如法典的装帧、纸张、墨迹分层)；语音讲解等。知识产权与交付要求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1.著作权：供货商负责系统软件及文物3D模型的著作权证书申报与获取，确保无知识产权纠纷，</w:t>
            </w:r>
            <w:r>
              <w:rPr>
                <w:rFonts w:hint="eastAsia" w:ascii="宋体" w:hAnsi="宋体"/>
                <w:szCs w:val="21"/>
              </w:rPr>
              <w:t>软件版权归属采购人所有</w:t>
            </w:r>
            <w:r>
              <w:rPr>
                <w:rFonts w:hint="eastAsia" w:ascii="宋体" w:hAnsi="宋体" w:cs="宋体"/>
                <w:color w:val="000000" w:themeColor="text1"/>
                <w:kern w:val="0"/>
                <w:szCs w:val="21"/>
                <w:lang w:bidi="ar"/>
                <w14:textFill>
                  <w14:solidFill>
                    <w14:schemeClr w14:val="tx1"/>
                  </w14:solidFill>
                </w14:textFill>
              </w:rPr>
              <w:t>。</w:t>
            </w:r>
          </w:p>
        </w:tc>
        <w:tc>
          <w:tcPr>
            <w:tcW w:w="884" w:type="pct"/>
            <w:vAlign w:val="center"/>
          </w:tcPr>
          <w:p w14:paraId="6FFD789A">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09443145">
            <w:pPr>
              <w:widowControl/>
              <w:spacing w:line="276"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技术方案和承</w:t>
            </w:r>
          </w:p>
          <w:p w14:paraId="414F3115">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诺函。</w:t>
            </w:r>
          </w:p>
        </w:tc>
      </w:tr>
      <w:tr w14:paraId="427A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Merge w:val="continue"/>
            <w:vAlign w:val="center"/>
          </w:tcPr>
          <w:p w14:paraId="09BBFA76">
            <w:pPr>
              <w:spacing w:line="276" w:lineRule="auto"/>
              <w:jc w:val="center"/>
              <w:rPr>
                <w:rFonts w:ascii="宋体" w:hAnsi="宋体" w:cs="宋体"/>
                <w:color w:val="000000" w:themeColor="text1"/>
                <w:szCs w:val="21"/>
                <w14:textFill>
                  <w14:solidFill>
                    <w14:schemeClr w14:val="tx1"/>
                  </w14:solidFill>
                </w14:textFill>
              </w:rPr>
            </w:pPr>
          </w:p>
        </w:tc>
        <w:tc>
          <w:tcPr>
            <w:tcW w:w="599" w:type="pct"/>
            <w:vMerge w:val="continue"/>
            <w:vAlign w:val="center"/>
          </w:tcPr>
          <w:p w14:paraId="0B844308">
            <w:pPr>
              <w:widowControl/>
              <w:spacing w:line="276" w:lineRule="auto"/>
              <w:jc w:val="center"/>
              <w:textAlignment w:val="center"/>
              <w:rPr>
                <w:rFonts w:ascii="宋体" w:hAnsi="宋体" w:cs="宋体"/>
                <w:color w:val="000000" w:themeColor="text1"/>
                <w:kern w:val="0"/>
                <w:szCs w:val="21"/>
                <w:lang w:bidi="ar"/>
                <w14:textFill>
                  <w14:solidFill>
                    <w14:schemeClr w14:val="tx1"/>
                  </w14:solidFill>
                </w14:textFill>
              </w:rPr>
            </w:pPr>
          </w:p>
        </w:tc>
        <w:tc>
          <w:tcPr>
            <w:tcW w:w="374" w:type="pct"/>
            <w:vAlign w:val="center"/>
          </w:tcPr>
          <w:p w14:paraId="6C0C4C4A">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#重要指标</w:t>
            </w:r>
          </w:p>
        </w:tc>
        <w:tc>
          <w:tcPr>
            <w:tcW w:w="2771" w:type="pct"/>
            <w:vAlign w:val="center"/>
          </w:tcPr>
          <w:p w14:paraId="2ED7B08A">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参数要求：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(一)系统架构与访问要求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1.架构模式：采用B/S架构，三维内容嵌入浏览器，用户无需安装插件，支持网页端直接访问，不受设备节点与地理位置限制。</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2.浏览器兼容：支持谷歌Chrome(90.0及以上版本)、火狐Firefox(88.0及以上版本)、360安全浏览器(13.0及以上版本)、QQ浏览器(11.0及以上版本)。</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(二)数据库与接口要求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1.数据库支持：兼容MySQL8.0+、SQLServer2019+数据库，支持文物基础信息(年代、出土地点、历史背景)、模型文件、用户操作数据的导入、关联与同步。</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2.开放性要求：采用HTTP/HTTPS通用协议，无条件开放数据接口(含API文档)，可与博物馆现有信息化系统(如藏品管理系统、教育服务系统)互联互通，支持后续文物数据更新与功能扩展。</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(三)3D建模与渲染要求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1.引擎选择：采用成熟3D引擎开发(Unity3D2021.3+或UnRealEngine5.0+)，建模工具支持3dsMax2022+、Maya2022+。</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2.模型精度：单文物模型总面数：简单文物(如单刻度量具)≥5万面，复杂文物(如多层结构刑具、精装法典)≥20万面；贴图分辨率：基础贴图≥2048*2048pix，细节贴图(如文书墨迹、印信篆刻)≥4096*4096pix。</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3.渲染效果：模型材质需进行烘焙处理，支持阴影(软阴影、投影阴影)、高光反射(金属/非金属差异化反射)、环境光遮蔽(AO)效果，还原文物真实视觉质感。</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(四)性能要求</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1.画面帧数：PC端画面帧数≥30帧/秒，移动端画面帧数≥25帧/秒，无明显卡顿、掉帧现象。</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2.交互反馈：人机交互响应时间≤0.5秒(如旋转文物、切换分层、放大缩小操作)。</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3.加载速度：单文物模型首次加载时间≤5秒(带宽≥10Mbps环境下)，二次加载时间≤2秒。</w:t>
            </w:r>
          </w:p>
        </w:tc>
        <w:tc>
          <w:tcPr>
            <w:tcW w:w="884" w:type="pct"/>
            <w:vAlign w:val="center"/>
          </w:tcPr>
          <w:p w14:paraId="1150D776">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65668FB3">
            <w:pPr>
              <w:widowControl/>
              <w:spacing w:line="276"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技术方案和承</w:t>
            </w:r>
          </w:p>
          <w:p w14:paraId="239C6923">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诺函。</w:t>
            </w:r>
          </w:p>
        </w:tc>
      </w:tr>
      <w:tr w14:paraId="6630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409AC132">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4</w:t>
            </w:r>
          </w:p>
        </w:tc>
        <w:tc>
          <w:tcPr>
            <w:tcW w:w="599" w:type="pct"/>
            <w:vAlign w:val="center"/>
          </w:tcPr>
          <w:p w14:paraId="7C49B202">
            <w:pPr>
              <w:widowControl/>
              <w:spacing w:line="276" w:lineRule="auto"/>
              <w:jc w:val="center"/>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图形工作站</w:t>
            </w:r>
          </w:p>
        </w:tc>
        <w:tc>
          <w:tcPr>
            <w:tcW w:w="374" w:type="pct"/>
            <w:vAlign w:val="center"/>
          </w:tcPr>
          <w:p w14:paraId="1C618030">
            <w:pPr>
              <w:widowControl/>
              <w:spacing w:line="276" w:lineRule="auto"/>
              <w:jc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1" w:type="pct"/>
            <w:vAlign w:val="center"/>
          </w:tcPr>
          <w:p w14:paraId="4260DC01">
            <w:pPr>
              <w:widowControl/>
              <w:spacing w:line="276" w:lineRule="auto"/>
              <w:jc w:val="left"/>
              <w:textAlignment w:val="center"/>
              <w:rPr>
                <w:rFonts w:ascii="宋体" w:hAnsi="宋体" w:cs="宋体"/>
                <w:color w:val="000000"/>
                <w:szCs w:val="21"/>
              </w:rPr>
            </w:pPr>
            <w:r>
              <w:rPr>
                <w:rFonts w:hint="eastAsia" w:ascii="宋体" w:hAnsi="宋体" w:cs="宋体"/>
                <w:color w:val="000000" w:themeColor="text1"/>
                <w:kern w:val="0"/>
                <w:szCs w:val="21"/>
                <w:lang w:bidi="ar"/>
                <w14:textFill>
                  <w14:solidFill>
                    <w14:schemeClr w14:val="tx1"/>
                  </w14:solidFill>
                </w14:textFill>
              </w:rPr>
              <w:t>≥64GB DDR5 内存，≥2TB PCIe 4.0 SSD 固态硬盘， 专业图形显卡：显存：≥48GB GDDR7 ECC；位宽：512bit，带宽 ≥1TB/s；FP64：≥2 TFLOPS。</w:t>
            </w:r>
          </w:p>
        </w:tc>
        <w:tc>
          <w:tcPr>
            <w:tcW w:w="884" w:type="pct"/>
            <w:vAlign w:val="center"/>
          </w:tcPr>
          <w:p w14:paraId="7C31719F">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01D6290A">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bl>
    <w:p w14:paraId="3F182E90">
      <w:pPr>
        <w:spacing w:line="276" w:lineRule="auto"/>
        <w:rPr>
          <w:rFonts w:ascii="宋体" w:hAnsi="宋体" w:cs="宋体"/>
          <w:szCs w:val="21"/>
        </w:rPr>
      </w:pPr>
    </w:p>
    <w:tbl>
      <w:tblPr>
        <w:tblStyle w:val="26"/>
        <w:tblW w:w="49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161"/>
        <w:gridCol w:w="727"/>
        <w:gridCol w:w="5368"/>
        <w:gridCol w:w="1713"/>
      </w:tblGrid>
      <w:tr w14:paraId="03A1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3691FE8D">
            <w:pPr>
              <w:widowControl/>
              <w:spacing w:line="276" w:lineRule="auto"/>
              <w:jc w:val="center"/>
              <w:rPr>
                <w:rFonts w:ascii="宋体" w:hAnsi="宋体" w:cs="宋体"/>
                <w:b/>
                <w:color w:val="000000"/>
                <w:szCs w:val="21"/>
              </w:rPr>
            </w:pPr>
            <w:r>
              <w:rPr>
                <w:rFonts w:hint="eastAsia" w:ascii="宋体" w:hAnsi="宋体" w:cs="宋体"/>
                <w:b/>
                <w:color w:val="000000"/>
                <w:szCs w:val="21"/>
              </w:rPr>
              <w:t>5.货物名称</w:t>
            </w:r>
          </w:p>
        </w:tc>
        <w:tc>
          <w:tcPr>
            <w:tcW w:w="2770" w:type="pct"/>
            <w:vAlign w:val="center"/>
          </w:tcPr>
          <w:p w14:paraId="631BB5CD">
            <w:pPr>
              <w:widowControl/>
              <w:spacing w:line="276" w:lineRule="auto"/>
              <w:jc w:val="center"/>
              <w:rPr>
                <w:rFonts w:ascii="宋体" w:hAnsi="宋体" w:cs="宋体"/>
                <w:b/>
                <w:color w:val="000000"/>
                <w:szCs w:val="21"/>
              </w:rPr>
            </w:pPr>
            <w:r>
              <w:rPr>
                <w:rFonts w:hint="eastAsia" w:ascii="宋体" w:hAnsi="宋体" w:cs="宋体"/>
                <w:b/>
                <w:color w:val="000000"/>
                <w:szCs w:val="21"/>
              </w:rPr>
              <w:t>知识产权研究与展示系统</w:t>
            </w:r>
          </w:p>
        </w:tc>
        <w:tc>
          <w:tcPr>
            <w:tcW w:w="884" w:type="pct"/>
            <w:vAlign w:val="center"/>
          </w:tcPr>
          <w:p w14:paraId="525F470B">
            <w:pPr>
              <w:widowControl/>
              <w:spacing w:line="276" w:lineRule="auto"/>
              <w:jc w:val="center"/>
              <w:rPr>
                <w:rFonts w:ascii="宋体" w:hAnsi="宋体" w:cs="宋体"/>
                <w:b/>
                <w:color w:val="000000"/>
                <w:szCs w:val="21"/>
              </w:rPr>
            </w:pPr>
            <w:r>
              <w:rPr>
                <w:rFonts w:hint="eastAsia" w:ascii="宋体" w:hAnsi="宋体" w:cs="宋体"/>
                <w:b/>
                <w:color w:val="000000"/>
                <w:szCs w:val="21"/>
              </w:rPr>
              <w:t>数量：1套</w:t>
            </w:r>
          </w:p>
        </w:tc>
      </w:tr>
      <w:tr w14:paraId="2999D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3644B1E7">
            <w:pPr>
              <w:widowControl/>
              <w:spacing w:line="276" w:lineRule="auto"/>
              <w:jc w:val="center"/>
              <w:rPr>
                <w:rFonts w:ascii="宋体" w:hAnsi="宋体" w:cs="宋体"/>
                <w:b/>
                <w:color w:val="000000"/>
                <w:szCs w:val="21"/>
              </w:rPr>
            </w:pPr>
            <w:r>
              <w:rPr>
                <w:rFonts w:hint="eastAsia" w:ascii="宋体" w:hAnsi="宋体" w:cs="宋体"/>
                <w:color w:val="000000"/>
                <w:szCs w:val="21"/>
              </w:rPr>
              <w:t>主要功能要求</w:t>
            </w:r>
          </w:p>
        </w:tc>
        <w:tc>
          <w:tcPr>
            <w:tcW w:w="3654" w:type="pct"/>
            <w:gridSpan w:val="2"/>
            <w:vAlign w:val="center"/>
          </w:tcPr>
          <w:p w14:paraId="073CDCE7">
            <w:pPr>
              <w:widowControl/>
              <w:spacing w:line="276" w:lineRule="auto"/>
              <w:jc w:val="left"/>
              <w:rPr>
                <w:rFonts w:ascii="宋体" w:hAnsi="宋体" w:cs="宋体"/>
                <w:b/>
                <w:color w:val="000000"/>
                <w:szCs w:val="21"/>
              </w:rPr>
            </w:pPr>
            <w:r>
              <w:rPr>
                <w:rFonts w:hint="eastAsia" w:ascii="宋体" w:hAnsi="宋体" w:cs="宋体"/>
                <w:color w:val="000000"/>
                <w:szCs w:val="21"/>
              </w:rPr>
              <w:t>知识产权研究与展示系统主要功能要求涵盖研究支撑、成果展示、交互协作与系统管理四大维度：支持知识产权文献（专利、商标、著作权等）的智能检索、分类存储与关联分析，提供法律状态追踪、引用关系挖掘等深度研究工具；集成多模态展示功能（如特定技术3D展示模型、可视化分析报告、知识产权案例分析），支持多维度可视化呈现与沉浸式交互演示；具备用户交互功能（如在线批注、专家点评、研讨留言）及多角色权限管理（研究者/管理员/参观者），支持个性化内容定制与访问控制；提供数据统计分析（如研究热点追踪、成果访问量统计）及系统安全防护（如权限分级、数据加密），适配多终端访问并支持与外部数据库或知识产权平台对接。</w:t>
            </w:r>
          </w:p>
        </w:tc>
      </w:tr>
      <w:tr w14:paraId="74F7C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46" w:type="pct"/>
            <w:gridSpan w:val="3"/>
            <w:vAlign w:val="center"/>
          </w:tcPr>
          <w:p w14:paraId="2F3BD900">
            <w:pPr>
              <w:widowControl/>
              <w:spacing w:line="276" w:lineRule="auto"/>
              <w:jc w:val="center"/>
              <w:rPr>
                <w:rFonts w:ascii="宋体" w:hAnsi="宋体" w:cs="宋体"/>
                <w:color w:val="000000"/>
                <w:szCs w:val="21"/>
              </w:rPr>
            </w:pPr>
            <w:r>
              <w:rPr>
                <w:rFonts w:hint="eastAsia" w:ascii="宋体" w:hAnsi="宋体" w:cs="宋体"/>
                <w:color w:val="000000"/>
                <w:szCs w:val="21"/>
                <w:lang w:val="en"/>
              </w:rPr>
              <w:t>应遵循的相关国家标准、行业标准等标准、规范</w:t>
            </w:r>
          </w:p>
        </w:tc>
        <w:tc>
          <w:tcPr>
            <w:tcW w:w="3654" w:type="pct"/>
            <w:gridSpan w:val="2"/>
            <w:vAlign w:val="center"/>
          </w:tcPr>
          <w:p w14:paraId="7BF66D19">
            <w:pPr>
              <w:spacing w:line="276" w:lineRule="auto"/>
              <w:jc w:val="left"/>
              <w:outlineLvl w:val="0"/>
              <w:rPr>
                <w:rFonts w:ascii="宋体" w:hAnsi="宋体" w:cs="宋体"/>
                <w:b/>
                <w:color w:val="000000"/>
                <w:szCs w:val="21"/>
              </w:rPr>
            </w:pPr>
            <w:r>
              <w:rPr>
                <w:rFonts w:hint="eastAsia" w:ascii="宋体" w:hAnsi="宋体" w:cs="宋体"/>
                <w:color w:val="000000"/>
                <w:szCs w:val="21"/>
              </w:rPr>
              <w:t>☑无  □有，要求：</w:t>
            </w:r>
            <w:r>
              <w:rPr>
                <w:rFonts w:hint="eastAsia" w:ascii="宋体" w:hAnsi="宋体" w:cs="宋体"/>
                <w:color w:val="000000"/>
                <w:szCs w:val="21"/>
                <w:u w:val="single"/>
              </w:rPr>
              <w:t xml:space="preserve">      </w:t>
            </w:r>
          </w:p>
        </w:tc>
      </w:tr>
      <w:tr w14:paraId="6676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7366081B">
            <w:pPr>
              <w:widowControl/>
              <w:spacing w:line="276" w:lineRule="auto"/>
              <w:jc w:val="center"/>
              <w:rPr>
                <w:rFonts w:ascii="宋体" w:hAnsi="宋体" w:cs="宋体"/>
                <w:b/>
                <w:color w:val="000000"/>
                <w:szCs w:val="21"/>
              </w:rPr>
            </w:pPr>
            <w:r>
              <w:rPr>
                <w:rFonts w:hint="eastAsia" w:ascii="宋体" w:hAnsi="宋体" w:cs="宋体"/>
                <w:color w:val="000000"/>
                <w:szCs w:val="21"/>
                <w:u w:val="single"/>
              </w:rPr>
              <w:t xml:space="preserve">知识产权研究与展示系统 </w:t>
            </w:r>
            <w:r>
              <w:rPr>
                <w:rFonts w:hint="eastAsia" w:ascii="宋体" w:hAnsi="宋体" w:cs="宋体"/>
                <w:b/>
                <w:color w:val="000000"/>
                <w:szCs w:val="21"/>
              </w:rPr>
              <w:t>技术指标</w:t>
            </w:r>
          </w:p>
        </w:tc>
      </w:tr>
      <w:tr w14:paraId="428D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15F9334A">
            <w:pPr>
              <w:spacing w:line="276" w:lineRule="auto"/>
              <w:jc w:val="center"/>
              <w:rPr>
                <w:rFonts w:ascii="宋体" w:hAnsi="宋体" w:cs="宋体"/>
                <w:color w:val="000000"/>
                <w:szCs w:val="21"/>
              </w:rPr>
            </w:pPr>
            <w:r>
              <w:rPr>
                <w:rFonts w:hint="eastAsia" w:ascii="宋体" w:hAnsi="宋体" w:cs="宋体"/>
                <w:color w:val="000000"/>
                <w:szCs w:val="21"/>
              </w:rPr>
              <w:t>序号</w:t>
            </w:r>
          </w:p>
        </w:tc>
        <w:tc>
          <w:tcPr>
            <w:tcW w:w="599" w:type="pct"/>
            <w:vAlign w:val="center"/>
          </w:tcPr>
          <w:p w14:paraId="3E1CB15D">
            <w:pPr>
              <w:widowControl/>
              <w:spacing w:line="276" w:lineRule="auto"/>
              <w:jc w:val="center"/>
              <w:rPr>
                <w:rFonts w:ascii="宋体" w:hAnsi="宋体" w:cs="宋体"/>
                <w:color w:val="000000"/>
                <w:szCs w:val="21"/>
              </w:rPr>
            </w:pPr>
            <w:r>
              <w:rPr>
                <w:rFonts w:hint="eastAsia" w:ascii="宋体" w:hAnsi="宋体" w:cs="宋体"/>
                <w:color w:val="000000"/>
                <w:szCs w:val="21"/>
              </w:rPr>
              <w:t>指标项</w:t>
            </w:r>
          </w:p>
        </w:tc>
        <w:tc>
          <w:tcPr>
            <w:tcW w:w="375" w:type="pct"/>
            <w:vAlign w:val="center"/>
          </w:tcPr>
          <w:p w14:paraId="6AC248F1">
            <w:pPr>
              <w:widowControl/>
              <w:spacing w:line="276" w:lineRule="auto"/>
              <w:jc w:val="center"/>
              <w:rPr>
                <w:rFonts w:ascii="宋体" w:hAnsi="宋体" w:cs="宋体"/>
                <w:color w:val="000000"/>
                <w:szCs w:val="21"/>
              </w:rPr>
            </w:pPr>
            <w:r>
              <w:rPr>
                <w:rFonts w:hint="eastAsia" w:ascii="宋体" w:hAnsi="宋体" w:cs="宋体"/>
                <w:color w:val="000000"/>
                <w:szCs w:val="21"/>
              </w:rPr>
              <w:t>重要性</w:t>
            </w:r>
          </w:p>
        </w:tc>
        <w:tc>
          <w:tcPr>
            <w:tcW w:w="2770" w:type="pct"/>
            <w:vAlign w:val="center"/>
          </w:tcPr>
          <w:p w14:paraId="6C810FEA">
            <w:pPr>
              <w:widowControl/>
              <w:spacing w:line="276" w:lineRule="auto"/>
              <w:jc w:val="center"/>
              <w:rPr>
                <w:rFonts w:ascii="宋体" w:hAnsi="宋体" w:cs="宋体"/>
                <w:color w:val="000000"/>
                <w:szCs w:val="21"/>
              </w:rPr>
            </w:pPr>
            <w:r>
              <w:rPr>
                <w:rFonts w:hint="eastAsia" w:ascii="宋体" w:hAnsi="宋体" w:cs="宋体"/>
                <w:color w:val="000000"/>
                <w:szCs w:val="21"/>
              </w:rPr>
              <w:t>指标要求</w:t>
            </w:r>
          </w:p>
        </w:tc>
        <w:tc>
          <w:tcPr>
            <w:tcW w:w="884" w:type="pct"/>
            <w:vAlign w:val="center"/>
          </w:tcPr>
          <w:p w14:paraId="654A7987">
            <w:pPr>
              <w:widowControl/>
              <w:spacing w:line="276" w:lineRule="auto"/>
              <w:jc w:val="center"/>
              <w:rPr>
                <w:rFonts w:ascii="宋体" w:hAnsi="宋体" w:cs="宋体"/>
                <w:color w:val="000000"/>
                <w:szCs w:val="21"/>
              </w:rPr>
            </w:pPr>
            <w:r>
              <w:rPr>
                <w:rFonts w:hint="eastAsia" w:ascii="宋体" w:hAnsi="宋体" w:cs="宋体"/>
                <w:color w:val="000000"/>
                <w:szCs w:val="21"/>
              </w:rPr>
              <w:t>需提供证明材料要求</w:t>
            </w:r>
          </w:p>
        </w:tc>
      </w:tr>
      <w:tr w14:paraId="1653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B45419C">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1</w:t>
            </w:r>
          </w:p>
        </w:tc>
        <w:tc>
          <w:tcPr>
            <w:tcW w:w="599" w:type="pct"/>
            <w:vAlign w:val="center"/>
          </w:tcPr>
          <w:p w14:paraId="2DE6385A">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知识产权检索分析软件</w:t>
            </w:r>
          </w:p>
        </w:tc>
        <w:tc>
          <w:tcPr>
            <w:tcW w:w="375" w:type="pct"/>
            <w:vAlign w:val="center"/>
          </w:tcPr>
          <w:p w14:paraId="496A9EE9">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vAlign w:val="center"/>
          </w:tcPr>
          <w:p w14:paraId="760B10E2">
            <w:pP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知识产权检索分析软件：提供专利、商标、版权、标准等知识产权数据检索功能。</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要求：1、根据检索结果自动生成分析报告；2、智能推送关联案件、系列申请；3、支持构建知识产权专题数据库；4、自动跟踪重点申请人、发明人；5、自动推送不同算法检索结果等。</w:t>
            </w:r>
          </w:p>
          <w:p w14:paraId="219392BC">
            <w:pPr>
              <w:rPr>
                <w:rFonts w:ascii="宋体" w:hAnsi="宋体" w:cs="宋体"/>
                <w:color w:val="000000" w:themeColor="text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一、具体包含：</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1.创新数据矩阵：全球专利、标准、商标数据库、全量裁判文书、裁判规则、行政处罚文书数据、商标行政文书数据、专利口审及复审数据、创新主体工商信息、地理标志等信息；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2.合规数据矩阵：全国工商主体及海外上市企业数据、全领域立案至结案阶段关键数据、投资、诉讼、行业整合性数据。</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3.重点数据库功能及数据标准：</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1)裁判文书库：收录150万篇+全量中国知识产权司法裁判文书，每日新增入库1500+，通过智能拆解重点维度、结构化文书段落，实现140+标签高级检索及可视化统计分析。</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裁判规则库：基于对历年中国知识产权司法裁判指导案例、典型案例裁判要旨的归纳总结，整理出1000条+裁判规则，借此对现有知识产权成文法规范予以解释、细化或者补充，便于读者在此基础上进行理论研究和实务运用。</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3)行政程序类文书数据库：收录122万篇+全量商标评审文书、每日新增入库800篇+高度结构化标签20个；收录21万篇+专利复审、专利无效数据、每日新增入库200篇+、高度结构化标签16个。</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4)全球商标数据库：囊括1.4亿+全球主要国家商标数据，支持文字及图片多种方式查询，针对目标商标实时监控，实现侵权自查或风险预警。</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5)地理标志数据库：包含1万+中国地理标志信息，支持多维度高级检索，地图可视化各地区地理标志商标保护情况。</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6)全球专利数据库：囊括1.5亿+全球专利数据、45万+全球标准必要专利数据，通过高精度语义检索，理解识别专利文本信息，整理加工130+检索分析字段，自动获取分析专利质量度、侵权风险及相关专利等。</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7)信息公告类数据库：分别汇总专利无效口审数据、知产相关开庭公告、知产相关行政处罚文书、知产相关舆情资讯、知识产权与反不正当竞争有关法律法规及司法解释。</w:t>
            </w:r>
          </w:p>
          <w:p w14:paraId="3570E7AD">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二、专利数据检索分析具体指标</w:t>
            </w:r>
          </w:p>
          <w:p w14:paraId="4774A639">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1、检索质量指标：查全率≥95%,抽样验证法（选取10个技术领域，对比已知专利集合）；查准率≥90%,随机抽样200条人工判读；</w:t>
            </w:r>
          </w:p>
          <w:p w14:paraId="6119B265">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2、数据覆盖指标：专利文献收录,发明专利数据量≥1.5亿条，提供数据源清单及更新日志；提供全球专利检索和PCT专利检索，国家/地区覆盖,覆盖国家/地区数量≥170个（含主要工业国）,列出具体国家清单；</w:t>
            </w:r>
          </w:p>
          <w:p w14:paraId="31DDB6CB">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3、数据时效性指标：更新周期≤5个工作日（公开后）</w:t>
            </w:r>
          </w:p>
          <w:p w14:paraId="21BA4504">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4、数据完整性指标：字段完整率,标题/摘要完整率≥99%</w:t>
            </w:r>
          </w:p>
          <w:p w14:paraId="01F677EF">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5、检索分析功能指标：兼容AND、OR、NOT、NEAR等多种布尔逻辑运算符，支持前、后、中间三类通配符截断检索，可实现IPC、CPC、FI/FT 等多类专利分类号检索，同时搭载语义 AI 检索模块，具备自然语言语义检索与相似专利推荐能力；分析层面可自动生成技术功效矩阵，整套检索与分析功能完备，可满足专利信息查询、智能匹配及专业数据分析的使用需求。</w:t>
            </w:r>
          </w:p>
          <w:p w14:paraId="40D4A330">
            <w:pPr>
              <w:widowControl/>
              <w:spacing w:line="276" w:lineRule="auto"/>
              <w:jc w:val="left"/>
              <w:textAlignment w:val="center"/>
              <w:rPr>
                <w:rFonts w:ascii="宋体" w:hAnsi="宋体" w:cs="宋体"/>
                <w:szCs w:val="21"/>
              </w:rPr>
            </w:pPr>
          </w:p>
        </w:tc>
        <w:tc>
          <w:tcPr>
            <w:tcW w:w="884" w:type="pct"/>
            <w:vAlign w:val="center"/>
          </w:tcPr>
          <w:p w14:paraId="091E930E">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1FBDFE2D">
            <w:pPr>
              <w:widowControl/>
              <w:spacing w:line="276" w:lineRule="auto"/>
              <w:rPr>
                <w:rFonts w:ascii="宋体" w:hAnsi="宋体" w:cs="宋体"/>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75C2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Merge w:val="restart"/>
            <w:vAlign w:val="center"/>
          </w:tcPr>
          <w:p w14:paraId="5A15D727">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2</w:t>
            </w:r>
          </w:p>
        </w:tc>
        <w:tc>
          <w:tcPr>
            <w:tcW w:w="599" w:type="pct"/>
            <w:vMerge w:val="restart"/>
            <w:vAlign w:val="center"/>
          </w:tcPr>
          <w:p w14:paraId="0C73425C">
            <w:pPr>
              <w:widowControl/>
              <w:spacing w:line="276" w:lineRule="auto"/>
              <w:jc w:val="center"/>
              <w:rPr>
                <w:rFonts w:ascii="宋体" w:hAnsi="宋体" w:cs="宋体"/>
                <w:szCs w:val="21"/>
              </w:rPr>
            </w:pPr>
            <w:r>
              <w:rPr>
                <w:rFonts w:hint="eastAsia" w:ascii="宋体" w:hAnsi="宋体" w:cs="宋体"/>
                <w:color w:val="000000" w:themeColor="text1"/>
                <w:szCs w:val="21"/>
                <w14:textFill>
                  <w14:solidFill>
                    <w14:schemeClr w14:val="tx1"/>
                  </w14:solidFill>
                </w14:textFill>
              </w:rPr>
              <w:t>法律机器人</w:t>
            </w:r>
          </w:p>
        </w:tc>
        <w:tc>
          <w:tcPr>
            <w:tcW w:w="375" w:type="pct"/>
            <w:vAlign w:val="center"/>
          </w:tcPr>
          <w:p w14:paraId="454D6E00">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p w14:paraId="0297C3ED">
            <w:pPr>
              <w:widowControl/>
              <w:spacing w:line="276" w:lineRule="auto"/>
              <w:jc w:val="center"/>
              <w:rPr>
                <w:rFonts w:ascii="宋体" w:hAnsi="宋体" w:cs="宋体"/>
                <w:szCs w:val="21"/>
              </w:rPr>
            </w:pPr>
            <w:r>
              <w:rPr>
                <w:rFonts w:hint="eastAsia" w:ascii="宋体" w:hAnsi="宋体" w:cs="宋体"/>
                <w:snapToGrid w:val="0"/>
                <w:color w:val="000000" w:themeColor="text1"/>
                <w:kern w:val="0"/>
                <w:szCs w:val="21"/>
                <w:lang w:val="zh-CN"/>
                <w14:textFill>
                  <w14:solidFill>
                    <w14:schemeClr w14:val="tx1"/>
                  </w14:solidFill>
                </w14:textFill>
              </w:rPr>
              <w:t>关键指标</w:t>
            </w:r>
          </w:p>
        </w:tc>
        <w:tc>
          <w:tcPr>
            <w:tcW w:w="2770" w:type="pct"/>
            <w:vAlign w:val="center"/>
          </w:tcPr>
          <w:p w14:paraId="58585094">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数量：≥2；</w:t>
            </w:r>
          </w:p>
          <w:p w14:paraId="048B7509">
            <w:pPr>
              <w:pStyle w:val="94"/>
              <w:spacing w:line="276" w:lineRule="auto"/>
            </w:pPr>
            <w:r>
              <w:rPr>
                <w:rFonts w:hint="eastAsia"/>
                <w:color w:val="000000" w:themeColor="text1"/>
                <w14:textFill>
                  <w14:solidFill>
                    <w14:schemeClr w14:val="tx1"/>
                  </w14:solidFill>
                </w14:textFill>
              </w:rPr>
              <w:t>问答定制平台：可定制学院自己的问答数据库，扩充特色学科专业问答。</w:t>
            </w:r>
          </w:p>
        </w:tc>
        <w:tc>
          <w:tcPr>
            <w:tcW w:w="884" w:type="pct"/>
            <w:vAlign w:val="center"/>
          </w:tcPr>
          <w:p w14:paraId="54765A52">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5587CAB1">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6074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Merge w:val="continue"/>
            <w:vAlign w:val="center"/>
          </w:tcPr>
          <w:p w14:paraId="66071BC8">
            <w:pPr>
              <w:spacing w:line="276" w:lineRule="auto"/>
              <w:jc w:val="center"/>
              <w:rPr>
                <w:rFonts w:ascii="宋体" w:hAnsi="宋体" w:cs="宋体"/>
                <w:color w:val="000000" w:themeColor="text1"/>
                <w:szCs w:val="21"/>
                <w14:textFill>
                  <w14:solidFill>
                    <w14:schemeClr w14:val="tx1"/>
                  </w14:solidFill>
                </w14:textFill>
              </w:rPr>
            </w:pPr>
          </w:p>
        </w:tc>
        <w:tc>
          <w:tcPr>
            <w:tcW w:w="599" w:type="pct"/>
            <w:vMerge w:val="continue"/>
            <w:vAlign w:val="center"/>
          </w:tcPr>
          <w:p w14:paraId="39C1C53D">
            <w:pPr>
              <w:widowControl/>
              <w:spacing w:line="276" w:lineRule="auto"/>
              <w:jc w:val="center"/>
              <w:rPr>
                <w:rFonts w:ascii="宋体" w:hAnsi="宋体" w:cs="宋体"/>
                <w:color w:val="000000" w:themeColor="text1"/>
                <w:szCs w:val="21"/>
                <w14:textFill>
                  <w14:solidFill>
                    <w14:schemeClr w14:val="tx1"/>
                  </w14:solidFill>
                </w14:textFill>
              </w:rPr>
            </w:pPr>
          </w:p>
        </w:tc>
        <w:tc>
          <w:tcPr>
            <w:tcW w:w="375" w:type="pct"/>
            <w:vAlign w:val="center"/>
          </w:tcPr>
          <w:p w14:paraId="59B8791E">
            <w:pPr>
              <w:widowControl/>
              <w:spacing w:line="276" w:lineRule="auto"/>
              <w:jc w:val="center"/>
              <w:rPr>
                <w:rFonts w:ascii="宋体" w:hAnsi="宋体" w:cs="宋体"/>
                <w:color w:val="000000" w:themeColor="text1"/>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#重要指标</w:t>
            </w:r>
          </w:p>
        </w:tc>
        <w:tc>
          <w:tcPr>
            <w:tcW w:w="2770" w:type="pct"/>
            <w:vAlign w:val="center"/>
          </w:tcPr>
          <w:p w14:paraId="4E27A0F3">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显示屏：≥27英寸，像素分辨率≥1080×1920；</w:t>
            </w:r>
          </w:p>
          <w:p w14:paraId="61566C82">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导航系统：至少配备：激光雷达、视觉定位、视觉避障、里程计、惯性制导；</w:t>
            </w:r>
          </w:p>
          <w:p w14:paraId="4B8D9616">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网络：至少支持：WiFi、4G-LTE；</w:t>
            </w:r>
          </w:p>
          <w:p w14:paraId="11C3A230">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续航时间：≥8小时（连续移动）；≥12小时（静态待机）</w:t>
            </w:r>
          </w:p>
          <w:p w14:paraId="1931B6E6">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充电时间：≤5小时；</w:t>
            </w:r>
          </w:p>
          <w:p w14:paraId="23425685">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人脸识别：对指定人员，可以叫出称谓并打招呼；</w:t>
            </w:r>
          </w:p>
          <w:p w14:paraId="42FDF24D">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大厅接待、指引功能：应能引领当事人到达指定区域，主动避障，持续保持互动；</w:t>
            </w:r>
          </w:p>
          <w:p w14:paraId="2345407A">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主动问询：有主动问询功能，支持3米识人并主动上前问询或导引分；</w:t>
            </w:r>
          </w:p>
          <w:p w14:paraId="32C74D41">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巡逻播报：可边巡逻边播报学院相关信息；看到人就停下来进入互动模式，人走之后继续巡逻；</w:t>
            </w:r>
          </w:p>
          <w:p w14:paraId="7A5F9E05">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远程控制：可通过手机、电脑远程控制机器人，还能视频通话；</w:t>
            </w:r>
          </w:p>
          <w:p w14:paraId="3145426E">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自主学习功能：问答过程中具有自主学习能力，能在长期使用过程中自动优化并提高回答的精准率；</w:t>
            </w:r>
          </w:p>
          <w:p w14:paraId="491243A9">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数据运营及远程升级：定期自动整理并输出后台数据报告，系统实现远程升级与功能维护；</w:t>
            </w:r>
          </w:p>
          <w:p w14:paraId="5CBA9218">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智能法律咨询系统：通过法律自然语言技术识别咨询者的问题，理解其法律诉求，通过法律知识图谱智能映射组成的专业解答，通过当事人多轮咨询，能够回答不少于30万个法律实体问题，20万个程序问题，案由领域覆盖不少于500个，场景领域覆盖不少于300个。</w:t>
            </w:r>
          </w:p>
          <w:p w14:paraId="7C838B8A">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精编案例系统：能基于司法案例库，智能识别用户问题，智能推送以往类似的案例；</w:t>
            </w:r>
          </w:p>
          <w:p w14:paraId="5D8D31C1">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法律法规查询：提供不少于：78</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部法律、110</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部行政法规，226</w:t>
            </w:r>
            <w:r>
              <w:rPr>
                <w:color w:val="000000" w:themeColor="text1"/>
                <w14:textFill>
                  <w14:solidFill>
                    <w14:schemeClr w14:val="tx1"/>
                  </w14:solidFill>
                </w14:textFill>
              </w:rPr>
              <w:t>00</w:t>
            </w:r>
            <w:r>
              <w:rPr>
                <w:rFonts w:hint="eastAsia"/>
                <w:color w:val="000000" w:themeColor="text1"/>
                <w14:textFill>
                  <w14:solidFill>
                    <w14:schemeClr w14:val="tx1"/>
                  </w14:solidFill>
                </w14:textFill>
              </w:rPr>
              <w:t>部地方性法规的检索查询；</w:t>
            </w:r>
          </w:p>
          <w:p w14:paraId="150B6A70">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文书模板下载：支持申请书等文书模版在线预览，支持不少于8000文书检索，扫码即可下载。</w:t>
            </w:r>
          </w:p>
        </w:tc>
        <w:tc>
          <w:tcPr>
            <w:tcW w:w="884" w:type="pct"/>
            <w:vAlign w:val="center"/>
          </w:tcPr>
          <w:p w14:paraId="09B9E66B">
            <w:pPr>
              <w:widowControl/>
              <w:spacing w:line="276" w:lineRule="auto"/>
              <w:jc w:val="center"/>
              <w:rPr>
                <w:rFonts w:ascii="宋体" w:hAnsi="宋体" w:cs="宋体"/>
                <w:snapToGrid w:val="0"/>
                <w:color w:val="000000" w:themeColor="text1"/>
                <w:kern w:val="0"/>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□无  ☑有，要求：</w:t>
            </w:r>
          </w:p>
          <w:p w14:paraId="71FF0BCC">
            <w:pPr>
              <w:widowControl/>
              <w:spacing w:line="276" w:lineRule="auto"/>
              <w:rPr>
                <w:rFonts w:ascii="宋体" w:hAnsi="宋体" w:cs="宋体"/>
                <w:color w:val="000000"/>
                <w:szCs w:val="21"/>
              </w:rPr>
            </w:pPr>
            <w:r>
              <w:rPr>
                <w:rFonts w:hint="eastAsia" w:ascii="宋体" w:hAnsi="宋体" w:cs="宋体"/>
                <w:bCs/>
                <w:color w:val="000000" w:themeColor="text1"/>
                <w:szCs w:val="21"/>
                <w14:textFill>
                  <w14:solidFill>
                    <w14:schemeClr w14:val="tx1"/>
                  </w14:solidFill>
                </w14:textFill>
              </w:rPr>
              <w:t>制造商官方网站截图或产品白皮书或第三方机构检测机构提供的检验报告</w:t>
            </w:r>
          </w:p>
        </w:tc>
      </w:tr>
      <w:tr w14:paraId="6C88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3B8EE257">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3</w:t>
            </w:r>
          </w:p>
        </w:tc>
        <w:tc>
          <w:tcPr>
            <w:tcW w:w="599" w:type="pct"/>
            <w:vAlign w:val="center"/>
          </w:tcPr>
          <w:p w14:paraId="1F87B32B">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空调/暖通</w:t>
            </w:r>
          </w:p>
        </w:tc>
        <w:tc>
          <w:tcPr>
            <w:tcW w:w="375" w:type="pct"/>
            <w:vAlign w:val="center"/>
          </w:tcPr>
          <w:p w14:paraId="52163B61">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vAlign w:val="center"/>
          </w:tcPr>
          <w:p w14:paraId="0F3CFE7F">
            <w:pPr>
              <w:pStyle w:val="94"/>
              <w:spacing w:line="276" w:lineRule="auto"/>
            </w:pPr>
            <w:r>
              <w:rPr>
                <w:rFonts w:hint="eastAsia"/>
                <w:color w:val="000000" w:themeColor="text1"/>
                <w14:textFill>
                  <w14:solidFill>
                    <w14:schemeClr w14:val="tx1"/>
                  </w14:solidFill>
                </w14:textFill>
              </w:rPr>
              <w:t>根据场景应用定制空调系统，制冷与供暖功率满足整个空间的需求，空调系统服务面积不少于215平方米，整体交付，包括不限于：设备运输、安装、调试及辅料等。</w:t>
            </w:r>
          </w:p>
        </w:tc>
        <w:tc>
          <w:tcPr>
            <w:tcW w:w="884" w:type="pct"/>
            <w:vAlign w:val="center"/>
          </w:tcPr>
          <w:p w14:paraId="25E2F94C">
            <w:pPr>
              <w:pStyle w:val="94"/>
              <w:spacing w:line="276"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□无  ☑有，要求：1、提供服务承诺；</w:t>
            </w:r>
          </w:p>
          <w:p w14:paraId="4A23B71C">
            <w:pPr>
              <w:pStyle w:val="94"/>
              <w:spacing w:line="276" w:lineRule="auto"/>
            </w:pPr>
            <w:r>
              <w:rPr>
                <w:rFonts w:hint="eastAsia"/>
                <w:color w:val="000000" w:themeColor="text1"/>
                <w14:textFill>
                  <w14:solidFill>
                    <w14:schemeClr w14:val="tx1"/>
                  </w14:solidFill>
                </w14:textFill>
              </w:rPr>
              <w:t>2.空调主机应提供有效期之内的节能产品认证证书。</w:t>
            </w:r>
          </w:p>
        </w:tc>
      </w:tr>
      <w:tr w14:paraId="7300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09D21EB2">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4</w:t>
            </w:r>
          </w:p>
        </w:tc>
        <w:tc>
          <w:tcPr>
            <w:tcW w:w="599" w:type="pct"/>
            <w:vAlign w:val="center"/>
          </w:tcPr>
          <w:p w14:paraId="5D2635D8">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新风系统</w:t>
            </w:r>
          </w:p>
        </w:tc>
        <w:tc>
          <w:tcPr>
            <w:tcW w:w="375" w:type="pct"/>
            <w:vAlign w:val="center"/>
          </w:tcPr>
          <w:p w14:paraId="1AA8D4F9">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tcPr>
          <w:p w14:paraId="046EE15A">
            <w:pPr>
              <w:widowControl/>
              <w:spacing w:line="276" w:lineRule="auto"/>
              <w:textAlignment w:val="top"/>
              <w:rPr>
                <w:rFonts w:ascii="宋体" w:hAnsi="宋体" w:cs="宋体"/>
                <w:szCs w:val="21"/>
              </w:rPr>
            </w:pPr>
            <w:r>
              <w:rPr>
                <w:rFonts w:hint="eastAsia" w:ascii="宋体" w:hAnsi="宋体" w:cs="宋体"/>
                <w:color w:val="000000" w:themeColor="text1"/>
                <w:szCs w:val="21"/>
                <w14:textFill>
                  <w14:solidFill>
                    <w14:schemeClr w14:val="tx1"/>
                  </w14:solidFill>
                </w14:textFill>
              </w:rPr>
              <w:t>根据场景应用定制空调系统</w:t>
            </w:r>
            <w:r>
              <w:rPr>
                <w:rFonts w:hint="eastAsia" w:ascii="宋体" w:hAnsi="宋体" w:cs="宋体"/>
                <w:color w:val="000000" w:themeColor="text1"/>
                <w:kern w:val="0"/>
                <w:szCs w:val="21"/>
                <w:lang w:bidi="ar"/>
                <w14:textFill>
                  <w14:solidFill>
                    <w14:schemeClr w14:val="tx1"/>
                  </w14:solidFill>
                </w14:textFill>
              </w:rPr>
              <w:t>，功率满足整个教学空间使用，</w:t>
            </w:r>
            <w:r>
              <w:rPr>
                <w:rFonts w:hint="eastAsia" w:ascii="宋体" w:hAnsi="宋体" w:cs="宋体"/>
                <w:color w:val="000000" w:themeColor="text1"/>
                <w:szCs w:val="21"/>
                <w14:textFill>
                  <w14:solidFill>
                    <w14:schemeClr w14:val="tx1"/>
                  </w14:solidFill>
                </w14:textFill>
              </w:rPr>
              <w:t>服务面积不少于215平方米，整体交付，包括不限于：设备运输、安装、调试及辅料等。</w:t>
            </w:r>
          </w:p>
        </w:tc>
        <w:tc>
          <w:tcPr>
            <w:tcW w:w="884" w:type="pct"/>
            <w:vAlign w:val="center"/>
          </w:tcPr>
          <w:p w14:paraId="0D7266C0">
            <w:pPr>
              <w:widowControl/>
              <w:spacing w:line="276" w:lineRule="auto"/>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□无  ☑有，要求：提供服务承诺。</w:t>
            </w:r>
          </w:p>
        </w:tc>
      </w:tr>
      <w:tr w14:paraId="705AA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568BF122">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5</w:t>
            </w:r>
          </w:p>
        </w:tc>
        <w:tc>
          <w:tcPr>
            <w:tcW w:w="599" w:type="pct"/>
            <w:vAlign w:val="center"/>
          </w:tcPr>
          <w:p w14:paraId="643FAE8A">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配件及辅材</w:t>
            </w:r>
          </w:p>
        </w:tc>
        <w:tc>
          <w:tcPr>
            <w:tcW w:w="375" w:type="pct"/>
            <w:vAlign w:val="center"/>
          </w:tcPr>
          <w:p w14:paraId="601C7220">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tcPr>
          <w:p w14:paraId="01A0EE8F">
            <w:pPr>
              <w:widowControl/>
              <w:spacing w:line="276" w:lineRule="auto"/>
              <w:textAlignment w:val="top"/>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涵盖必要的网络布线（如网线、水晶头）、必要的电力布线（如电线、插座）、必要的音视频连接线（如HDMI线、音频线）、必要的安装固定（如音视频设备支架、线槽）相关材料等。</w:t>
            </w:r>
          </w:p>
        </w:tc>
        <w:tc>
          <w:tcPr>
            <w:tcW w:w="884" w:type="pct"/>
            <w:vAlign w:val="center"/>
          </w:tcPr>
          <w:p w14:paraId="468AC1DF">
            <w:pPr>
              <w:widowControl/>
              <w:spacing w:line="276" w:lineRule="auto"/>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☑无  □有，要求：</w:t>
            </w:r>
          </w:p>
        </w:tc>
      </w:tr>
      <w:tr w14:paraId="3E0D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A434D13">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6</w:t>
            </w:r>
          </w:p>
        </w:tc>
        <w:tc>
          <w:tcPr>
            <w:tcW w:w="599" w:type="pct"/>
            <w:vAlign w:val="center"/>
          </w:tcPr>
          <w:p w14:paraId="34982C26">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教室环境改造</w:t>
            </w:r>
          </w:p>
        </w:tc>
        <w:tc>
          <w:tcPr>
            <w:tcW w:w="375" w:type="pct"/>
            <w:vAlign w:val="center"/>
          </w:tcPr>
          <w:p w14:paraId="42FFD3BA">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vAlign w:val="center"/>
          </w:tcPr>
          <w:p w14:paraId="2307133C">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改造面积</w:t>
            </w:r>
            <w:r>
              <w:rPr>
                <w:rFonts w:hint="eastAsia" w:ascii="宋体" w:hAnsi="宋体" w:cs="宋体"/>
                <w:color w:val="000000" w:themeColor="text1"/>
                <w:szCs w:val="21"/>
                <w14:textFill>
                  <w14:solidFill>
                    <w14:schemeClr w14:val="tx1"/>
                  </w14:solidFill>
                </w14:textFill>
              </w:rPr>
              <w:t>不少于215平方米</w:t>
            </w:r>
          </w:p>
          <w:p w14:paraId="08B9B8D8">
            <w:pPr>
              <w:widowControl/>
              <w:spacing w:line="276" w:lineRule="auto"/>
              <w:jc w:val="left"/>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1.包含国标轻钢龙骨石膏贴面板隔墙；</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2.包含地面专用水泥基材料做地面找平,铺贴定制地毯；</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3.包含顶面照明布线,装饰照明设备安装.喷涂重色有机涂料；</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4.包含全景系统的强弱电布线；</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5.包含门及其他五金安装。</w:t>
            </w:r>
          </w:p>
        </w:tc>
        <w:tc>
          <w:tcPr>
            <w:tcW w:w="884" w:type="pct"/>
            <w:vAlign w:val="center"/>
          </w:tcPr>
          <w:p w14:paraId="18FCC463">
            <w:pPr>
              <w:widowControl/>
              <w:spacing w:line="276" w:lineRule="auto"/>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☑无  □有，要求：</w:t>
            </w:r>
          </w:p>
        </w:tc>
      </w:tr>
      <w:tr w14:paraId="0E253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2" w:type="pct"/>
            <w:vAlign w:val="center"/>
          </w:tcPr>
          <w:p w14:paraId="6F09245A">
            <w:pPr>
              <w:spacing w:line="276" w:lineRule="auto"/>
              <w:jc w:val="center"/>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7</w:t>
            </w:r>
          </w:p>
        </w:tc>
        <w:tc>
          <w:tcPr>
            <w:tcW w:w="599" w:type="pct"/>
            <w:vAlign w:val="center"/>
          </w:tcPr>
          <w:p w14:paraId="72CACA1D">
            <w:pPr>
              <w:widowControl/>
              <w:spacing w:line="276" w:lineRule="auto"/>
              <w:jc w:val="center"/>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走廊和大厅环境改造</w:t>
            </w:r>
          </w:p>
        </w:tc>
        <w:tc>
          <w:tcPr>
            <w:tcW w:w="375" w:type="pct"/>
            <w:vAlign w:val="center"/>
          </w:tcPr>
          <w:p w14:paraId="45ED02C8">
            <w:pPr>
              <w:widowControl/>
              <w:spacing w:line="276" w:lineRule="auto"/>
              <w:jc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重要指标</w:t>
            </w:r>
          </w:p>
        </w:tc>
        <w:tc>
          <w:tcPr>
            <w:tcW w:w="2770" w:type="pct"/>
            <w:vAlign w:val="center"/>
          </w:tcPr>
          <w:p w14:paraId="1BC0D397">
            <w:pPr>
              <w:widowControl/>
              <w:spacing w:line="276" w:lineRule="auto"/>
              <w:jc w:val="left"/>
              <w:textAlignment w:val="center"/>
              <w:rPr>
                <w:rFonts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改造面积</w:t>
            </w:r>
            <w:r>
              <w:rPr>
                <w:rFonts w:hint="eastAsia" w:ascii="宋体" w:hAnsi="宋体" w:cs="宋体"/>
                <w:color w:val="000000" w:themeColor="text1"/>
                <w:szCs w:val="21"/>
                <w14:textFill>
                  <w14:solidFill>
                    <w14:schemeClr w14:val="tx1"/>
                  </w14:solidFill>
                </w14:textFill>
              </w:rPr>
              <w:t>不少于300平方米</w:t>
            </w:r>
          </w:p>
          <w:p w14:paraId="09AFE627">
            <w:pPr>
              <w:widowControl/>
              <w:spacing w:line="276" w:lineRule="auto"/>
              <w:jc w:val="left"/>
              <w:textAlignment w:val="center"/>
              <w:rPr>
                <w:rFonts w:ascii="宋体" w:hAnsi="宋体" w:cs="宋体"/>
                <w:szCs w:val="21"/>
              </w:rPr>
            </w:pPr>
            <w:r>
              <w:rPr>
                <w:rFonts w:hint="eastAsia" w:ascii="宋体" w:hAnsi="宋体" w:cs="宋体"/>
                <w:color w:val="000000" w:themeColor="text1"/>
                <w:kern w:val="0"/>
                <w:szCs w:val="21"/>
                <w:lang w:bidi="ar"/>
                <w14:textFill>
                  <w14:solidFill>
                    <w14:schemeClr w14:val="tx1"/>
                  </w14:solidFill>
                </w14:textFill>
              </w:rPr>
              <w:t>1.包含国标轻钢龙骨石膏贴面板隔墙；</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2.包含地面专用水泥基材料做地面找平；</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3.包含顶面照明布线,装饰照明设备安装.喷涂重色有机涂料；</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4.包含全景系统的强弱电布线；</w:t>
            </w:r>
            <w:r>
              <w:rPr>
                <w:rFonts w:hint="eastAsia" w:ascii="宋体" w:hAnsi="宋体" w:cs="宋体"/>
                <w:color w:val="000000" w:themeColor="text1"/>
                <w:kern w:val="0"/>
                <w:szCs w:val="21"/>
                <w:lang w:bidi="ar"/>
                <w14:textFill>
                  <w14:solidFill>
                    <w14:schemeClr w14:val="tx1"/>
                  </w14:solidFill>
                </w14:textFill>
              </w:rPr>
              <w:br w:type="textWrapping"/>
            </w:r>
            <w:r>
              <w:rPr>
                <w:rFonts w:hint="eastAsia" w:ascii="宋体" w:hAnsi="宋体" w:cs="宋体"/>
                <w:color w:val="000000" w:themeColor="text1"/>
                <w:kern w:val="0"/>
                <w:szCs w:val="21"/>
                <w:lang w:bidi="ar"/>
                <w14:textFill>
                  <w14:solidFill>
                    <w14:schemeClr w14:val="tx1"/>
                  </w14:solidFill>
                </w14:textFill>
              </w:rPr>
              <w:t>5.包含门及其他五金安装。</w:t>
            </w:r>
          </w:p>
        </w:tc>
        <w:tc>
          <w:tcPr>
            <w:tcW w:w="884" w:type="pct"/>
            <w:vAlign w:val="center"/>
          </w:tcPr>
          <w:p w14:paraId="6E2AB976">
            <w:pPr>
              <w:widowControl/>
              <w:spacing w:line="276" w:lineRule="auto"/>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☑无  □有，要求：</w:t>
            </w:r>
          </w:p>
        </w:tc>
      </w:tr>
    </w:tbl>
    <w:p w14:paraId="43D82B95">
      <w:pPr>
        <w:widowControl/>
        <w:jc w:val="left"/>
        <w:rPr>
          <w:rFonts w:ascii="宋体" w:hAnsi="宋体" w:cs="宋体"/>
          <w:b/>
          <w:bCs/>
          <w:szCs w:val="21"/>
        </w:rPr>
      </w:pPr>
      <w:bookmarkStart w:id="50" w:name="OLE_LINK52"/>
    </w:p>
    <w:bookmarkEnd w:id="50"/>
    <w:p w14:paraId="4FC3DFB5">
      <w:pPr>
        <w:tabs>
          <w:tab w:val="center" w:pos="4153"/>
          <w:tab w:val="right" w:pos="8306"/>
        </w:tabs>
        <w:adjustRightInd w:val="0"/>
        <w:snapToGrid w:val="0"/>
        <w:spacing w:line="276" w:lineRule="auto"/>
        <w:textAlignment w:val="baseline"/>
        <w:outlineLvl w:val="1"/>
        <w:rPr>
          <w:rFonts w:ascii="宋体" w:hAnsi="宋体" w:cs="宋体"/>
          <w:b/>
          <w:szCs w:val="21"/>
        </w:rPr>
      </w:pPr>
      <w:bookmarkStart w:id="51" w:name="_Toc97815013"/>
      <w:r>
        <w:rPr>
          <w:rFonts w:hint="eastAsia" w:ascii="宋体" w:hAnsi="宋体" w:cs="宋体"/>
          <w:b/>
          <w:szCs w:val="21"/>
        </w:rPr>
        <w:t>三、商务要求</w:t>
      </w:r>
      <w:bookmarkEnd w:id="51"/>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310"/>
        <w:gridCol w:w="876"/>
        <w:gridCol w:w="6818"/>
      </w:tblGrid>
      <w:tr w14:paraId="13CD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577B8AFE">
            <w:pPr>
              <w:autoSpaceDE w:val="0"/>
              <w:autoSpaceDN w:val="0"/>
              <w:adjustRightInd w:val="0"/>
              <w:snapToGrid w:val="0"/>
              <w:spacing w:line="276" w:lineRule="auto"/>
              <w:jc w:val="center"/>
              <w:rPr>
                <w:rFonts w:ascii="宋体" w:hAnsi="宋体" w:cs="宋体"/>
                <w:b/>
                <w:snapToGrid w:val="0"/>
                <w:kern w:val="0"/>
                <w:szCs w:val="21"/>
                <w:lang w:val="zh-CN"/>
              </w:rPr>
            </w:pPr>
            <w:r>
              <w:rPr>
                <w:rFonts w:hint="eastAsia" w:ascii="宋体" w:hAnsi="宋体" w:cs="宋体"/>
                <w:b/>
                <w:snapToGrid w:val="0"/>
                <w:kern w:val="0"/>
                <w:szCs w:val="21"/>
                <w:lang w:val="zh-CN"/>
              </w:rPr>
              <w:t>序号</w:t>
            </w:r>
          </w:p>
        </w:tc>
        <w:tc>
          <w:tcPr>
            <w:tcW w:w="1280" w:type="dxa"/>
            <w:tcBorders>
              <w:top w:val="single" w:color="auto" w:sz="4" w:space="0"/>
              <w:left w:val="single" w:color="auto" w:sz="4" w:space="0"/>
              <w:bottom w:val="single" w:color="auto" w:sz="4" w:space="0"/>
              <w:right w:val="single" w:color="auto" w:sz="4" w:space="0"/>
            </w:tcBorders>
            <w:vAlign w:val="center"/>
          </w:tcPr>
          <w:p w14:paraId="399021D8">
            <w:pPr>
              <w:autoSpaceDE w:val="0"/>
              <w:autoSpaceDN w:val="0"/>
              <w:adjustRightInd w:val="0"/>
              <w:snapToGrid w:val="0"/>
              <w:spacing w:line="276" w:lineRule="auto"/>
              <w:jc w:val="center"/>
              <w:rPr>
                <w:rFonts w:ascii="宋体" w:hAnsi="宋体" w:cs="宋体"/>
                <w:b/>
                <w:snapToGrid w:val="0"/>
                <w:kern w:val="0"/>
                <w:szCs w:val="21"/>
                <w:lang w:val="zh-CN"/>
              </w:rPr>
            </w:pPr>
            <w:r>
              <w:rPr>
                <w:rFonts w:hint="eastAsia" w:ascii="宋体" w:hAnsi="宋体" w:cs="宋体"/>
                <w:b/>
                <w:snapToGrid w:val="0"/>
                <w:kern w:val="0"/>
                <w:szCs w:val="21"/>
                <w:lang w:val="zh-CN"/>
              </w:rPr>
              <w:t>指标项</w:t>
            </w:r>
          </w:p>
        </w:tc>
        <w:tc>
          <w:tcPr>
            <w:tcW w:w="856" w:type="dxa"/>
            <w:tcBorders>
              <w:top w:val="single" w:color="auto" w:sz="4" w:space="0"/>
              <w:left w:val="single" w:color="auto" w:sz="4" w:space="0"/>
              <w:bottom w:val="single" w:color="auto" w:sz="4" w:space="0"/>
              <w:right w:val="single" w:color="auto" w:sz="4" w:space="0"/>
            </w:tcBorders>
            <w:vAlign w:val="center"/>
          </w:tcPr>
          <w:p w14:paraId="696F20B3">
            <w:pPr>
              <w:autoSpaceDE w:val="0"/>
              <w:autoSpaceDN w:val="0"/>
              <w:adjustRightInd w:val="0"/>
              <w:snapToGrid w:val="0"/>
              <w:spacing w:line="276" w:lineRule="auto"/>
              <w:jc w:val="center"/>
              <w:rPr>
                <w:rFonts w:ascii="宋体" w:hAnsi="宋体" w:cs="宋体"/>
                <w:b/>
                <w:snapToGrid w:val="0"/>
                <w:kern w:val="0"/>
                <w:szCs w:val="21"/>
                <w:lang w:val="zh-CN"/>
              </w:rPr>
            </w:pPr>
            <w:r>
              <w:rPr>
                <w:rFonts w:hint="eastAsia" w:ascii="宋体" w:hAnsi="宋体" w:cs="宋体"/>
                <w:b/>
                <w:snapToGrid w:val="0"/>
                <w:kern w:val="0"/>
                <w:szCs w:val="21"/>
                <w:lang w:val="zh-CN"/>
              </w:rPr>
              <w:t>重要性</w:t>
            </w:r>
          </w:p>
        </w:tc>
        <w:tc>
          <w:tcPr>
            <w:tcW w:w="6659" w:type="dxa"/>
            <w:tcBorders>
              <w:top w:val="single" w:color="auto" w:sz="4" w:space="0"/>
              <w:left w:val="single" w:color="auto" w:sz="4" w:space="0"/>
              <w:bottom w:val="single" w:color="auto" w:sz="4" w:space="0"/>
              <w:right w:val="single" w:color="auto" w:sz="4" w:space="0"/>
            </w:tcBorders>
            <w:vAlign w:val="center"/>
          </w:tcPr>
          <w:p w14:paraId="67466CEF">
            <w:pPr>
              <w:autoSpaceDE w:val="0"/>
              <w:autoSpaceDN w:val="0"/>
              <w:adjustRightInd w:val="0"/>
              <w:snapToGrid w:val="0"/>
              <w:spacing w:line="276" w:lineRule="auto"/>
              <w:jc w:val="center"/>
              <w:rPr>
                <w:rFonts w:ascii="宋体" w:hAnsi="宋体" w:cs="宋体"/>
                <w:b/>
                <w:snapToGrid w:val="0"/>
                <w:kern w:val="0"/>
                <w:szCs w:val="21"/>
                <w:lang w:val="zh-CN"/>
              </w:rPr>
            </w:pPr>
            <w:r>
              <w:rPr>
                <w:rFonts w:hint="eastAsia" w:ascii="宋体" w:hAnsi="宋体" w:cs="宋体"/>
                <w:b/>
                <w:snapToGrid w:val="0"/>
                <w:kern w:val="0"/>
                <w:szCs w:val="21"/>
                <w:lang w:val="zh-CN"/>
              </w:rPr>
              <w:t>指标要求</w:t>
            </w:r>
          </w:p>
        </w:tc>
      </w:tr>
      <w:tr w14:paraId="7FA21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6021D661">
            <w:pPr>
              <w:widowControl/>
              <w:spacing w:line="276" w:lineRule="auto"/>
              <w:jc w:val="center"/>
              <w:rPr>
                <w:rFonts w:ascii="宋体" w:hAnsi="宋体" w:cs="宋体"/>
                <w:snapToGrid w:val="0"/>
                <w:kern w:val="0"/>
                <w:szCs w:val="21"/>
                <w:lang w:val="zh-CN"/>
              </w:rPr>
            </w:pPr>
            <w:r>
              <w:rPr>
                <w:rFonts w:hint="eastAsia" w:ascii="宋体" w:hAnsi="宋体"/>
                <w:szCs w:val="21"/>
                <w:lang w:val="zh-CN"/>
              </w:rPr>
              <w:t>1</w:t>
            </w:r>
          </w:p>
        </w:tc>
        <w:tc>
          <w:tcPr>
            <w:tcW w:w="1280" w:type="dxa"/>
            <w:tcBorders>
              <w:top w:val="single" w:color="auto" w:sz="4" w:space="0"/>
              <w:left w:val="single" w:color="auto" w:sz="4" w:space="0"/>
              <w:bottom w:val="single" w:color="auto" w:sz="4" w:space="0"/>
              <w:right w:val="single" w:color="auto" w:sz="4" w:space="0"/>
            </w:tcBorders>
            <w:vAlign w:val="center"/>
          </w:tcPr>
          <w:p w14:paraId="0D2A42B9">
            <w:pPr>
              <w:widowControl/>
              <w:spacing w:line="276" w:lineRule="auto"/>
              <w:jc w:val="center"/>
              <w:rPr>
                <w:rFonts w:ascii="宋体" w:hAnsi="宋体" w:cs="宋体"/>
                <w:snapToGrid w:val="0"/>
                <w:kern w:val="0"/>
                <w:szCs w:val="21"/>
              </w:rPr>
            </w:pPr>
            <w:r>
              <w:rPr>
                <w:rFonts w:hint="eastAsia" w:ascii="宋体" w:hAnsi="宋体" w:cs="宋体"/>
                <w:snapToGrid w:val="0"/>
                <w:kern w:val="0"/>
                <w:szCs w:val="21"/>
              </w:rPr>
              <w:t>交货期</w:t>
            </w:r>
          </w:p>
        </w:tc>
        <w:tc>
          <w:tcPr>
            <w:tcW w:w="856" w:type="dxa"/>
            <w:tcBorders>
              <w:top w:val="single" w:color="auto" w:sz="4" w:space="0"/>
              <w:left w:val="single" w:color="auto" w:sz="4" w:space="0"/>
              <w:bottom w:val="single" w:color="auto" w:sz="4" w:space="0"/>
              <w:right w:val="single" w:color="auto" w:sz="4" w:space="0"/>
            </w:tcBorders>
            <w:vAlign w:val="center"/>
          </w:tcPr>
          <w:p w14:paraId="294E73DF">
            <w:pPr>
              <w:widowControl/>
              <w:spacing w:line="276" w:lineRule="auto"/>
              <w:jc w:val="center"/>
              <w:rPr>
                <w:rFonts w:ascii="宋体" w:hAnsi="宋体" w:cs="宋体"/>
                <w:snapToGrid w:val="0"/>
                <w:kern w:val="0"/>
                <w:szCs w:val="21"/>
                <w:lang w:val="zh-CN"/>
              </w:rPr>
            </w:pPr>
            <w:r>
              <w:rPr>
                <w:rFonts w:hint="eastAsia" w:ascii="宋体" w:hAnsi="宋体"/>
                <w:szCs w:val="21"/>
                <w:lang w:val="zh-CN"/>
              </w:rPr>
              <w:t>★</w:t>
            </w:r>
          </w:p>
        </w:tc>
        <w:tc>
          <w:tcPr>
            <w:tcW w:w="6659" w:type="dxa"/>
            <w:tcBorders>
              <w:top w:val="single" w:color="auto" w:sz="4" w:space="0"/>
              <w:left w:val="single" w:color="auto" w:sz="4" w:space="0"/>
              <w:bottom w:val="single" w:color="auto" w:sz="4" w:space="0"/>
              <w:right w:val="single" w:color="auto" w:sz="4" w:space="0"/>
            </w:tcBorders>
            <w:vAlign w:val="center"/>
          </w:tcPr>
          <w:p w14:paraId="7E2C2C08">
            <w:pPr>
              <w:widowControl/>
              <w:spacing w:line="276" w:lineRule="auto"/>
              <w:jc w:val="left"/>
              <w:rPr>
                <w:rFonts w:ascii="宋体" w:hAnsi="宋体"/>
                <w:szCs w:val="21"/>
              </w:rPr>
            </w:pPr>
            <w:r>
              <w:rPr>
                <w:rFonts w:hint="eastAsia" w:ascii="宋体" w:hAnsi="宋体"/>
                <w:color w:val="000000" w:themeColor="text1"/>
                <w:szCs w:val="21"/>
                <w14:textFill>
                  <w14:solidFill>
                    <w14:schemeClr w14:val="tx1"/>
                  </w14:solidFill>
                </w14:textFill>
              </w:rPr>
              <w:t>合同签订后40个工作日内完成交货、安装、调试，实现正常运行。</w:t>
            </w:r>
          </w:p>
        </w:tc>
      </w:tr>
      <w:tr w14:paraId="77E0C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89A9D84">
            <w:pPr>
              <w:widowControl/>
              <w:spacing w:line="276" w:lineRule="auto"/>
              <w:jc w:val="center"/>
              <w:rPr>
                <w:rFonts w:ascii="宋体" w:hAnsi="宋体" w:cs="宋体"/>
                <w:snapToGrid w:val="0"/>
                <w:kern w:val="0"/>
                <w:szCs w:val="21"/>
                <w:lang w:val="zh-CN"/>
              </w:rPr>
            </w:pPr>
            <w:r>
              <w:rPr>
                <w:rFonts w:hint="eastAsia" w:ascii="宋体" w:hAnsi="宋体"/>
                <w:szCs w:val="21"/>
              </w:rPr>
              <w:t>2</w:t>
            </w:r>
          </w:p>
        </w:tc>
        <w:tc>
          <w:tcPr>
            <w:tcW w:w="1280" w:type="dxa"/>
            <w:tcBorders>
              <w:top w:val="single" w:color="auto" w:sz="4" w:space="0"/>
              <w:left w:val="single" w:color="auto" w:sz="4" w:space="0"/>
              <w:bottom w:val="single" w:color="auto" w:sz="4" w:space="0"/>
              <w:right w:val="single" w:color="auto" w:sz="4" w:space="0"/>
            </w:tcBorders>
            <w:vAlign w:val="center"/>
          </w:tcPr>
          <w:p w14:paraId="2E9988A0">
            <w:pPr>
              <w:widowControl/>
              <w:spacing w:line="276" w:lineRule="auto"/>
              <w:jc w:val="center"/>
              <w:rPr>
                <w:rFonts w:ascii="宋体" w:hAnsi="宋体" w:cs="宋体"/>
                <w:snapToGrid w:val="0"/>
                <w:kern w:val="0"/>
                <w:szCs w:val="21"/>
                <w:lang w:val="zh-CN"/>
              </w:rPr>
            </w:pPr>
            <w:r>
              <w:rPr>
                <w:rFonts w:hint="eastAsia" w:ascii="宋体" w:hAnsi="宋体"/>
                <w:szCs w:val="21"/>
                <w:lang w:val="zh-CN"/>
              </w:rPr>
              <w:t>质保期</w:t>
            </w:r>
          </w:p>
        </w:tc>
        <w:tc>
          <w:tcPr>
            <w:tcW w:w="856" w:type="dxa"/>
            <w:tcBorders>
              <w:top w:val="single" w:color="auto" w:sz="4" w:space="0"/>
              <w:left w:val="single" w:color="auto" w:sz="4" w:space="0"/>
              <w:bottom w:val="single" w:color="auto" w:sz="4" w:space="0"/>
              <w:right w:val="single" w:color="auto" w:sz="4" w:space="0"/>
            </w:tcBorders>
            <w:vAlign w:val="center"/>
          </w:tcPr>
          <w:p w14:paraId="531B3A64">
            <w:pPr>
              <w:widowControl/>
              <w:spacing w:line="276" w:lineRule="auto"/>
              <w:jc w:val="center"/>
              <w:rPr>
                <w:rFonts w:ascii="宋体" w:hAnsi="宋体" w:cs="宋体"/>
                <w:snapToGrid w:val="0"/>
                <w:kern w:val="0"/>
                <w:szCs w:val="21"/>
                <w:lang w:val="zh-CN"/>
              </w:rPr>
            </w:pPr>
            <w:r>
              <w:rPr>
                <w:rFonts w:hint="eastAsia" w:ascii="宋体" w:hAnsi="宋体"/>
                <w:szCs w:val="21"/>
                <w:lang w:val="zh-CN"/>
              </w:rPr>
              <w:t>★</w:t>
            </w:r>
          </w:p>
        </w:tc>
        <w:tc>
          <w:tcPr>
            <w:tcW w:w="6659" w:type="dxa"/>
            <w:tcBorders>
              <w:top w:val="single" w:color="auto" w:sz="4" w:space="0"/>
              <w:left w:val="single" w:color="auto" w:sz="4" w:space="0"/>
              <w:bottom w:val="single" w:color="auto" w:sz="4" w:space="0"/>
              <w:right w:val="single" w:color="auto" w:sz="4" w:space="0"/>
            </w:tcBorders>
            <w:vAlign w:val="center"/>
          </w:tcPr>
          <w:p w14:paraId="35FE4D1B">
            <w:pPr>
              <w:widowControl/>
              <w:spacing w:line="276" w:lineRule="auto"/>
              <w:jc w:val="left"/>
              <w:rPr>
                <w:rFonts w:ascii="宋体" w:hAnsi="宋体" w:cs="宋体"/>
                <w:snapToGrid w:val="0"/>
                <w:kern w:val="0"/>
                <w:szCs w:val="21"/>
                <w:lang w:val="zh-CN"/>
              </w:rPr>
            </w:pPr>
            <w:r>
              <w:rPr>
                <w:rFonts w:hint="eastAsia" w:ascii="宋体" w:hAnsi="宋体"/>
                <w:color w:val="000000" w:themeColor="text1"/>
                <w:szCs w:val="21"/>
                <w14:textFill>
                  <w14:solidFill>
                    <w14:schemeClr w14:val="tx1"/>
                  </w14:solidFill>
                </w14:textFill>
              </w:rPr>
              <w:t>自验收合格之日起3年。</w:t>
            </w:r>
          </w:p>
        </w:tc>
      </w:tr>
      <w:tr w14:paraId="161C2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5DEF99B">
            <w:pPr>
              <w:widowControl/>
              <w:spacing w:line="276" w:lineRule="auto"/>
              <w:jc w:val="center"/>
              <w:rPr>
                <w:rFonts w:ascii="宋体" w:hAnsi="宋体" w:cs="宋体"/>
                <w:snapToGrid w:val="0"/>
                <w:kern w:val="0"/>
                <w:szCs w:val="21"/>
              </w:rPr>
            </w:pPr>
            <w:r>
              <w:rPr>
                <w:rFonts w:hint="eastAsia" w:ascii="宋体" w:hAnsi="宋体" w:cs="宋体"/>
                <w:snapToGrid w:val="0"/>
                <w:kern w:val="0"/>
                <w:szCs w:val="21"/>
              </w:rPr>
              <w:t>3</w:t>
            </w:r>
          </w:p>
        </w:tc>
        <w:tc>
          <w:tcPr>
            <w:tcW w:w="1280" w:type="dxa"/>
            <w:tcBorders>
              <w:top w:val="single" w:color="auto" w:sz="4" w:space="0"/>
              <w:left w:val="single" w:color="auto" w:sz="4" w:space="0"/>
              <w:bottom w:val="single" w:color="auto" w:sz="4" w:space="0"/>
              <w:right w:val="single" w:color="auto" w:sz="4" w:space="0"/>
            </w:tcBorders>
            <w:vAlign w:val="center"/>
          </w:tcPr>
          <w:p w14:paraId="561A5FC9">
            <w:pPr>
              <w:widowControl/>
              <w:spacing w:line="276" w:lineRule="auto"/>
              <w:jc w:val="center"/>
              <w:rPr>
                <w:rFonts w:ascii="宋体" w:hAnsi="宋体" w:cs="宋体"/>
                <w:snapToGrid w:val="0"/>
                <w:kern w:val="0"/>
                <w:szCs w:val="21"/>
                <w:lang w:val="zh-CN"/>
              </w:rPr>
            </w:pPr>
            <w:r>
              <w:rPr>
                <w:rFonts w:hint="eastAsia" w:ascii="宋体" w:hAnsi="宋体"/>
                <w:szCs w:val="21"/>
                <w:lang w:val="zh-CN"/>
              </w:rPr>
              <w:t>包装和运输</w:t>
            </w:r>
          </w:p>
        </w:tc>
        <w:tc>
          <w:tcPr>
            <w:tcW w:w="856" w:type="dxa"/>
            <w:tcBorders>
              <w:top w:val="single" w:color="auto" w:sz="4" w:space="0"/>
              <w:left w:val="single" w:color="auto" w:sz="4" w:space="0"/>
              <w:bottom w:val="single" w:color="auto" w:sz="4" w:space="0"/>
              <w:right w:val="single" w:color="auto" w:sz="4" w:space="0"/>
            </w:tcBorders>
            <w:vAlign w:val="center"/>
          </w:tcPr>
          <w:p w14:paraId="4CD98FDD">
            <w:pPr>
              <w:widowControl/>
              <w:spacing w:line="276" w:lineRule="auto"/>
              <w:jc w:val="center"/>
              <w:rPr>
                <w:rFonts w:ascii="宋体" w:hAnsi="宋体"/>
                <w:szCs w:val="21"/>
              </w:rPr>
            </w:pPr>
          </w:p>
        </w:tc>
        <w:tc>
          <w:tcPr>
            <w:tcW w:w="6659" w:type="dxa"/>
            <w:tcBorders>
              <w:top w:val="single" w:color="auto" w:sz="4" w:space="0"/>
              <w:left w:val="single" w:color="auto" w:sz="4" w:space="0"/>
              <w:bottom w:val="single" w:color="auto" w:sz="4" w:space="0"/>
              <w:right w:val="single" w:color="auto" w:sz="4" w:space="0"/>
            </w:tcBorders>
            <w:vAlign w:val="center"/>
          </w:tcPr>
          <w:p w14:paraId="759CA96A">
            <w:pPr>
              <w:widowControl/>
              <w:spacing w:line="276" w:lineRule="auto"/>
              <w:jc w:val="left"/>
              <w:rPr>
                <w:rFonts w:ascii="宋体" w:hAnsi="宋体"/>
                <w:szCs w:val="21"/>
                <w:lang w:val="en"/>
              </w:rPr>
            </w:pPr>
            <w:r>
              <w:rPr>
                <w:rFonts w:hint="eastAsia" w:ascii="宋体" w:hAnsi="宋体"/>
                <w:szCs w:val="21"/>
                <w:lang w:val="zh-CN"/>
              </w:rPr>
              <w:t>中标人所出售的全部货物均应按标准保护措施进行包装，这类包装应适应于远距离运输、防潮、防震、防锈和防野蛮装卸等要求，以确保货物安全无损地运抵指定现场。（若适用，需满足《关于印发〈商品包装政府采购需求标准（试行）〉、〈快递包装政府采购需求标准（试行）〉的通知》（财办库〔2020〕123号））</w:t>
            </w:r>
          </w:p>
        </w:tc>
      </w:tr>
      <w:tr w14:paraId="6653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51F890E7">
            <w:pPr>
              <w:widowControl/>
              <w:spacing w:line="276" w:lineRule="auto"/>
              <w:jc w:val="center"/>
              <w:rPr>
                <w:rFonts w:ascii="宋体" w:hAnsi="宋体" w:cs="宋体"/>
                <w:snapToGrid w:val="0"/>
                <w:kern w:val="0"/>
                <w:szCs w:val="21"/>
                <w:lang w:val="zh-CN"/>
              </w:rPr>
            </w:pPr>
            <w:r>
              <w:rPr>
                <w:rFonts w:hint="eastAsia" w:ascii="宋体" w:hAnsi="宋体" w:cs="宋体"/>
                <w:snapToGrid w:val="0"/>
                <w:kern w:val="0"/>
                <w:szCs w:val="21"/>
                <w:lang w:val="zh-CN"/>
              </w:rPr>
              <w:t>4</w:t>
            </w:r>
          </w:p>
        </w:tc>
        <w:tc>
          <w:tcPr>
            <w:tcW w:w="1280" w:type="dxa"/>
            <w:tcBorders>
              <w:top w:val="single" w:color="auto" w:sz="4" w:space="0"/>
              <w:left w:val="single" w:color="auto" w:sz="4" w:space="0"/>
              <w:bottom w:val="single" w:color="auto" w:sz="4" w:space="0"/>
              <w:right w:val="single" w:color="auto" w:sz="4" w:space="0"/>
            </w:tcBorders>
            <w:vAlign w:val="center"/>
          </w:tcPr>
          <w:p w14:paraId="47DBD791">
            <w:pPr>
              <w:widowControl/>
              <w:spacing w:line="276" w:lineRule="auto"/>
              <w:jc w:val="center"/>
              <w:rPr>
                <w:rFonts w:ascii="宋体" w:hAnsi="宋体" w:cs="宋体"/>
                <w:snapToGrid w:val="0"/>
                <w:kern w:val="0"/>
                <w:szCs w:val="21"/>
                <w:lang w:val="zh-CN"/>
              </w:rPr>
            </w:pPr>
            <w:r>
              <w:rPr>
                <w:rFonts w:hint="eastAsia" w:ascii="宋体" w:hAnsi="宋体" w:cs="宋体"/>
                <w:snapToGrid w:val="0"/>
                <w:kern w:val="0"/>
                <w:szCs w:val="21"/>
                <w:lang w:val="zh-CN"/>
              </w:rPr>
              <w:t>售后服务、</w:t>
            </w:r>
            <w:r>
              <w:rPr>
                <w:rFonts w:hint="eastAsia" w:ascii="宋体" w:hAnsi="宋体" w:cs="宋体"/>
                <w:snapToGrid w:val="0"/>
                <w:kern w:val="0"/>
                <w:szCs w:val="21"/>
                <w:lang w:val="en"/>
              </w:rPr>
              <w:t>升级更新、备品备件等</w:t>
            </w:r>
            <w:r>
              <w:rPr>
                <w:rFonts w:hint="eastAsia" w:ascii="宋体" w:hAnsi="宋体" w:cs="宋体"/>
                <w:snapToGrid w:val="0"/>
                <w:kern w:val="0"/>
                <w:szCs w:val="21"/>
                <w:lang w:val="zh-CN"/>
              </w:rPr>
              <w:t>要求</w:t>
            </w:r>
          </w:p>
        </w:tc>
        <w:tc>
          <w:tcPr>
            <w:tcW w:w="856" w:type="dxa"/>
            <w:tcBorders>
              <w:top w:val="single" w:color="auto" w:sz="4" w:space="0"/>
              <w:left w:val="single" w:color="auto" w:sz="4" w:space="0"/>
              <w:bottom w:val="single" w:color="auto" w:sz="4" w:space="0"/>
              <w:right w:val="single" w:color="auto" w:sz="4" w:space="0"/>
            </w:tcBorders>
            <w:vAlign w:val="center"/>
          </w:tcPr>
          <w:p w14:paraId="57E9B3DC">
            <w:pPr>
              <w:widowControl/>
              <w:autoSpaceDE w:val="0"/>
              <w:autoSpaceDN w:val="0"/>
              <w:adjustRightInd w:val="0"/>
              <w:snapToGrid w:val="0"/>
              <w:spacing w:line="276" w:lineRule="auto"/>
              <w:jc w:val="center"/>
              <w:rPr>
                <w:rFonts w:ascii="宋体" w:hAnsi="宋体" w:cs="宋体"/>
                <w:snapToGrid w:val="0"/>
                <w:kern w:val="0"/>
                <w:szCs w:val="21"/>
                <w:lang w:val="zh-CN"/>
              </w:rPr>
            </w:pPr>
          </w:p>
        </w:tc>
        <w:tc>
          <w:tcPr>
            <w:tcW w:w="6659" w:type="dxa"/>
            <w:tcBorders>
              <w:top w:val="single" w:color="auto" w:sz="4" w:space="0"/>
              <w:left w:val="single" w:color="auto" w:sz="4" w:space="0"/>
              <w:bottom w:val="single" w:color="auto" w:sz="4" w:space="0"/>
              <w:right w:val="single" w:color="auto" w:sz="4" w:space="0"/>
            </w:tcBorders>
            <w:vAlign w:val="center"/>
          </w:tcPr>
          <w:p w14:paraId="21FBBB1B">
            <w:pPr>
              <w:widowControl/>
              <w:spacing w:line="276" w:lineRule="auto"/>
              <w:rPr>
                <w:rFonts w:ascii="宋体" w:hAnsi="宋体"/>
                <w:szCs w:val="21"/>
                <w:lang w:val="zh-CN"/>
              </w:rPr>
            </w:pPr>
            <w:r>
              <w:rPr>
                <w:rFonts w:hint="eastAsia" w:ascii="宋体" w:hAnsi="宋体"/>
                <w:szCs w:val="21"/>
                <w:lang w:val="zh-CN"/>
              </w:rPr>
              <w:t>（1）所有硬件3年保修、所有软件3年保修升级、电话报修后2小时响应服务、24小时内排除故障。提供7*24小时远程技术支持服务，合同约定时间内对问题做出响应；远程无法解决的，合同约定时间内到达现场。</w:t>
            </w:r>
          </w:p>
          <w:p w14:paraId="5145BE78">
            <w:pPr>
              <w:widowControl/>
              <w:spacing w:line="276" w:lineRule="auto"/>
              <w:rPr>
                <w:rFonts w:ascii="宋体" w:hAnsi="宋体"/>
                <w:szCs w:val="21"/>
                <w:lang w:val="zh-CN"/>
              </w:rPr>
            </w:pPr>
            <w:r>
              <w:rPr>
                <w:rFonts w:hint="eastAsia" w:ascii="宋体" w:hAnsi="宋体"/>
                <w:szCs w:val="21"/>
                <w:lang w:val="zh-CN"/>
              </w:rPr>
              <w:t>（2）质保期内，在非人为因素情况下，一切维修换件保养费用和备品备件均由中标人提供，无条件提供系统维护、功能升级（如新增专利类型适配、案例更新）等技术支持；</w:t>
            </w:r>
          </w:p>
          <w:p w14:paraId="7BA8DC41">
            <w:pPr>
              <w:widowControl/>
              <w:spacing w:line="276" w:lineRule="auto"/>
              <w:rPr>
                <w:rFonts w:ascii="宋体" w:hAnsi="宋体"/>
                <w:szCs w:val="21"/>
                <w:lang w:val="zh-CN"/>
              </w:rPr>
            </w:pPr>
            <w:r>
              <w:rPr>
                <w:rFonts w:hint="eastAsia" w:ascii="宋体" w:hAnsi="宋体"/>
                <w:szCs w:val="21"/>
                <w:lang w:val="zh-CN"/>
              </w:rPr>
              <w:t>（3）质保期满后，中标人提供终身技术支持包括系统故障维修、新文物建模协助、接口扩展升级等，收取合理成本费用。</w:t>
            </w:r>
          </w:p>
          <w:p w14:paraId="3BA5E520">
            <w:pPr>
              <w:widowControl/>
              <w:spacing w:line="276" w:lineRule="auto"/>
              <w:rPr>
                <w:rFonts w:ascii="宋体" w:hAnsi="宋体" w:cs="宋体"/>
                <w:i/>
                <w:iCs/>
                <w:snapToGrid w:val="0"/>
                <w:kern w:val="0"/>
                <w:szCs w:val="21"/>
                <w:lang w:val="zh-CN"/>
              </w:rPr>
            </w:pPr>
            <w:r>
              <w:rPr>
                <w:rFonts w:hint="eastAsia" w:ascii="宋体" w:hAnsi="宋体"/>
                <w:szCs w:val="21"/>
                <w:lang w:val="zh-CN"/>
              </w:rPr>
              <w:t>（4）文档交付：提供完整技术文档，含系统设计说明书、文物模型参数表、数据库结构文档、管理员手册、用户操作手册（含操作视频）、课程模块使用指南；系统升级时同步提供补充文档。</w:t>
            </w:r>
          </w:p>
        </w:tc>
      </w:tr>
      <w:tr w14:paraId="6A099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7F2F4F1">
            <w:pPr>
              <w:widowControl/>
              <w:spacing w:line="276" w:lineRule="auto"/>
              <w:jc w:val="center"/>
              <w:rPr>
                <w:rFonts w:ascii="宋体" w:hAnsi="宋体" w:cs="宋体"/>
                <w:snapToGrid w:val="0"/>
                <w:kern w:val="0"/>
                <w:szCs w:val="21"/>
                <w:lang w:val="zh-CN"/>
              </w:rPr>
            </w:pPr>
            <w:r>
              <w:rPr>
                <w:rFonts w:hint="eastAsia" w:ascii="宋体" w:hAnsi="宋体"/>
                <w:szCs w:val="21"/>
              </w:rPr>
              <w:t>5</w:t>
            </w:r>
          </w:p>
        </w:tc>
        <w:tc>
          <w:tcPr>
            <w:tcW w:w="1280" w:type="dxa"/>
            <w:tcBorders>
              <w:top w:val="single" w:color="auto" w:sz="4" w:space="0"/>
              <w:left w:val="single" w:color="auto" w:sz="4" w:space="0"/>
              <w:bottom w:val="single" w:color="auto" w:sz="4" w:space="0"/>
              <w:right w:val="single" w:color="auto" w:sz="4" w:space="0"/>
            </w:tcBorders>
            <w:vAlign w:val="center"/>
          </w:tcPr>
          <w:p w14:paraId="7EAB80DD">
            <w:pPr>
              <w:widowControl/>
              <w:spacing w:line="276" w:lineRule="auto"/>
              <w:jc w:val="center"/>
              <w:rPr>
                <w:rFonts w:ascii="宋体" w:hAnsi="宋体" w:cs="宋体"/>
                <w:snapToGrid w:val="0"/>
                <w:kern w:val="0"/>
                <w:szCs w:val="21"/>
                <w:lang w:val="zh-CN"/>
              </w:rPr>
            </w:pPr>
            <w:r>
              <w:rPr>
                <w:rFonts w:hint="eastAsia" w:ascii="宋体" w:hAnsi="宋体"/>
                <w:szCs w:val="21"/>
                <w:lang w:val="zh-CN"/>
              </w:rPr>
              <w:t>培训</w:t>
            </w:r>
          </w:p>
        </w:tc>
        <w:tc>
          <w:tcPr>
            <w:tcW w:w="856" w:type="dxa"/>
            <w:tcBorders>
              <w:top w:val="single" w:color="auto" w:sz="4" w:space="0"/>
              <w:left w:val="single" w:color="auto" w:sz="4" w:space="0"/>
              <w:bottom w:val="single" w:color="auto" w:sz="4" w:space="0"/>
              <w:right w:val="single" w:color="auto" w:sz="4" w:space="0"/>
            </w:tcBorders>
            <w:vAlign w:val="center"/>
          </w:tcPr>
          <w:p w14:paraId="147B8AC9">
            <w:pPr>
              <w:widowControl/>
              <w:spacing w:line="276" w:lineRule="auto"/>
              <w:jc w:val="center"/>
              <w:rPr>
                <w:rFonts w:ascii="宋体" w:hAnsi="宋体" w:cs="宋体"/>
                <w:snapToGrid w:val="0"/>
                <w:kern w:val="0"/>
                <w:szCs w:val="21"/>
                <w:lang w:val="zh-CN"/>
              </w:rPr>
            </w:pPr>
          </w:p>
        </w:tc>
        <w:tc>
          <w:tcPr>
            <w:tcW w:w="6659" w:type="dxa"/>
            <w:tcBorders>
              <w:top w:val="single" w:color="auto" w:sz="4" w:space="0"/>
              <w:left w:val="single" w:color="auto" w:sz="4" w:space="0"/>
              <w:bottom w:val="single" w:color="auto" w:sz="4" w:space="0"/>
              <w:right w:val="single" w:color="auto" w:sz="4" w:space="0"/>
            </w:tcBorders>
            <w:vAlign w:val="center"/>
          </w:tcPr>
          <w:p w14:paraId="66EA5BFC">
            <w:pPr>
              <w:widowControl/>
              <w:spacing w:line="276" w:lineRule="auto"/>
              <w:jc w:val="left"/>
              <w:rPr>
                <w:rFonts w:ascii="宋体" w:hAnsi="宋体"/>
                <w:szCs w:val="21"/>
                <w:lang w:val="zh-CN"/>
              </w:rPr>
            </w:pPr>
            <w:r>
              <w:rPr>
                <w:rFonts w:hint="eastAsia" w:ascii="宋体" w:hAnsi="宋体"/>
                <w:szCs w:val="21"/>
                <w:lang w:val="zh-CN"/>
              </w:rPr>
              <w:t xml:space="preserve">（1）无条件提供主要设备（认证的）工程师安装配置等实操培训、系统使用和管理培训，场地、交通等与培训相关的费用均由中标人承担。 </w:t>
            </w:r>
          </w:p>
          <w:p w14:paraId="47D7B048">
            <w:pPr>
              <w:widowControl/>
              <w:spacing w:line="276" w:lineRule="auto"/>
              <w:jc w:val="left"/>
              <w:rPr>
                <w:rFonts w:ascii="宋体" w:hAnsi="宋体"/>
                <w:szCs w:val="21"/>
                <w:lang w:val="zh-CN"/>
              </w:rPr>
            </w:pPr>
            <w:r>
              <w:rPr>
                <w:rFonts w:hint="eastAsia" w:ascii="宋体" w:hAnsi="宋体"/>
                <w:szCs w:val="21"/>
                <w:lang w:val="zh-CN"/>
              </w:rPr>
              <w:t>（2）针对专利侵权软件（案例）开发无条件提供现场培训（分别针对教师、企业学员、司法工作人员），每次培训时长不少于4小时。</w:t>
            </w:r>
          </w:p>
          <w:p w14:paraId="14D27CC7">
            <w:pPr>
              <w:widowControl/>
              <w:spacing w:line="276" w:lineRule="auto"/>
              <w:jc w:val="left"/>
              <w:rPr>
                <w:rFonts w:ascii="宋体" w:hAnsi="宋体" w:cs="宋体"/>
                <w:snapToGrid w:val="0"/>
                <w:kern w:val="0"/>
                <w:szCs w:val="21"/>
                <w:lang w:val="zh-CN"/>
              </w:rPr>
            </w:pPr>
            <w:r>
              <w:rPr>
                <w:rFonts w:hint="eastAsia" w:ascii="宋体" w:hAnsi="宋体"/>
                <w:szCs w:val="21"/>
                <w:lang w:val="zh-CN"/>
              </w:rPr>
              <w:t>（3）针对法制史、法制文物展示（法律博物馆）无条件提供现场培训(面向博物馆工作人员、讲解员)，内容包括系统操作、模型管理、故障排查，确保工作人员熟练使用。</w:t>
            </w:r>
          </w:p>
        </w:tc>
      </w:tr>
      <w:tr w14:paraId="3FE4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CE7BBB5">
            <w:pPr>
              <w:widowControl/>
              <w:spacing w:line="276" w:lineRule="auto"/>
              <w:jc w:val="center"/>
              <w:rPr>
                <w:rFonts w:ascii="宋体" w:hAnsi="宋体" w:cs="宋体"/>
                <w:snapToGrid w:val="0"/>
                <w:kern w:val="0"/>
                <w:szCs w:val="21"/>
                <w:lang w:val="zh-CN"/>
              </w:rPr>
            </w:pPr>
            <w:r>
              <w:rPr>
                <w:rFonts w:hint="eastAsia" w:ascii="宋体" w:hAnsi="宋体"/>
                <w:szCs w:val="21"/>
              </w:rPr>
              <w:t>6</w:t>
            </w:r>
          </w:p>
        </w:tc>
        <w:tc>
          <w:tcPr>
            <w:tcW w:w="1280" w:type="dxa"/>
            <w:tcBorders>
              <w:top w:val="single" w:color="auto" w:sz="4" w:space="0"/>
              <w:left w:val="single" w:color="auto" w:sz="4" w:space="0"/>
              <w:bottom w:val="single" w:color="auto" w:sz="4" w:space="0"/>
              <w:right w:val="single" w:color="auto" w:sz="4" w:space="0"/>
            </w:tcBorders>
            <w:vAlign w:val="center"/>
          </w:tcPr>
          <w:p w14:paraId="3118BE56">
            <w:pPr>
              <w:widowControl/>
              <w:spacing w:line="276" w:lineRule="auto"/>
              <w:jc w:val="center"/>
              <w:rPr>
                <w:rFonts w:ascii="宋体" w:hAnsi="宋体" w:cs="宋体"/>
                <w:snapToGrid w:val="0"/>
                <w:kern w:val="0"/>
                <w:szCs w:val="21"/>
                <w:lang w:val="zh-CN"/>
              </w:rPr>
            </w:pPr>
            <w:r>
              <w:rPr>
                <w:rFonts w:hint="eastAsia" w:ascii="宋体" w:hAnsi="宋体"/>
                <w:szCs w:val="21"/>
                <w:lang w:val="zh-CN"/>
              </w:rPr>
              <w:t>验收标准</w:t>
            </w:r>
          </w:p>
        </w:tc>
        <w:tc>
          <w:tcPr>
            <w:tcW w:w="856" w:type="dxa"/>
            <w:tcBorders>
              <w:top w:val="single" w:color="auto" w:sz="4" w:space="0"/>
              <w:left w:val="single" w:color="auto" w:sz="4" w:space="0"/>
              <w:bottom w:val="single" w:color="auto" w:sz="4" w:space="0"/>
              <w:right w:val="single" w:color="auto" w:sz="4" w:space="0"/>
            </w:tcBorders>
            <w:vAlign w:val="center"/>
          </w:tcPr>
          <w:p w14:paraId="1D4AA9D5">
            <w:pPr>
              <w:widowControl/>
              <w:spacing w:line="276" w:lineRule="auto"/>
              <w:jc w:val="center"/>
              <w:rPr>
                <w:rFonts w:ascii="宋体" w:hAnsi="宋体" w:cs="宋体"/>
                <w:snapToGrid w:val="0"/>
                <w:kern w:val="0"/>
                <w:szCs w:val="21"/>
                <w:lang w:val="zh-CN"/>
              </w:rPr>
            </w:pPr>
          </w:p>
        </w:tc>
        <w:tc>
          <w:tcPr>
            <w:tcW w:w="6659" w:type="dxa"/>
            <w:tcBorders>
              <w:top w:val="single" w:color="auto" w:sz="4" w:space="0"/>
              <w:left w:val="single" w:color="auto" w:sz="4" w:space="0"/>
              <w:bottom w:val="single" w:color="auto" w:sz="4" w:space="0"/>
              <w:right w:val="single" w:color="auto" w:sz="4" w:space="0"/>
            </w:tcBorders>
            <w:vAlign w:val="center"/>
          </w:tcPr>
          <w:p w14:paraId="5BC12E65">
            <w:pPr>
              <w:widowControl/>
              <w:spacing w:line="276" w:lineRule="auto"/>
              <w:jc w:val="left"/>
              <w:rPr>
                <w:rFonts w:ascii="宋体" w:hAnsi="宋体"/>
                <w:szCs w:val="21"/>
                <w:lang w:val="zh-CN"/>
              </w:rPr>
            </w:pPr>
            <w:r>
              <w:rPr>
                <w:rFonts w:hint="eastAsia" w:ascii="宋体" w:hAnsi="宋体"/>
                <w:szCs w:val="21"/>
                <w:lang w:val="zh-CN"/>
              </w:rPr>
              <w:t>（1）采购人收货后根据货物的技术规格要求和质量标准，对货物进行检查验收。验收应符合国家的相关产品质量标准、安全标准、环保标准以及特定行业的技术规范。如果发现数量不足或有质量、技术等问题，中标人应负责按照招标人的要求采取补足、更换或退货等处理措施，并承担由此发生的一切损失和费用。验收合格后，采购人收取发票并签署验收意见。</w:t>
            </w:r>
          </w:p>
          <w:p w14:paraId="749EA93A">
            <w:pPr>
              <w:widowControl/>
              <w:spacing w:line="276" w:lineRule="auto"/>
              <w:jc w:val="left"/>
              <w:rPr>
                <w:rFonts w:ascii="宋体" w:hAnsi="宋体" w:cs="宋体"/>
                <w:snapToGrid w:val="0"/>
                <w:kern w:val="0"/>
                <w:szCs w:val="21"/>
                <w:lang w:val="zh-CN"/>
              </w:rPr>
            </w:pPr>
            <w:r>
              <w:rPr>
                <w:rFonts w:hint="eastAsia" w:ascii="宋体" w:hAnsi="宋体"/>
                <w:szCs w:val="21"/>
                <w:lang w:val="zh-CN"/>
              </w:rPr>
              <w:t>（2）</w:t>
            </w:r>
            <w:r>
              <w:rPr>
                <w:rFonts w:hint="eastAsia" w:ascii="宋体" w:hAnsi="宋体"/>
                <w:szCs w:val="21"/>
              </w:rPr>
              <w:t>在项目验收时，根据甲方需求，针对LED环幕全彩显示屏套件、智能拾音扩声音频处理主机、智能无线教学话筒、分布式智能锁话筒管家（混合型）、智慧物联控制一体机提供必要的检测报告，相关费用由中标人支付。</w:t>
            </w:r>
          </w:p>
        </w:tc>
      </w:tr>
      <w:tr w14:paraId="39ABB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A3F827E">
            <w:pPr>
              <w:widowControl/>
              <w:spacing w:line="276" w:lineRule="auto"/>
              <w:jc w:val="center"/>
              <w:rPr>
                <w:rFonts w:ascii="宋体" w:hAnsi="宋体" w:cs="宋体"/>
                <w:snapToGrid w:val="0"/>
                <w:kern w:val="0"/>
                <w:szCs w:val="21"/>
                <w:lang w:val="zh-CN"/>
              </w:rPr>
            </w:pPr>
            <w:r>
              <w:rPr>
                <w:rFonts w:hint="eastAsia" w:ascii="宋体" w:hAnsi="宋体"/>
                <w:szCs w:val="21"/>
              </w:rPr>
              <w:t>7</w:t>
            </w:r>
          </w:p>
        </w:tc>
        <w:tc>
          <w:tcPr>
            <w:tcW w:w="1280" w:type="dxa"/>
            <w:tcBorders>
              <w:top w:val="single" w:color="auto" w:sz="4" w:space="0"/>
              <w:left w:val="single" w:color="auto" w:sz="4" w:space="0"/>
              <w:bottom w:val="single" w:color="auto" w:sz="4" w:space="0"/>
              <w:right w:val="single" w:color="auto" w:sz="4" w:space="0"/>
            </w:tcBorders>
            <w:vAlign w:val="center"/>
          </w:tcPr>
          <w:p w14:paraId="017DE7FB">
            <w:pPr>
              <w:widowControl/>
              <w:spacing w:line="276" w:lineRule="auto"/>
              <w:jc w:val="center"/>
              <w:rPr>
                <w:rFonts w:ascii="宋体" w:hAnsi="宋体" w:cs="宋体"/>
                <w:snapToGrid w:val="0"/>
                <w:kern w:val="0"/>
                <w:szCs w:val="21"/>
                <w:lang w:val="zh-CN"/>
              </w:rPr>
            </w:pPr>
            <w:r>
              <w:rPr>
                <w:rFonts w:hint="eastAsia" w:ascii="宋体" w:hAnsi="宋体"/>
                <w:szCs w:val="21"/>
                <w:lang w:val="zh-CN"/>
              </w:rPr>
              <w:t>付款条件（进度和方式）</w:t>
            </w:r>
          </w:p>
        </w:tc>
        <w:tc>
          <w:tcPr>
            <w:tcW w:w="856" w:type="dxa"/>
            <w:tcBorders>
              <w:top w:val="single" w:color="auto" w:sz="4" w:space="0"/>
              <w:left w:val="single" w:color="auto" w:sz="4" w:space="0"/>
              <w:bottom w:val="single" w:color="auto" w:sz="4" w:space="0"/>
              <w:right w:val="single" w:color="auto" w:sz="4" w:space="0"/>
            </w:tcBorders>
            <w:vAlign w:val="center"/>
          </w:tcPr>
          <w:p w14:paraId="5639313E">
            <w:pPr>
              <w:widowControl/>
              <w:spacing w:line="276" w:lineRule="auto"/>
              <w:jc w:val="center"/>
              <w:rPr>
                <w:rFonts w:ascii="宋体" w:hAnsi="宋体" w:cs="宋体"/>
                <w:snapToGrid w:val="0"/>
                <w:kern w:val="0"/>
                <w:szCs w:val="21"/>
                <w:lang w:val="zh-CN"/>
              </w:rPr>
            </w:pPr>
            <w:r>
              <w:rPr>
                <w:rFonts w:hint="eastAsia" w:ascii="宋体" w:hAnsi="宋体" w:cs="宋体"/>
                <w:snapToGrid w:val="0"/>
                <w:kern w:val="0"/>
                <w:szCs w:val="21"/>
                <w:lang w:val="zh-CN"/>
              </w:rPr>
              <w:t>★</w:t>
            </w:r>
          </w:p>
        </w:tc>
        <w:tc>
          <w:tcPr>
            <w:tcW w:w="6659" w:type="dxa"/>
            <w:tcBorders>
              <w:top w:val="single" w:color="auto" w:sz="4" w:space="0"/>
              <w:left w:val="single" w:color="auto" w:sz="4" w:space="0"/>
              <w:bottom w:val="single" w:color="auto" w:sz="4" w:space="0"/>
              <w:right w:val="single" w:color="auto" w:sz="4" w:space="0"/>
            </w:tcBorders>
            <w:vAlign w:val="center"/>
          </w:tcPr>
          <w:p w14:paraId="24750A0D">
            <w:pPr>
              <w:widowControl/>
              <w:spacing w:line="276" w:lineRule="auto"/>
              <w:jc w:val="left"/>
              <w:rPr>
                <w:rFonts w:ascii="宋体" w:hAnsi="宋体"/>
                <w:szCs w:val="21"/>
              </w:rPr>
            </w:pPr>
            <w:r>
              <w:rPr>
                <w:rFonts w:hint="eastAsia" w:ascii="宋体" w:hAnsi="宋体"/>
                <w:szCs w:val="21"/>
              </w:rPr>
              <w:t>（1）若学校财务部门无资金支付要求，则按下列原则支付：</w:t>
            </w:r>
          </w:p>
          <w:p w14:paraId="390F6353">
            <w:pPr>
              <w:widowControl/>
              <w:spacing w:line="276" w:lineRule="auto"/>
              <w:jc w:val="left"/>
              <w:rPr>
                <w:rFonts w:ascii="宋体" w:hAnsi="宋体"/>
                <w:szCs w:val="21"/>
              </w:rPr>
            </w:pPr>
            <w:r>
              <w:rPr>
                <w:rFonts w:hint="eastAsia" w:ascii="宋体" w:hAnsi="宋体"/>
                <w:szCs w:val="21"/>
              </w:rPr>
              <w:t>合同签订后，招标人向中标人预付合同金额30%款项，设备发货前，招标人向中标人支付合同金额20%款项，设备安装、调试并经招标人验收合格后，招标人向中标人支付合同金额 50%款项。</w:t>
            </w:r>
          </w:p>
          <w:p w14:paraId="02F726A6">
            <w:pPr>
              <w:widowControl/>
              <w:spacing w:line="276" w:lineRule="auto"/>
              <w:jc w:val="left"/>
              <w:rPr>
                <w:rFonts w:ascii="宋体" w:hAnsi="宋体" w:cs="宋体"/>
                <w:snapToGrid w:val="0"/>
                <w:kern w:val="0"/>
                <w:szCs w:val="21"/>
              </w:rPr>
            </w:pPr>
            <w:r>
              <w:rPr>
                <w:rFonts w:hint="eastAsia" w:ascii="宋体" w:hAnsi="宋体"/>
                <w:szCs w:val="21"/>
              </w:rPr>
              <w:t>（2）若学校财务部门有资金支付要求的，按相关要求执行。</w:t>
            </w:r>
          </w:p>
        </w:tc>
      </w:tr>
      <w:tr w14:paraId="201C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15E731B5">
            <w:pPr>
              <w:widowControl/>
              <w:spacing w:line="276" w:lineRule="auto"/>
              <w:jc w:val="center"/>
              <w:rPr>
                <w:rFonts w:ascii="宋体" w:hAnsi="宋体" w:cs="宋体"/>
                <w:snapToGrid w:val="0"/>
                <w:kern w:val="0"/>
                <w:szCs w:val="21"/>
              </w:rPr>
            </w:pPr>
            <w:r>
              <w:rPr>
                <w:rFonts w:hint="eastAsia" w:ascii="宋体" w:hAnsi="宋体" w:cs="宋体"/>
                <w:snapToGrid w:val="0"/>
                <w:kern w:val="0"/>
                <w:szCs w:val="21"/>
              </w:rPr>
              <w:t>8</w:t>
            </w:r>
          </w:p>
        </w:tc>
        <w:tc>
          <w:tcPr>
            <w:tcW w:w="1280" w:type="dxa"/>
            <w:tcBorders>
              <w:top w:val="single" w:color="auto" w:sz="4" w:space="0"/>
              <w:left w:val="single" w:color="auto" w:sz="4" w:space="0"/>
              <w:bottom w:val="single" w:color="auto" w:sz="4" w:space="0"/>
              <w:right w:val="single" w:color="auto" w:sz="4" w:space="0"/>
            </w:tcBorders>
            <w:vAlign w:val="center"/>
          </w:tcPr>
          <w:p w14:paraId="616AB5A8">
            <w:pPr>
              <w:widowControl/>
              <w:spacing w:line="276" w:lineRule="auto"/>
              <w:jc w:val="center"/>
              <w:rPr>
                <w:rFonts w:ascii="宋体" w:hAnsi="宋体" w:cs="宋体"/>
                <w:snapToGrid w:val="0"/>
                <w:kern w:val="0"/>
                <w:szCs w:val="21"/>
                <w:lang w:val="zh-CN"/>
              </w:rPr>
            </w:pPr>
            <w:r>
              <w:rPr>
                <w:rFonts w:hint="eastAsia" w:ascii="宋体" w:hAnsi="宋体"/>
                <w:szCs w:val="21"/>
                <w:lang w:val="zh-CN"/>
              </w:rPr>
              <w:t>交货地点</w:t>
            </w:r>
          </w:p>
        </w:tc>
        <w:tc>
          <w:tcPr>
            <w:tcW w:w="856" w:type="dxa"/>
            <w:tcBorders>
              <w:top w:val="single" w:color="auto" w:sz="4" w:space="0"/>
              <w:left w:val="single" w:color="auto" w:sz="4" w:space="0"/>
              <w:bottom w:val="single" w:color="auto" w:sz="4" w:space="0"/>
              <w:right w:val="single" w:color="auto" w:sz="4" w:space="0"/>
            </w:tcBorders>
            <w:vAlign w:val="center"/>
          </w:tcPr>
          <w:p w14:paraId="55C7E41E">
            <w:pPr>
              <w:widowControl/>
              <w:spacing w:line="276" w:lineRule="auto"/>
              <w:jc w:val="center"/>
              <w:rPr>
                <w:rFonts w:ascii="宋体" w:hAnsi="宋体" w:cs="宋体"/>
                <w:snapToGrid w:val="0"/>
                <w:kern w:val="0"/>
                <w:szCs w:val="21"/>
                <w:lang w:val="zh-CN"/>
              </w:rPr>
            </w:pPr>
          </w:p>
        </w:tc>
        <w:tc>
          <w:tcPr>
            <w:tcW w:w="6659" w:type="dxa"/>
            <w:tcBorders>
              <w:top w:val="single" w:color="auto" w:sz="4" w:space="0"/>
              <w:left w:val="single" w:color="auto" w:sz="4" w:space="0"/>
              <w:bottom w:val="single" w:color="auto" w:sz="4" w:space="0"/>
              <w:right w:val="single" w:color="auto" w:sz="4" w:space="0"/>
            </w:tcBorders>
            <w:vAlign w:val="center"/>
          </w:tcPr>
          <w:p w14:paraId="2369778D">
            <w:pPr>
              <w:widowControl/>
              <w:spacing w:line="276" w:lineRule="auto"/>
              <w:jc w:val="left"/>
              <w:rPr>
                <w:rFonts w:ascii="宋体" w:hAnsi="宋体"/>
                <w:szCs w:val="21"/>
              </w:rPr>
            </w:pPr>
            <w:r>
              <w:rPr>
                <w:rFonts w:hint="eastAsia" w:ascii="宋体" w:hAnsi="宋体"/>
                <w:szCs w:val="21"/>
              </w:rPr>
              <w:t>武汉理工大学马房山校区弘毅楼。</w:t>
            </w:r>
          </w:p>
        </w:tc>
      </w:tr>
      <w:tr w14:paraId="2F70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19" w:type="dxa"/>
            <w:vMerge w:val="restart"/>
            <w:tcBorders>
              <w:top w:val="single" w:color="auto" w:sz="4" w:space="0"/>
              <w:left w:val="single" w:color="auto" w:sz="4" w:space="0"/>
              <w:right w:val="single" w:color="auto" w:sz="4" w:space="0"/>
            </w:tcBorders>
            <w:vAlign w:val="center"/>
          </w:tcPr>
          <w:p w14:paraId="64055F81">
            <w:pPr>
              <w:widowControl/>
              <w:spacing w:line="276" w:lineRule="auto"/>
              <w:jc w:val="center"/>
              <w:rPr>
                <w:rFonts w:ascii="宋体" w:hAnsi="宋体"/>
                <w:szCs w:val="21"/>
                <w:lang w:val="zh-CN"/>
              </w:rPr>
            </w:pPr>
            <w:r>
              <w:rPr>
                <w:rFonts w:hint="eastAsia" w:ascii="宋体" w:hAnsi="宋体"/>
                <w:szCs w:val="21"/>
              </w:rPr>
              <w:t>9</w:t>
            </w:r>
          </w:p>
        </w:tc>
        <w:tc>
          <w:tcPr>
            <w:tcW w:w="1280" w:type="dxa"/>
            <w:vMerge w:val="restart"/>
            <w:tcBorders>
              <w:top w:val="single" w:color="auto" w:sz="4" w:space="0"/>
              <w:left w:val="single" w:color="auto" w:sz="4" w:space="0"/>
              <w:right w:val="single" w:color="auto" w:sz="4" w:space="0"/>
            </w:tcBorders>
            <w:vAlign w:val="center"/>
          </w:tcPr>
          <w:p w14:paraId="428036A8">
            <w:pPr>
              <w:widowControl/>
              <w:spacing w:line="276" w:lineRule="auto"/>
              <w:jc w:val="center"/>
              <w:rPr>
                <w:rFonts w:ascii="宋体" w:hAnsi="宋体"/>
                <w:szCs w:val="21"/>
                <w:lang w:val="zh-CN"/>
              </w:rPr>
            </w:pPr>
            <w:r>
              <w:rPr>
                <w:rFonts w:hint="eastAsia" w:ascii="宋体" w:hAnsi="宋体"/>
                <w:szCs w:val="21"/>
                <w:lang w:val="zh-CN"/>
              </w:rPr>
              <w:t>履约相关要求</w:t>
            </w:r>
          </w:p>
        </w:tc>
        <w:tc>
          <w:tcPr>
            <w:tcW w:w="856" w:type="dxa"/>
            <w:vMerge w:val="restart"/>
            <w:tcBorders>
              <w:top w:val="single" w:color="auto" w:sz="4" w:space="0"/>
              <w:left w:val="single" w:color="auto" w:sz="4" w:space="0"/>
              <w:right w:val="single" w:color="auto" w:sz="4" w:space="0"/>
            </w:tcBorders>
            <w:vAlign w:val="center"/>
          </w:tcPr>
          <w:p w14:paraId="36D3C6F5">
            <w:pPr>
              <w:widowControl/>
              <w:spacing w:line="276" w:lineRule="auto"/>
              <w:jc w:val="center"/>
              <w:rPr>
                <w:rFonts w:ascii="宋体" w:hAnsi="宋体"/>
                <w:szCs w:val="21"/>
              </w:rPr>
            </w:pPr>
          </w:p>
        </w:tc>
        <w:tc>
          <w:tcPr>
            <w:tcW w:w="6659" w:type="dxa"/>
            <w:tcBorders>
              <w:top w:val="single" w:color="auto" w:sz="4" w:space="0"/>
              <w:left w:val="single" w:color="auto" w:sz="4" w:space="0"/>
              <w:bottom w:val="single" w:color="auto" w:sz="4" w:space="0"/>
              <w:right w:val="single" w:color="auto" w:sz="4" w:space="0"/>
            </w:tcBorders>
            <w:vAlign w:val="center"/>
          </w:tcPr>
          <w:p w14:paraId="2443DD4B">
            <w:pPr>
              <w:widowControl/>
              <w:spacing w:line="276" w:lineRule="auto"/>
              <w:jc w:val="left"/>
              <w:rPr>
                <w:rFonts w:ascii="宋体" w:hAnsi="宋体"/>
                <w:szCs w:val="21"/>
              </w:rPr>
            </w:pPr>
            <w:r>
              <w:rPr>
                <w:rFonts w:hint="eastAsia" w:ascii="宋体" w:hAnsi="宋体"/>
                <w:szCs w:val="21"/>
              </w:rPr>
              <w:t>投标人需针对本项目提供相关质量管控措施（质量承诺函、质量管理制度、质量保证措施等），安装调试方案（安装调试步骤及措施等），售后方案。（售后承诺函、服务标准和应急维修时间安排、质保期满后的承诺、其它服务承诺等）</w:t>
            </w:r>
          </w:p>
        </w:tc>
      </w:tr>
      <w:tr w14:paraId="6BE28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719" w:type="dxa"/>
            <w:vMerge w:val="continue"/>
            <w:tcBorders>
              <w:left w:val="single" w:color="auto" w:sz="4" w:space="0"/>
              <w:right w:val="single" w:color="auto" w:sz="4" w:space="0"/>
            </w:tcBorders>
            <w:vAlign w:val="center"/>
          </w:tcPr>
          <w:p w14:paraId="080DDFE0">
            <w:pPr>
              <w:widowControl/>
              <w:spacing w:line="276" w:lineRule="auto"/>
              <w:jc w:val="center"/>
              <w:rPr>
                <w:rFonts w:ascii="宋体" w:hAnsi="宋体"/>
                <w:szCs w:val="21"/>
              </w:rPr>
            </w:pPr>
          </w:p>
        </w:tc>
        <w:tc>
          <w:tcPr>
            <w:tcW w:w="1280" w:type="dxa"/>
            <w:vMerge w:val="continue"/>
            <w:tcBorders>
              <w:left w:val="single" w:color="auto" w:sz="4" w:space="0"/>
              <w:right w:val="single" w:color="auto" w:sz="4" w:space="0"/>
            </w:tcBorders>
            <w:vAlign w:val="center"/>
          </w:tcPr>
          <w:p w14:paraId="17524468">
            <w:pPr>
              <w:widowControl/>
              <w:spacing w:line="276" w:lineRule="auto"/>
              <w:jc w:val="center"/>
              <w:rPr>
                <w:rFonts w:ascii="宋体" w:hAnsi="宋体"/>
                <w:szCs w:val="21"/>
                <w:lang w:val="zh-CN"/>
              </w:rPr>
            </w:pPr>
          </w:p>
        </w:tc>
        <w:tc>
          <w:tcPr>
            <w:tcW w:w="856" w:type="dxa"/>
            <w:vMerge w:val="continue"/>
            <w:tcBorders>
              <w:left w:val="single" w:color="auto" w:sz="4" w:space="0"/>
              <w:right w:val="single" w:color="auto" w:sz="4" w:space="0"/>
            </w:tcBorders>
            <w:vAlign w:val="center"/>
          </w:tcPr>
          <w:p w14:paraId="4A170DD1">
            <w:pPr>
              <w:widowControl/>
              <w:spacing w:line="276" w:lineRule="auto"/>
              <w:jc w:val="center"/>
              <w:rPr>
                <w:rFonts w:ascii="宋体" w:hAnsi="宋体"/>
                <w:szCs w:val="21"/>
              </w:rPr>
            </w:pPr>
          </w:p>
        </w:tc>
        <w:tc>
          <w:tcPr>
            <w:tcW w:w="6659" w:type="dxa"/>
            <w:tcBorders>
              <w:top w:val="single" w:color="auto" w:sz="4" w:space="0"/>
              <w:left w:val="single" w:color="auto" w:sz="4" w:space="0"/>
              <w:bottom w:val="single" w:color="auto" w:sz="4" w:space="0"/>
              <w:right w:val="single" w:color="auto" w:sz="4" w:space="0"/>
            </w:tcBorders>
            <w:vAlign w:val="center"/>
          </w:tcPr>
          <w:p w14:paraId="262FB529">
            <w:pPr>
              <w:pStyle w:val="9"/>
              <w:rPr>
                <w:rFonts w:ascii="宋体" w:hAnsi="宋体"/>
              </w:rPr>
            </w:pPr>
            <w:r>
              <w:rPr>
                <w:rFonts w:hint="eastAsia" w:ascii="宋体" w:hAnsi="宋体"/>
              </w:rPr>
              <w:t>需要履约保证金</w:t>
            </w:r>
          </w:p>
          <w:p w14:paraId="0F45B279">
            <w:pPr>
              <w:pStyle w:val="9"/>
              <w:rPr>
                <w:rFonts w:ascii="宋体" w:hAnsi="宋体"/>
              </w:rPr>
            </w:pPr>
            <w:r>
              <w:rPr>
                <w:rFonts w:hint="eastAsia" w:ascii="宋体" w:hAnsi="宋体"/>
              </w:rPr>
              <w:t>履约保证金金额：合同总金额的</w:t>
            </w:r>
            <w:r>
              <w:rPr>
                <w:rFonts w:ascii="宋体" w:hAnsi="宋体"/>
              </w:rPr>
              <w:t>10</w:t>
            </w:r>
            <w:r>
              <w:rPr>
                <w:rFonts w:hint="eastAsia" w:ascii="宋体" w:hAnsi="宋体"/>
              </w:rPr>
              <w:t xml:space="preserve"> % ；中标人在合同签订后3日内提交，验收合格按约定返还。</w:t>
            </w:r>
          </w:p>
          <w:p w14:paraId="7179E211">
            <w:pPr>
              <w:widowControl/>
              <w:spacing w:line="276" w:lineRule="auto"/>
              <w:jc w:val="left"/>
              <w:rPr>
                <w:rFonts w:ascii="宋体" w:hAnsi="宋体"/>
                <w:szCs w:val="21"/>
              </w:rPr>
            </w:pPr>
            <w:r>
              <w:rPr>
                <w:rFonts w:hint="eastAsia" w:ascii="宋体" w:hAnsi="宋体"/>
              </w:rPr>
              <w:t>履约保证金形式：支票、汇票、本票或者金融机构、担保机构出具的保函等非现金形式。</w:t>
            </w:r>
          </w:p>
        </w:tc>
      </w:tr>
    </w:tbl>
    <w:p w14:paraId="2966F929">
      <w:pPr>
        <w:spacing w:line="276" w:lineRule="auto"/>
        <w:ind w:firstLine="420" w:firstLineChars="200"/>
        <w:jc w:val="left"/>
        <w:rPr>
          <w:rFonts w:ascii="宋体" w:hAnsi="宋体" w:cs="宋体"/>
          <w:b/>
          <w:szCs w:val="21"/>
        </w:rPr>
      </w:pPr>
      <w:r>
        <w:rPr>
          <w:rFonts w:hint="eastAsia" w:ascii="宋体" w:hAnsi="宋体" w:cs="宋体"/>
          <w:b/>
          <w:szCs w:val="21"/>
        </w:rPr>
        <w:t>说明：以上重要性标注为“★”的商务要求为实质性要求，所有要求必须逐条响应（满足或优于要求），不满足该指标项将导致无效响应（提供承诺函格式自拟或在商务指标响应/偏离表中响应）。</w:t>
      </w:r>
    </w:p>
    <w:p w14:paraId="6E715E00">
      <w:pPr>
        <w:widowControl/>
        <w:spacing w:line="276" w:lineRule="auto"/>
        <w:jc w:val="left"/>
        <w:rPr>
          <w:rFonts w:ascii="宋体" w:hAnsi="宋体" w:cs="宋体"/>
          <w:b/>
          <w:szCs w:val="21"/>
        </w:rPr>
      </w:pPr>
      <w:r>
        <w:rPr>
          <w:rFonts w:ascii="宋体" w:hAnsi="宋体" w:cs="宋体"/>
          <w:b/>
          <w:szCs w:val="21"/>
        </w:rPr>
        <w:br w:type="page"/>
      </w:r>
    </w:p>
    <w:p w14:paraId="0E302A7A">
      <w:pPr>
        <w:spacing w:line="276" w:lineRule="auto"/>
        <w:jc w:val="center"/>
        <w:outlineLvl w:val="0"/>
        <w:rPr>
          <w:rFonts w:ascii="黑体" w:hAnsi="黑体" w:eastAsia="黑体"/>
          <w:sz w:val="28"/>
          <w:szCs w:val="28"/>
        </w:rPr>
      </w:pPr>
      <w:bookmarkStart w:id="52" w:name="_Toc97815014"/>
      <w:r>
        <w:rPr>
          <w:rFonts w:hint="eastAsia" w:ascii="黑体" w:hAnsi="黑体" w:eastAsia="黑体"/>
          <w:sz w:val="28"/>
          <w:szCs w:val="28"/>
        </w:rPr>
        <w:t>第四章  资格审查方法及标准</w:t>
      </w:r>
      <w:bookmarkEnd w:id="52"/>
    </w:p>
    <w:p w14:paraId="68DA4330">
      <w:pPr>
        <w:spacing w:line="276" w:lineRule="auto"/>
        <w:ind w:firstLine="420"/>
        <w:rPr>
          <w:rFonts w:ascii="宋体" w:hAnsi="宋体"/>
          <w:bCs/>
          <w:color w:val="0D0D0D"/>
          <w:szCs w:val="21"/>
          <w:lang w:val="zh-CN"/>
        </w:rPr>
      </w:pPr>
      <w:r>
        <w:rPr>
          <w:rFonts w:hint="eastAsia" w:ascii="宋体" w:hAnsi="宋体"/>
          <w:bCs/>
          <w:color w:val="0D0D0D"/>
          <w:szCs w:val="21"/>
          <w:lang w:val="zh-CN"/>
        </w:rPr>
        <w:t>根据《中华人民共和国政府采购法》、《中华人民共和国政府采购法实施条例》、《政府采购货物和服务招标投标管理办法》（财政部令第87号）等相关法律法规确定以下资格审查方法及标准。</w:t>
      </w:r>
    </w:p>
    <w:p w14:paraId="18508379">
      <w:pPr>
        <w:keepNext/>
        <w:keepLines/>
        <w:numPr>
          <w:ilvl w:val="0"/>
          <w:numId w:val="41"/>
        </w:numPr>
        <w:spacing w:line="276" w:lineRule="auto"/>
        <w:ind w:left="616" w:hanging="616"/>
        <w:jc w:val="left"/>
        <w:outlineLvl w:val="1"/>
        <w:rPr>
          <w:rFonts w:ascii="宋体" w:hAnsi="宋体"/>
          <w:b/>
          <w:kern w:val="0"/>
          <w:szCs w:val="21"/>
          <w:lang w:val="zh-CN"/>
        </w:rPr>
      </w:pPr>
      <w:bookmarkStart w:id="53" w:name="_Toc494561958"/>
      <w:bookmarkStart w:id="54" w:name="_Toc97815015"/>
      <w:r>
        <w:rPr>
          <w:rFonts w:hint="eastAsia" w:ascii="宋体" w:hAnsi="宋体"/>
          <w:b/>
          <w:kern w:val="0"/>
          <w:szCs w:val="21"/>
          <w:lang w:val="zh-CN"/>
        </w:rPr>
        <w:t>资格审查方法</w:t>
      </w:r>
      <w:bookmarkEnd w:id="53"/>
      <w:bookmarkEnd w:id="54"/>
    </w:p>
    <w:p w14:paraId="63D0762C">
      <w:pPr>
        <w:spacing w:line="276" w:lineRule="auto"/>
        <w:ind w:firstLine="420"/>
        <w:rPr>
          <w:rFonts w:ascii="宋体" w:hAnsi="宋体"/>
          <w:bCs/>
          <w:color w:val="0D0D0D"/>
          <w:szCs w:val="21"/>
          <w:lang w:val="zh-CN"/>
        </w:rPr>
      </w:pPr>
      <w:r>
        <w:rPr>
          <w:rFonts w:hint="eastAsia" w:ascii="宋体" w:hAnsi="宋体"/>
          <w:bCs/>
          <w:color w:val="0D0D0D"/>
          <w:szCs w:val="21"/>
          <w:lang w:val="zh-CN"/>
        </w:rPr>
        <w:t>开标结束后，</w:t>
      </w:r>
      <w:r>
        <w:rPr>
          <w:rFonts w:hint="eastAsia"/>
          <w:color w:val="333333"/>
          <w:shd w:val="clear" w:color="auto" w:fill="FFFFFF"/>
        </w:rPr>
        <w:t>采购人与采购代理机构依法对投标人的资格进行审查</w:t>
      </w:r>
      <w:r>
        <w:rPr>
          <w:rFonts w:hint="eastAsia" w:ascii="宋体" w:hAnsi="宋体"/>
          <w:bCs/>
          <w:color w:val="0D0D0D"/>
          <w:szCs w:val="21"/>
          <w:lang w:val="zh-CN"/>
        </w:rPr>
        <w:t>，具体评审因素详见《资格审查表</w:t>
      </w:r>
      <w:r>
        <w:rPr>
          <w:rFonts w:ascii="宋体" w:hAnsi="宋体"/>
          <w:bCs/>
          <w:color w:val="0D0D0D"/>
          <w:szCs w:val="21"/>
          <w:lang w:val="zh-CN"/>
        </w:rPr>
        <w:t>》</w:t>
      </w:r>
      <w:r>
        <w:rPr>
          <w:rFonts w:hint="eastAsia" w:ascii="宋体" w:hAnsi="宋体"/>
          <w:bCs/>
          <w:color w:val="0D0D0D"/>
          <w:szCs w:val="21"/>
          <w:lang w:val="zh-CN"/>
        </w:rPr>
        <w:t>。</w:t>
      </w:r>
    </w:p>
    <w:p w14:paraId="4F525F2F">
      <w:pPr>
        <w:keepNext/>
        <w:keepLines/>
        <w:numPr>
          <w:ilvl w:val="0"/>
          <w:numId w:val="41"/>
        </w:numPr>
        <w:spacing w:line="276" w:lineRule="auto"/>
        <w:ind w:left="616" w:hanging="616"/>
        <w:jc w:val="left"/>
        <w:outlineLvl w:val="1"/>
        <w:rPr>
          <w:rFonts w:ascii="宋体" w:hAnsi="宋体"/>
          <w:b/>
          <w:kern w:val="0"/>
          <w:szCs w:val="21"/>
          <w:lang w:val="zh-CN"/>
        </w:rPr>
      </w:pPr>
      <w:bookmarkStart w:id="55" w:name="_Toc494561959"/>
      <w:bookmarkStart w:id="56" w:name="_Toc97815016"/>
      <w:r>
        <w:rPr>
          <w:rFonts w:hint="eastAsia" w:ascii="宋体" w:hAnsi="宋体"/>
          <w:b/>
          <w:kern w:val="0"/>
          <w:szCs w:val="21"/>
          <w:lang w:val="zh-CN"/>
        </w:rPr>
        <w:t>资格审查</w:t>
      </w:r>
      <w:bookmarkEnd w:id="55"/>
      <w:r>
        <w:rPr>
          <w:rFonts w:hint="eastAsia" w:ascii="宋体" w:hAnsi="宋体"/>
          <w:b/>
          <w:kern w:val="0"/>
          <w:szCs w:val="21"/>
          <w:lang w:val="zh-CN"/>
        </w:rPr>
        <w:t>表</w:t>
      </w:r>
      <w:bookmarkEnd w:id="56"/>
    </w:p>
    <w:tbl>
      <w:tblPr>
        <w:tblStyle w:val="2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14:paraId="7B51D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61A68D0">
            <w:pPr>
              <w:tabs>
                <w:tab w:val="left" w:pos="616"/>
              </w:tabs>
              <w:spacing w:line="320" w:lineRule="exact"/>
              <w:jc w:val="center"/>
              <w:rPr>
                <w:rFonts w:ascii="宋体" w:hAnsi="宋体"/>
                <w:b/>
                <w:color w:val="0D0D0D"/>
                <w:kern w:val="0"/>
                <w:szCs w:val="21"/>
                <w:lang w:val="zh-CN"/>
              </w:rPr>
            </w:pPr>
            <w:r>
              <w:rPr>
                <w:rFonts w:hint="eastAsia" w:ascii="宋体" w:hAnsi="宋体"/>
                <w:b/>
                <w:color w:val="0D0D0D"/>
                <w:kern w:val="0"/>
                <w:szCs w:val="21"/>
                <w:lang w:val="zh-CN"/>
              </w:rPr>
              <w:t>序号</w:t>
            </w:r>
          </w:p>
        </w:tc>
        <w:tc>
          <w:tcPr>
            <w:tcW w:w="3686" w:type="dxa"/>
            <w:gridSpan w:val="2"/>
            <w:vAlign w:val="center"/>
          </w:tcPr>
          <w:p w14:paraId="5E33CC20">
            <w:pPr>
              <w:adjustRightInd w:val="0"/>
              <w:snapToGrid w:val="0"/>
              <w:spacing w:line="320" w:lineRule="exact"/>
              <w:jc w:val="center"/>
              <w:rPr>
                <w:rFonts w:ascii="宋体" w:hAnsi="宋体"/>
                <w:b/>
                <w:color w:val="0D0D0D"/>
                <w:kern w:val="0"/>
                <w:szCs w:val="21"/>
                <w:lang w:val="zh-CN"/>
              </w:rPr>
            </w:pPr>
            <w:r>
              <w:rPr>
                <w:rFonts w:hint="eastAsia" w:ascii="宋体" w:hAnsi="宋体"/>
                <w:b/>
                <w:color w:val="0D0D0D"/>
                <w:kern w:val="0"/>
                <w:szCs w:val="21"/>
                <w:lang w:val="zh-CN"/>
              </w:rPr>
              <w:t>资格</w:t>
            </w:r>
            <w:r>
              <w:rPr>
                <w:rFonts w:ascii="宋体" w:hAnsi="宋体"/>
                <w:b/>
                <w:color w:val="0D0D0D"/>
                <w:kern w:val="0"/>
                <w:szCs w:val="21"/>
                <w:lang w:val="zh-CN"/>
              </w:rPr>
              <w:t>要求</w:t>
            </w:r>
          </w:p>
        </w:tc>
        <w:tc>
          <w:tcPr>
            <w:tcW w:w="5518" w:type="dxa"/>
            <w:vAlign w:val="center"/>
          </w:tcPr>
          <w:p w14:paraId="042ADC4B">
            <w:pPr>
              <w:tabs>
                <w:tab w:val="left" w:pos="616"/>
              </w:tabs>
              <w:spacing w:line="320" w:lineRule="exact"/>
              <w:jc w:val="center"/>
              <w:rPr>
                <w:rFonts w:ascii="宋体" w:hAnsi="宋体"/>
                <w:b/>
                <w:color w:val="0D0D0D"/>
                <w:kern w:val="0"/>
                <w:szCs w:val="21"/>
                <w:lang w:val="zh-CN"/>
              </w:rPr>
            </w:pPr>
            <w:r>
              <w:rPr>
                <w:rFonts w:hint="eastAsia" w:ascii="宋体" w:hAnsi="宋体"/>
                <w:b/>
                <w:color w:val="0D0D0D"/>
                <w:kern w:val="0"/>
                <w:szCs w:val="21"/>
                <w:lang w:val="zh-CN"/>
              </w:rPr>
              <w:t>需</w:t>
            </w:r>
            <w:r>
              <w:rPr>
                <w:rFonts w:ascii="宋体" w:hAnsi="宋体"/>
                <w:b/>
                <w:color w:val="0D0D0D"/>
                <w:kern w:val="0"/>
                <w:szCs w:val="21"/>
                <w:lang w:val="zh-CN"/>
              </w:rPr>
              <w:t>提供的资料</w:t>
            </w:r>
          </w:p>
        </w:tc>
      </w:tr>
      <w:tr w14:paraId="0394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14:paraId="0D7C632B">
            <w:pPr>
              <w:tabs>
                <w:tab w:val="left" w:pos="616"/>
              </w:tabs>
              <w:spacing w:line="320" w:lineRule="exact"/>
              <w:rPr>
                <w:rFonts w:ascii="宋体" w:hAnsi="宋体"/>
                <w:color w:val="0D0D0D"/>
                <w:kern w:val="0"/>
                <w:szCs w:val="21"/>
                <w:lang w:val="zh-CN"/>
              </w:rPr>
            </w:pPr>
            <w:r>
              <w:rPr>
                <w:rFonts w:hint="eastAsia" w:ascii="宋体" w:hAnsi="宋体"/>
                <w:color w:val="0D0D0D"/>
                <w:kern w:val="0"/>
                <w:szCs w:val="21"/>
                <w:lang w:val="zh-CN"/>
              </w:rPr>
              <w:t>1</w:t>
            </w:r>
          </w:p>
        </w:tc>
        <w:tc>
          <w:tcPr>
            <w:tcW w:w="851" w:type="dxa"/>
            <w:vMerge w:val="restart"/>
            <w:vAlign w:val="center"/>
          </w:tcPr>
          <w:p w14:paraId="77F52396">
            <w:pPr>
              <w:spacing w:line="320" w:lineRule="exact"/>
              <w:rPr>
                <w:rFonts w:ascii="宋体" w:hAnsi="宋体"/>
                <w:color w:val="0D0D0D"/>
                <w:kern w:val="0"/>
                <w:szCs w:val="21"/>
                <w:lang w:val="zh-CN"/>
              </w:rPr>
            </w:pPr>
            <w:r>
              <w:rPr>
                <w:rFonts w:hint="eastAsia" w:ascii="宋体" w:hAnsi="宋体"/>
                <w:color w:val="0D0D0D"/>
                <w:kern w:val="0"/>
                <w:szCs w:val="21"/>
                <w:lang w:val="zh-CN"/>
              </w:rPr>
              <w:t>符合《中华人民共和国政府采购法》第二十二条的规定</w:t>
            </w:r>
          </w:p>
        </w:tc>
        <w:tc>
          <w:tcPr>
            <w:tcW w:w="2835" w:type="dxa"/>
            <w:vAlign w:val="center"/>
          </w:tcPr>
          <w:p w14:paraId="12632FD3">
            <w:pPr>
              <w:adjustRightInd w:val="0"/>
              <w:snapToGrid w:val="0"/>
              <w:spacing w:line="320" w:lineRule="exact"/>
              <w:rPr>
                <w:rFonts w:ascii="宋体" w:hAnsi="宋体" w:cs="宋体"/>
                <w:kern w:val="0"/>
                <w:szCs w:val="21"/>
              </w:rPr>
            </w:pPr>
            <w:r>
              <w:rPr>
                <w:rFonts w:hint="eastAsia" w:ascii="宋体" w:hAnsi="宋体" w:cs="宋体"/>
                <w:kern w:val="0"/>
                <w:szCs w:val="21"/>
              </w:rPr>
              <w:t>1.1 具有独立承担民事责任的能力；</w:t>
            </w:r>
          </w:p>
        </w:tc>
        <w:tc>
          <w:tcPr>
            <w:tcW w:w="5518" w:type="dxa"/>
            <w:vAlign w:val="center"/>
          </w:tcPr>
          <w:p w14:paraId="022E6EB9">
            <w:pPr>
              <w:numPr>
                <w:ilvl w:val="0"/>
                <w:numId w:val="42"/>
              </w:numPr>
              <w:spacing w:line="320" w:lineRule="exact"/>
              <w:rPr>
                <w:rFonts w:ascii="宋体" w:hAnsi="宋体"/>
                <w:kern w:val="0"/>
                <w:szCs w:val="21"/>
              </w:rPr>
            </w:pPr>
            <w:r>
              <w:rPr>
                <w:rFonts w:ascii="宋体" w:hAnsi="宋体"/>
                <w:kern w:val="0"/>
                <w:szCs w:val="21"/>
              </w:rPr>
              <w:t>企业（包括合伙企业）提供有效</w:t>
            </w:r>
            <w:r>
              <w:rPr>
                <w:rFonts w:hint="eastAsia" w:ascii="宋体" w:hAnsi="宋体"/>
                <w:kern w:val="0"/>
                <w:szCs w:val="21"/>
              </w:rPr>
              <w:t>“</w:t>
            </w:r>
            <w:r>
              <w:rPr>
                <w:rFonts w:ascii="宋体" w:hAnsi="宋体"/>
                <w:kern w:val="0"/>
                <w:szCs w:val="21"/>
              </w:rPr>
              <w:t>企业法人营业执照</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营业执照</w:t>
            </w:r>
            <w:r>
              <w:rPr>
                <w:rFonts w:hint="eastAsia" w:ascii="宋体" w:hAnsi="宋体"/>
                <w:kern w:val="0"/>
                <w:szCs w:val="21"/>
              </w:rPr>
              <w:t>”</w:t>
            </w:r>
            <w:r>
              <w:rPr>
                <w:rFonts w:ascii="宋体" w:hAnsi="宋体"/>
                <w:kern w:val="0"/>
                <w:szCs w:val="21"/>
              </w:rPr>
              <w:t>；</w:t>
            </w:r>
          </w:p>
          <w:p w14:paraId="4A5A641B">
            <w:pPr>
              <w:numPr>
                <w:ilvl w:val="0"/>
                <w:numId w:val="42"/>
              </w:numPr>
              <w:spacing w:line="320" w:lineRule="exact"/>
              <w:rPr>
                <w:rFonts w:ascii="宋体" w:hAnsi="宋体"/>
                <w:kern w:val="0"/>
                <w:szCs w:val="21"/>
              </w:rPr>
            </w:pPr>
            <w:r>
              <w:rPr>
                <w:rFonts w:ascii="宋体" w:hAnsi="宋体"/>
                <w:kern w:val="0"/>
                <w:szCs w:val="21"/>
              </w:rPr>
              <w:t>事业单位提供有效的</w:t>
            </w:r>
            <w:r>
              <w:rPr>
                <w:rFonts w:hint="eastAsia" w:ascii="宋体" w:hAnsi="宋体"/>
                <w:kern w:val="0"/>
                <w:szCs w:val="21"/>
              </w:rPr>
              <w:t>“</w:t>
            </w:r>
            <w:r>
              <w:rPr>
                <w:rFonts w:ascii="宋体" w:hAnsi="宋体"/>
                <w:kern w:val="0"/>
                <w:szCs w:val="21"/>
              </w:rPr>
              <w:t>事业单位法人证书</w:t>
            </w:r>
            <w:r>
              <w:rPr>
                <w:rFonts w:hint="eastAsia" w:ascii="宋体" w:hAnsi="宋体"/>
                <w:kern w:val="0"/>
                <w:szCs w:val="21"/>
              </w:rPr>
              <w:t>”</w:t>
            </w:r>
            <w:r>
              <w:rPr>
                <w:rFonts w:ascii="宋体" w:hAnsi="宋体"/>
                <w:kern w:val="0"/>
                <w:szCs w:val="21"/>
              </w:rPr>
              <w:t>；</w:t>
            </w:r>
          </w:p>
          <w:p w14:paraId="08BF42CB">
            <w:pPr>
              <w:numPr>
                <w:ilvl w:val="0"/>
                <w:numId w:val="42"/>
              </w:numPr>
              <w:spacing w:line="320" w:lineRule="exact"/>
              <w:rPr>
                <w:rFonts w:ascii="宋体" w:hAnsi="宋体"/>
                <w:kern w:val="0"/>
                <w:szCs w:val="21"/>
              </w:rPr>
            </w:pPr>
            <w:r>
              <w:rPr>
                <w:rFonts w:ascii="宋体" w:hAnsi="宋体"/>
                <w:kern w:val="0"/>
                <w:szCs w:val="21"/>
              </w:rPr>
              <w:t>非企业专业服务机构提供有效的</w:t>
            </w:r>
            <w:r>
              <w:rPr>
                <w:rFonts w:hint="eastAsia" w:ascii="宋体" w:hAnsi="宋体"/>
                <w:kern w:val="0"/>
                <w:szCs w:val="21"/>
              </w:rPr>
              <w:t>“</w:t>
            </w:r>
            <w:r>
              <w:rPr>
                <w:rFonts w:ascii="宋体" w:hAnsi="宋体"/>
                <w:kern w:val="0"/>
                <w:szCs w:val="21"/>
              </w:rPr>
              <w:t>执业许可证</w:t>
            </w:r>
            <w:r>
              <w:rPr>
                <w:rFonts w:hint="eastAsia" w:ascii="宋体" w:hAnsi="宋体"/>
                <w:kern w:val="0"/>
                <w:szCs w:val="21"/>
              </w:rPr>
              <w:t>”</w:t>
            </w:r>
            <w:r>
              <w:rPr>
                <w:rFonts w:ascii="宋体" w:hAnsi="宋体"/>
                <w:kern w:val="0"/>
                <w:szCs w:val="21"/>
              </w:rPr>
              <w:t>等证明文件；</w:t>
            </w:r>
          </w:p>
          <w:p w14:paraId="2C722E34">
            <w:pPr>
              <w:numPr>
                <w:ilvl w:val="0"/>
                <w:numId w:val="42"/>
              </w:numPr>
              <w:spacing w:line="320" w:lineRule="exact"/>
              <w:rPr>
                <w:rFonts w:ascii="宋体" w:hAnsi="宋体"/>
                <w:kern w:val="0"/>
                <w:szCs w:val="21"/>
              </w:rPr>
            </w:pPr>
            <w:r>
              <w:rPr>
                <w:rFonts w:ascii="宋体" w:hAnsi="宋体"/>
                <w:kern w:val="0"/>
                <w:szCs w:val="21"/>
              </w:rPr>
              <w:t>个体工商户提供有效的</w:t>
            </w:r>
            <w:r>
              <w:rPr>
                <w:rFonts w:hint="eastAsia" w:ascii="宋体" w:hAnsi="宋体"/>
                <w:kern w:val="0"/>
                <w:szCs w:val="21"/>
              </w:rPr>
              <w:t>“</w:t>
            </w:r>
            <w:r>
              <w:rPr>
                <w:rFonts w:ascii="宋体" w:hAnsi="宋体"/>
                <w:kern w:val="0"/>
                <w:szCs w:val="21"/>
              </w:rPr>
              <w:t>个体工商户营业执照</w:t>
            </w:r>
            <w:r>
              <w:rPr>
                <w:rFonts w:hint="eastAsia" w:ascii="宋体" w:hAnsi="宋体"/>
                <w:kern w:val="0"/>
                <w:szCs w:val="21"/>
              </w:rPr>
              <w:t>”</w:t>
            </w:r>
            <w:r>
              <w:rPr>
                <w:rFonts w:ascii="宋体" w:hAnsi="宋体"/>
                <w:kern w:val="0"/>
                <w:szCs w:val="21"/>
              </w:rPr>
              <w:t>；</w:t>
            </w:r>
          </w:p>
          <w:p w14:paraId="33634D2B">
            <w:pPr>
              <w:numPr>
                <w:ilvl w:val="0"/>
                <w:numId w:val="42"/>
              </w:numPr>
              <w:spacing w:line="320" w:lineRule="exact"/>
              <w:rPr>
                <w:rFonts w:ascii="宋体" w:hAnsi="宋体"/>
                <w:color w:val="0D0D0D"/>
                <w:kern w:val="0"/>
                <w:szCs w:val="21"/>
                <w:lang w:val="zh-CN"/>
              </w:rPr>
            </w:pPr>
            <w:r>
              <w:rPr>
                <w:rFonts w:ascii="宋体" w:hAnsi="宋体"/>
                <w:kern w:val="0"/>
                <w:szCs w:val="21"/>
              </w:rPr>
              <w:t>自然人提供有效的自然人身份证明。</w:t>
            </w:r>
          </w:p>
        </w:tc>
      </w:tr>
      <w:tr w14:paraId="0A692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698EFA7C">
            <w:pPr>
              <w:tabs>
                <w:tab w:val="left" w:pos="616"/>
              </w:tabs>
              <w:spacing w:line="320" w:lineRule="exact"/>
              <w:rPr>
                <w:rFonts w:ascii="宋体" w:hAnsi="宋体"/>
                <w:color w:val="0D0D0D"/>
                <w:kern w:val="0"/>
                <w:szCs w:val="21"/>
                <w:lang w:val="zh-CN"/>
              </w:rPr>
            </w:pPr>
          </w:p>
        </w:tc>
        <w:tc>
          <w:tcPr>
            <w:tcW w:w="851" w:type="dxa"/>
            <w:vMerge w:val="continue"/>
            <w:vAlign w:val="center"/>
          </w:tcPr>
          <w:p w14:paraId="2D2C648E">
            <w:pPr>
              <w:tabs>
                <w:tab w:val="left" w:pos="616"/>
              </w:tabs>
              <w:spacing w:line="320" w:lineRule="exact"/>
              <w:rPr>
                <w:rFonts w:ascii="宋体" w:hAnsi="宋体"/>
                <w:color w:val="0D0D0D"/>
                <w:kern w:val="0"/>
                <w:szCs w:val="21"/>
                <w:lang w:val="zh-CN"/>
              </w:rPr>
            </w:pPr>
          </w:p>
        </w:tc>
        <w:tc>
          <w:tcPr>
            <w:tcW w:w="2835" w:type="dxa"/>
            <w:vAlign w:val="center"/>
          </w:tcPr>
          <w:p w14:paraId="1B1A5895">
            <w:pPr>
              <w:widowControl/>
              <w:adjustRightInd w:val="0"/>
              <w:snapToGrid w:val="0"/>
              <w:spacing w:line="320" w:lineRule="exact"/>
              <w:rPr>
                <w:rFonts w:ascii="宋体" w:hAnsi="宋体" w:cs="宋体"/>
                <w:kern w:val="0"/>
                <w:szCs w:val="21"/>
              </w:rPr>
            </w:pPr>
            <w:r>
              <w:rPr>
                <w:rFonts w:hint="eastAsia" w:ascii="宋体" w:hAnsi="宋体" w:cs="宋体"/>
                <w:kern w:val="0"/>
                <w:szCs w:val="21"/>
              </w:rPr>
              <w:t>1.2 具有良好的商业信誉和健全的财务会计制度；</w:t>
            </w:r>
          </w:p>
        </w:tc>
        <w:tc>
          <w:tcPr>
            <w:tcW w:w="5518" w:type="dxa"/>
            <w:vAlign w:val="center"/>
          </w:tcPr>
          <w:p w14:paraId="5CC4FA0F">
            <w:pPr>
              <w:numPr>
                <w:ilvl w:val="0"/>
                <w:numId w:val="43"/>
              </w:numPr>
              <w:spacing w:line="320" w:lineRule="exact"/>
              <w:rPr>
                <w:rFonts w:ascii="宋体" w:hAnsi="宋体"/>
                <w:kern w:val="0"/>
                <w:szCs w:val="21"/>
              </w:rPr>
            </w:pPr>
            <w:r>
              <w:rPr>
                <w:rFonts w:hint="eastAsia" w:ascii="宋体" w:hAnsi="宋体"/>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14:paraId="0BB9F88E">
            <w:pPr>
              <w:numPr>
                <w:ilvl w:val="0"/>
                <w:numId w:val="43"/>
              </w:numPr>
              <w:spacing w:line="320" w:lineRule="exact"/>
              <w:rPr>
                <w:rFonts w:ascii="宋体" w:hAnsi="宋体"/>
                <w:kern w:val="0"/>
                <w:szCs w:val="21"/>
              </w:rPr>
            </w:pPr>
            <w:r>
              <w:rPr>
                <w:rFonts w:hint="eastAsia" w:ascii="宋体" w:hAnsi="宋体"/>
                <w:kern w:val="0"/>
                <w:szCs w:val="21"/>
              </w:rPr>
              <w:t>其他组织和自然人没有经第三方审计的财务报告的，可以提供银行出具的资信证明；</w:t>
            </w:r>
          </w:p>
          <w:p w14:paraId="788110A9">
            <w:pPr>
              <w:numPr>
                <w:ilvl w:val="0"/>
                <w:numId w:val="43"/>
              </w:numPr>
              <w:spacing w:line="320" w:lineRule="exact"/>
              <w:rPr>
                <w:rFonts w:ascii="宋体" w:hAnsi="宋体"/>
                <w:kern w:val="0"/>
                <w:szCs w:val="21"/>
                <w:lang w:val="zh-CN"/>
              </w:rPr>
            </w:pPr>
            <w:r>
              <w:rPr>
                <w:rFonts w:hint="eastAsia" w:ascii="宋体" w:hAnsi="宋体"/>
                <w:kern w:val="0"/>
                <w:szCs w:val="21"/>
              </w:rPr>
              <w:t>投标人没有经第三方审计的财务报告或资信证明时，也可以提供财政部门认可的政府采购专业担保机构出具的投标担保函</w:t>
            </w:r>
            <w:r>
              <w:rPr>
                <w:rFonts w:hint="eastAsia" w:ascii="宋体" w:hAnsi="宋体"/>
                <w:kern w:val="0"/>
                <w:szCs w:val="21"/>
                <w:lang w:val="zh-CN"/>
              </w:rPr>
              <w:t>。</w:t>
            </w:r>
            <w:r>
              <w:rPr>
                <w:rFonts w:hint="eastAsia" w:ascii="宋体" w:hAnsi="宋体" w:cs="宋体"/>
                <w:kern w:val="0"/>
                <w:szCs w:val="21"/>
              </w:rPr>
              <w:t>或提供具有良好的商业信誉和健全的财务会计制度的承诺。</w:t>
            </w:r>
          </w:p>
        </w:tc>
      </w:tr>
      <w:tr w14:paraId="5ED8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E621815">
            <w:pPr>
              <w:tabs>
                <w:tab w:val="left" w:pos="616"/>
              </w:tabs>
              <w:spacing w:line="320" w:lineRule="exact"/>
              <w:rPr>
                <w:rFonts w:ascii="宋体" w:hAnsi="宋体"/>
                <w:b/>
                <w:color w:val="0D0D0D"/>
                <w:kern w:val="0"/>
                <w:szCs w:val="21"/>
                <w:lang w:val="zh-CN"/>
              </w:rPr>
            </w:pPr>
          </w:p>
        </w:tc>
        <w:tc>
          <w:tcPr>
            <w:tcW w:w="851" w:type="dxa"/>
            <w:vMerge w:val="continue"/>
            <w:vAlign w:val="center"/>
          </w:tcPr>
          <w:p w14:paraId="1442D42B">
            <w:pPr>
              <w:tabs>
                <w:tab w:val="left" w:pos="616"/>
              </w:tabs>
              <w:spacing w:line="320" w:lineRule="exact"/>
              <w:rPr>
                <w:rFonts w:ascii="宋体" w:hAnsi="宋体"/>
                <w:b/>
                <w:color w:val="0D0D0D"/>
                <w:kern w:val="0"/>
                <w:szCs w:val="21"/>
                <w:lang w:val="zh-CN"/>
              </w:rPr>
            </w:pPr>
          </w:p>
        </w:tc>
        <w:tc>
          <w:tcPr>
            <w:tcW w:w="2835" w:type="dxa"/>
            <w:vAlign w:val="center"/>
          </w:tcPr>
          <w:p w14:paraId="62D236E2">
            <w:pPr>
              <w:adjustRightInd w:val="0"/>
              <w:snapToGrid w:val="0"/>
              <w:spacing w:line="320" w:lineRule="exact"/>
              <w:rPr>
                <w:rFonts w:ascii="宋体" w:hAnsi="宋体" w:cs="宋体"/>
                <w:kern w:val="0"/>
                <w:szCs w:val="21"/>
              </w:rPr>
            </w:pPr>
            <w:r>
              <w:rPr>
                <w:rFonts w:hint="eastAsia" w:ascii="宋体" w:hAnsi="宋体" w:cs="宋体"/>
                <w:kern w:val="0"/>
                <w:szCs w:val="21"/>
              </w:rPr>
              <w:t>1.3 具有履行合同所必需的设备和专业技术能力；</w:t>
            </w:r>
          </w:p>
        </w:tc>
        <w:tc>
          <w:tcPr>
            <w:tcW w:w="5518" w:type="dxa"/>
            <w:vAlign w:val="center"/>
          </w:tcPr>
          <w:p w14:paraId="35905DF5">
            <w:pPr>
              <w:numPr>
                <w:ilvl w:val="0"/>
                <w:numId w:val="44"/>
              </w:numPr>
              <w:spacing w:line="320" w:lineRule="exact"/>
              <w:rPr>
                <w:rFonts w:ascii="宋体" w:hAnsi="宋体"/>
                <w:kern w:val="0"/>
                <w:szCs w:val="21"/>
              </w:rPr>
            </w:pPr>
            <w:r>
              <w:rPr>
                <w:rFonts w:hint="eastAsia" w:ascii="宋体" w:hAnsi="宋体"/>
                <w:kern w:val="0"/>
                <w:szCs w:val="21"/>
                <w:lang w:val="zh-CN"/>
              </w:rPr>
              <w:t>提</w:t>
            </w:r>
            <w:r>
              <w:rPr>
                <w:rFonts w:hint="eastAsia" w:ascii="宋体" w:hAnsi="宋体"/>
                <w:kern w:val="0"/>
                <w:szCs w:val="21"/>
              </w:rPr>
              <w:t>供具备足够数量的设施设备的证明材料和</w:t>
            </w:r>
            <w:r>
              <w:rPr>
                <w:rFonts w:hint="eastAsia" w:ascii="宋体" w:hAnsi="宋体"/>
                <w:kern w:val="0"/>
                <w:szCs w:val="21"/>
                <w:lang w:val="zh-CN"/>
              </w:rPr>
              <w:t>具备足够数量的技术人员的证明材料</w:t>
            </w:r>
            <w:r>
              <w:rPr>
                <w:rFonts w:hint="eastAsia" w:ascii="宋体" w:hAnsi="宋体"/>
                <w:kern w:val="0"/>
                <w:szCs w:val="21"/>
              </w:rPr>
              <w:t>；</w:t>
            </w:r>
          </w:p>
          <w:p w14:paraId="7E716262">
            <w:pPr>
              <w:numPr>
                <w:ilvl w:val="0"/>
                <w:numId w:val="44"/>
              </w:numPr>
              <w:spacing w:line="320" w:lineRule="exact"/>
              <w:rPr>
                <w:rFonts w:ascii="宋体" w:hAnsi="宋体"/>
                <w:kern w:val="0"/>
                <w:szCs w:val="21"/>
                <w:lang w:val="zh-CN"/>
              </w:rPr>
            </w:pPr>
            <w:r>
              <w:rPr>
                <w:rFonts w:hint="eastAsia" w:ascii="宋体" w:hAnsi="宋体"/>
                <w:kern w:val="0"/>
                <w:szCs w:val="21"/>
                <w:lang w:val="zh-CN"/>
              </w:rPr>
              <w:t>或提供</w:t>
            </w:r>
            <w:r>
              <w:rPr>
                <w:rFonts w:hint="eastAsia" w:ascii="宋体" w:hAnsi="宋体" w:cs="宋体"/>
                <w:kern w:val="0"/>
                <w:szCs w:val="21"/>
              </w:rPr>
              <w:t>具有履行合同所必需的设备和专业技术能力的</w:t>
            </w:r>
            <w:r>
              <w:rPr>
                <w:rFonts w:hint="eastAsia" w:ascii="宋体" w:hAnsi="宋体"/>
                <w:kern w:val="0"/>
                <w:szCs w:val="21"/>
                <w:lang w:val="zh-CN"/>
              </w:rPr>
              <w:t>承诺。</w:t>
            </w:r>
          </w:p>
        </w:tc>
      </w:tr>
      <w:tr w14:paraId="3CAE2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27ABB701">
            <w:pPr>
              <w:tabs>
                <w:tab w:val="left" w:pos="616"/>
              </w:tabs>
              <w:spacing w:line="320" w:lineRule="exact"/>
              <w:rPr>
                <w:rFonts w:ascii="宋体" w:hAnsi="宋体"/>
                <w:b/>
                <w:color w:val="0D0D0D"/>
                <w:kern w:val="0"/>
                <w:szCs w:val="21"/>
                <w:lang w:val="zh-CN"/>
              </w:rPr>
            </w:pPr>
          </w:p>
        </w:tc>
        <w:tc>
          <w:tcPr>
            <w:tcW w:w="851" w:type="dxa"/>
            <w:vMerge w:val="continue"/>
            <w:vAlign w:val="center"/>
          </w:tcPr>
          <w:p w14:paraId="019873F0">
            <w:pPr>
              <w:tabs>
                <w:tab w:val="left" w:pos="616"/>
              </w:tabs>
              <w:spacing w:line="320" w:lineRule="exact"/>
              <w:rPr>
                <w:rFonts w:ascii="宋体" w:hAnsi="宋体"/>
                <w:b/>
                <w:color w:val="0D0D0D"/>
                <w:kern w:val="0"/>
                <w:szCs w:val="21"/>
                <w:lang w:val="zh-CN"/>
              </w:rPr>
            </w:pPr>
          </w:p>
        </w:tc>
        <w:tc>
          <w:tcPr>
            <w:tcW w:w="2835" w:type="dxa"/>
            <w:vAlign w:val="center"/>
          </w:tcPr>
          <w:p w14:paraId="50A4781B">
            <w:pPr>
              <w:widowControl/>
              <w:adjustRightInd w:val="0"/>
              <w:snapToGrid w:val="0"/>
              <w:spacing w:line="320" w:lineRule="exact"/>
              <w:rPr>
                <w:rFonts w:ascii="宋体" w:hAnsi="宋体" w:cs="宋体"/>
                <w:kern w:val="0"/>
                <w:szCs w:val="21"/>
              </w:rPr>
            </w:pPr>
            <w:r>
              <w:rPr>
                <w:rFonts w:hint="eastAsia" w:ascii="宋体" w:hAnsi="宋体" w:cs="宋体"/>
                <w:kern w:val="0"/>
                <w:szCs w:val="21"/>
              </w:rPr>
              <w:t>1.4 有依法缴纳税收和社会保障资金的良好记录；</w:t>
            </w:r>
          </w:p>
        </w:tc>
        <w:tc>
          <w:tcPr>
            <w:tcW w:w="5518" w:type="dxa"/>
            <w:vAlign w:val="center"/>
          </w:tcPr>
          <w:p w14:paraId="50A08D4F">
            <w:pPr>
              <w:numPr>
                <w:ilvl w:val="0"/>
                <w:numId w:val="45"/>
              </w:numPr>
              <w:spacing w:line="320" w:lineRule="exact"/>
              <w:rPr>
                <w:rFonts w:ascii="宋体" w:hAnsi="宋体"/>
                <w:kern w:val="0"/>
                <w:szCs w:val="21"/>
              </w:rPr>
            </w:pPr>
            <w:r>
              <w:rPr>
                <w:rFonts w:hint="eastAsia" w:ascii="宋体" w:hAnsi="宋体"/>
                <w:kern w:val="0"/>
                <w:szCs w:val="21"/>
                <w:lang w:val="zh-CN"/>
              </w:rPr>
              <w:t>提供投标人近6个月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lang w:val="zh-CN"/>
              </w:rPr>
              <w:t>依法缴纳</w:t>
            </w:r>
            <w:r>
              <w:rPr>
                <w:rFonts w:hint="eastAsia" w:ascii="宋体" w:hAnsi="宋体"/>
                <w:kern w:val="0"/>
                <w:szCs w:val="21"/>
              </w:rPr>
              <w:t>税收的凭据（完税证、缴款书、银行代扣（代缴）转账凭证等均可）；</w:t>
            </w:r>
            <w:r>
              <w:rPr>
                <w:rFonts w:hint="eastAsia" w:ascii="宋体" w:hAnsi="宋体"/>
                <w:b/>
                <w:bCs/>
                <w:kern w:val="0"/>
                <w:szCs w:val="21"/>
              </w:rPr>
              <w:t>且需</w:t>
            </w:r>
            <w:r>
              <w:rPr>
                <w:rFonts w:hint="eastAsia" w:ascii="宋体" w:hAnsi="宋体"/>
                <w:kern w:val="0"/>
                <w:szCs w:val="21"/>
              </w:rPr>
              <w:t>提供投标人</w:t>
            </w:r>
            <w:r>
              <w:rPr>
                <w:rFonts w:hint="eastAsia" w:ascii="宋体" w:hAnsi="宋体"/>
                <w:kern w:val="0"/>
                <w:szCs w:val="21"/>
                <w:lang w:val="zh-CN"/>
              </w:rPr>
              <w:t>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rPr>
              <w:t>依法缴纳社会保障资金的凭据（专用收据、银行代扣（代缴）转账凭证或社会保险交纳清单等均可）；</w:t>
            </w:r>
          </w:p>
          <w:p w14:paraId="3A59EB6A">
            <w:pPr>
              <w:numPr>
                <w:ilvl w:val="0"/>
                <w:numId w:val="45"/>
              </w:numPr>
              <w:spacing w:line="320" w:lineRule="exact"/>
              <w:rPr>
                <w:rFonts w:ascii="宋体" w:hAnsi="宋体"/>
                <w:kern w:val="0"/>
                <w:szCs w:val="21"/>
                <w:lang w:val="zh-CN"/>
              </w:rPr>
            </w:pPr>
            <w:r>
              <w:rPr>
                <w:rFonts w:hint="eastAsia" w:ascii="宋体" w:hAnsi="宋体"/>
                <w:kern w:val="0"/>
                <w:szCs w:val="21"/>
              </w:rPr>
              <w:t>依法免税或不需要缴纳社会保障资金的投标人，应提供相应文件证明其依法</w:t>
            </w:r>
            <w:r>
              <w:rPr>
                <w:rFonts w:hint="eastAsia" w:ascii="宋体" w:hAnsi="宋体"/>
                <w:kern w:val="0"/>
                <w:szCs w:val="21"/>
                <w:lang w:val="zh-CN"/>
              </w:rPr>
              <w:t>免税或不需要交纳社会保障资金。</w:t>
            </w:r>
          </w:p>
          <w:p w14:paraId="26A90193">
            <w:pPr>
              <w:numPr>
                <w:ilvl w:val="0"/>
                <w:numId w:val="45"/>
              </w:numPr>
              <w:spacing w:line="320" w:lineRule="exact"/>
              <w:rPr>
                <w:rFonts w:ascii="宋体" w:hAnsi="宋体"/>
                <w:szCs w:val="21"/>
                <w:lang w:val="zh-CN"/>
              </w:rPr>
            </w:pPr>
            <w:r>
              <w:rPr>
                <w:rFonts w:hint="eastAsia" w:ascii="宋体" w:hAnsi="宋体"/>
                <w:kern w:val="0"/>
                <w:szCs w:val="21"/>
              </w:rPr>
              <w:t>或提供有依法缴纳税收和社会保障资金的良好记录的承诺</w:t>
            </w:r>
            <w:r>
              <w:rPr>
                <w:rFonts w:hint="eastAsia" w:ascii="宋体" w:hAnsi="宋体"/>
                <w:kern w:val="0"/>
                <w:szCs w:val="21"/>
                <w:lang w:val="zh-CN"/>
              </w:rPr>
              <w:t>。</w:t>
            </w:r>
          </w:p>
        </w:tc>
      </w:tr>
      <w:tr w14:paraId="15EC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7F94705C">
            <w:pPr>
              <w:tabs>
                <w:tab w:val="left" w:pos="616"/>
              </w:tabs>
              <w:spacing w:line="320" w:lineRule="exact"/>
              <w:rPr>
                <w:rFonts w:ascii="宋体" w:hAnsi="宋体"/>
                <w:b/>
                <w:color w:val="0D0D0D"/>
                <w:kern w:val="0"/>
                <w:szCs w:val="21"/>
                <w:lang w:val="zh-CN"/>
              </w:rPr>
            </w:pPr>
          </w:p>
        </w:tc>
        <w:tc>
          <w:tcPr>
            <w:tcW w:w="851" w:type="dxa"/>
            <w:vMerge w:val="continue"/>
            <w:vAlign w:val="center"/>
          </w:tcPr>
          <w:p w14:paraId="7CA78695">
            <w:pPr>
              <w:tabs>
                <w:tab w:val="left" w:pos="616"/>
              </w:tabs>
              <w:spacing w:line="320" w:lineRule="exact"/>
              <w:rPr>
                <w:rFonts w:ascii="宋体" w:hAnsi="宋体"/>
                <w:b/>
                <w:color w:val="0D0D0D"/>
                <w:kern w:val="0"/>
                <w:szCs w:val="21"/>
                <w:lang w:val="zh-CN"/>
              </w:rPr>
            </w:pPr>
          </w:p>
        </w:tc>
        <w:tc>
          <w:tcPr>
            <w:tcW w:w="2835" w:type="dxa"/>
            <w:vAlign w:val="center"/>
          </w:tcPr>
          <w:p w14:paraId="41E30A6C">
            <w:pPr>
              <w:adjustRightInd w:val="0"/>
              <w:snapToGrid w:val="0"/>
              <w:spacing w:line="320" w:lineRule="exact"/>
              <w:rPr>
                <w:rFonts w:ascii="宋体" w:hAnsi="宋体" w:cs="宋体"/>
                <w:kern w:val="0"/>
                <w:szCs w:val="21"/>
              </w:rPr>
            </w:pPr>
            <w:r>
              <w:rPr>
                <w:rFonts w:hint="eastAsia" w:ascii="宋体" w:hAnsi="宋体" w:cs="宋体"/>
                <w:kern w:val="0"/>
                <w:szCs w:val="21"/>
              </w:rPr>
              <w:t>1.5参加政府采购活动前三年内，在经营活动中没有重大违法记录；</w:t>
            </w:r>
          </w:p>
        </w:tc>
        <w:tc>
          <w:tcPr>
            <w:tcW w:w="5518" w:type="dxa"/>
            <w:vAlign w:val="center"/>
          </w:tcPr>
          <w:p w14:paraId="3E13BAA9">
            <w:pPr>
              <w:tabs>
                <w:tab w:val="left" w:pos="616"/>
              </w:tabs>
              <w:spacing w:line="320" w:lineRule="exact"/>
              <w:rPr>
                <w:rFonts w:ascii="宋体" w:hAnsi="宋体"/>
                <w:color w:val="0D0D0D"/>
                <w:kern w:val="0"/>
                <w:szCs w:val="21"/>
              </w:rPr>
            </w:pPr>
            <w:r>
              <w:rPr>
                <w:rFonts w:hint="eastAsia" w:ascii="宋体" w:hAnsi="宋体"/>
                <w:color w:val="0D0D0D"/>
                <w:kern w:val="0"/>
                <w:szCs w:val="21"/>
              </w:rPr>
              <w:t>提供</w:t>
            </w:r>
            <w:r>
              <w:rPr>
                <w:rFonts w:ascii="宋体" w:hAnsi="宋体"/>
                <w:color w:val="0D0D0D"/>
                <w:kern w:val="0"/>
                <w:szCs w:val="21"/>
              </w:rPr>
              <w:t>无</w:t>
            </w:r>
            <w:r>
              <w:rPr>
                <w:rFonts w:hint="eastAsia" w:ascii="宋体" w:hAnsi="宋体" w:cs="宋体"/>
                <w:kern w:val="0"/>
                <w:szCs w:val="21"/>
              </w:rPr>
              <w:t>重大违法记录声明函。</w:t>
            </w:r>
          </w:p>
        </w:tc>
      </w:tr>
      <w:tr w14:paraId="3C7C2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14:paraId="33F5EF0D">
            <w:pPr>
              <w:tabs>
                <w:tab w:val="left" w:pos="616"/>
              </w:tabs>
              <w:spacing w:line="320" w:lineRule="exact"/>
              <w:rPr>
                <w:rFonts w:ascii="宋体" w:hAnsi="宋体"/>
                <w:b/>
                <w:color w:val="0D0D0D"/>
                <w:kern w:val="0"/>
                <w:szCs w:val="21"/>
              </w:rPr>
            </w:pPr>
          </w:p>
        </w:tc>
        <w:tc>
          <w:tcPr>
            <w:tcW w:w="851" w:type="dxa"/>
            <w:vMerge w:val="continue"/>
            <w:vAlign w:val="center"/>
          </w:tcPr>
          <w:p w14:paraId="7CE09525">
            <w:pPr>
              <w:tabs>
                <w:tab w:val="left" w:pos="616"/>
              </w:tabs>
              <w:spacing w:line="320" w:lineRule="exact"/>
              <w:rPr>
                <w:rFonts w:ascii="宋体" w:hAnsi="宋体"/>
                <w:b/>
                <w:color w:val="0D0D0D"/>
                <w:kern w:val="0"/>
                <w:szCs w:val="21"/>
              </w:rPr>
            </w:pPr>
          </w:p>
        </w:tc>
        <w:tc>
          <w:tcPr>
            <w:tcW w:w="2835" w:type="dxa"/>
            <w:vAlign w:val="center"/>
          </w:tcPr>
          <w:p w14:paraId="4EC69AF6">
            <w:pPr>
              <w:adjustRightInd w:val="0"/>
              <w:snapToGrid w:val="0"/>
              <w:spacing w:line="320" w:lineRule="exact"/>
              <w:rPr>
                <w:rFonts w:ascii="宋体" w:hAnsi="宋体" w:cs="宋体"/>
                <w:kern w:val="0"/>
                <w:szCs w:val="21"/>
              </w:rPr>
            </w:pPr>
            <w:r>
              <w:rPr>
                <w:rFonts w:hint="eastAsia" w:ascii="宋体" w:hAnsi="宋体" w:cs="宋体"/>
                <w:kern w:val="0"/>
                <w:szCs w:val="21"/>
              </w:rPr>
              <w:t>1.6 法律、行政法规规定的其他条件。</w:t>
            </w:r>
          </w:p>
        </w:tc>
        <w:tc>
          <w:tcPr>
            <w:tcW w:w="5518" w:type="dxa"/>
            <w:vAlign w:val="center"/>
          </w:tcPr>
          <w:p w14:paraId="3433A636">
            <w:pPr>
              <w:tabs>
                <w:tab w:val="left" w:pos="616"/>
              </w:tabs>
              <w:spacing w:line="320" w:lineRule="exact"/>
              <w:rPr>
                <w:rFonts w:ascii="宋体" w:hAnsi="宋体"/>
                <w:kern w:val="0"/>
                <w:szCs w:val="21"/>
                <w:lang w:val="zh-CN"/>
              </w:rPr>
            </w:pPr>
            <w:r>
              <w:rPr>
                <w:rFonts w:hint="eastAsia" w:ascii="宋体" w:hAnsi="宋体"/>
                <w:kern w:val="0"/>
                <w:szCs w:val="21"/>
                <w:lang w:val="zh-CN"/>
              </w:rPr>
              <w:t>国家对生产和销售相关产品或提供相关服务有专门法律、行政法规规定的，则必须提供取得国家有关主管部门行政许可的证明材料（如无</w:t>
            </w:r>
            <w:r>
              <w:rPr>
                <w:rFonts w:ascii="宋体" w:hAnsi="宋体"/>
                <w:kern w:val="0"/>
                <w:szCs w:val="21"/>
                <w:lang w:val="zh-CN"/>
              </w:rPr>
              <w:t>相关规定</w:t>
            </w:r>
            <w:r>
              <w:rPr>
                <w:rFonts w:hint="eastAsia" w:ascii="宋体" w:hAnsi="宋体"/>
                <w:kern w:val="0"/>
                <w:szCs w:val="21"/>
                <w:lang w:val="zh-CN"/>
              </w:rPr>
              <w:t>则</w:t>
            </w:r>
            <w:r>
              <w:rPr>
                <w:rFonts w:ascii="宋体" w:hAnsi="宋体"/>
                <w:kern w:val="0"/>
                <w:szCs w:val="21"/>
                <w:lang w:val="zh-CN"/>
              </w:rPr>
              <w:t>无需提供</w:t>
            </w:r>
            <w:r>
              <w:rPr>
                <w:rFonts w:hint="eastAsia" w:ascii="宋体" w:hAnsi="宋体"/>
                <w:kern w:val="0"/>
                <w:szCs w:val="21"/>
                <w:lang w:val="zh-CN"/>
              </w:rPr>
              <w:t>）。</w:t>
            </w:r>
          </w:p>
        </w:tc>
      </w:tr>
      <w:tr w14:paraId="487E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02DAFCDD">
            <w:pPr>
              <w:adjustRightInd w:val="0"/>
              <w:snapToGrid w:val="0"/>
              <w:spacing w:line="320" w:lineRule="exact"/>
              <w:ind w:left="210" w:hanging="210" w:hangingChars="100"/>
              <w:rPr>
                <w:rFonts w:ascii="宋体" w:hAnsi="宋体" w:cs="宋体"/>
                <w:kern w:val="0"/>
                <w:szCs w:val="21"/>
              </w:rPr>
            </w:pPr>
            <w:r>
              <w:rPr>
                <w:rFonts w:hint="eastAsia" w:ascii="宋体" w:hAnsi="宋体" w:cs="宋体"/>
                <w:kern w:val="0"/>
                <w:szCs w:val="21"/>
              </w:rPr>
              <w:t>2</w:t>
            </w:r>
          </w:p>
        </w:tc>
        <w:tc>
          <w:tcPr>
            <w:tcW w:w="3686" w:type="dxa"/>
            <w:gridSpan w:val="2"/>
            <w:vAlign w:val="center"/>
          </w:tcPr>
          <w:p w14:paraId="26236987">
            <w:pPr>
              <w:spacing w:line="320" w:lineRule="exact"/>
              <w:rPr>
                <w:rFonts w:ascii="宋体" w:hAnsi="宋体"/>
                <w:kern w:val="0"/>
                <w:szCs w:val="21"/>
              </w:rPr>
            </w:pPr>
            <w:r>
              <w:rPr>
                <w:rFonts w:hint="eastAsia"/>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14:paraId="37941F36">
            <w:pPr>
              <w:pStyle w:val="25"/>
              <w:spacing w:line="320" w:lineRule="exact"/>
              <w:ind w:left="0" w:firstLine="0"/>
              <w:rPr>
                <w:rFonts w:ascii="宋体" w:hAnsi="宋体"/>
                <w:szCs w:val="21"/>
                <w:highlight w:val="yellow"/>
                <w:lang w:val="zh-CN"/>
              </w:rPr>
            </w:pPr>
            <w:r>
              <w:t>由投标人自行提供，</w:t>
            </w:r>
            <w:r>
              <w:rPr>
                <w:rFonts w:hint="eastAsia" w:ascii="宋体" w:hAnsi="宋体"/>
                <w:color w:val="0D0D0D"/>
                <w:kern w:val="0"/>
                <w:szCs w:val="21"/>
              </w:rPr>
              <w:t>以</w:t>
            </w:r>
            <w:r>
              <w:rPr>
                <w:rFonts w:hint="eastAsia" w:ascii="宋体" w:hAnsi="宋体"/>
                <w:color w:val="0D0D0D"/>
                <w:kern w:val="0"/>
                <w:szCs w:val="21"/>
                <w:lang w:val="zh-CN"/>
              </w:rPr>
              <w:t>采购代理机构</w:t>
            </w:r>
            <w:r>
              <w:rPr>
                <w:rFonts w:hint="eastAsia" w:ascii="宋体" w:hAnsi="宋体"/>
                <w:color w:val="0D0D0D"/>
                <w:kern w:val="0"/>
                <w:szCs w:val="21"/>
              </w:rPr>
              <w:t>评审现场时</w:t>
            </w:r>
            <w:r>
              <w:rPr>
                <w:rFonts w:hint="eastAsia" w:ascii="宋体" w:hAnsi="宋体"/>
                <w:color w:val="0D0D0D"/>
                <w:kern w:val="0"/>
                <w:szCs w:val="21"/>
                <w:lang w:val="zh-CN"/>
              </w:rPr>
              <w:t>查询</w:t>
            </w:r>
            <w:r>
              <w:rPr>
                <w:rFonts w:hint="eastAsia" w:ascii="宋体" w:hAnsi="宋体"/>
                <w:color w:val="0D0D0D"/>
                <w:kern w:val="0"/>
                <w:szCs w:val="21"/>
              </w:rPr>
              <w:t>为准</w:t>
            </w:r>
            <w:r>
              <w:rPr>
                <w:rFonts w:hint="eastAsia" w:ascii="宋体" w:hAnsi="宋体"/>
                <w:color w:val="0D0D0D"/>
                <w:kern w:val="0"/>
                <w:szCs w:val="21"/>
                <w:lang w:val="zh-CN"/>
              </w:rPr>
              <w:t>。</w:t>
            </w:r>
          </w:p>
        </w:tc>
      </w:tr>
      <w:tr w14:paraId="2A60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2B17108B">
            <w:pPr>
              <w:adjustRightInd w:val="0"/>
              <w:snapToGrid w:val="0"/>
              <w:spacing w:line="320" w:lineRule="exact"/>
              <w:ind w:left="210" w:hanging="210" w:hangingChars="100"/>
              <w:rPr>
                <w:rFonts w:ascii="宋体" w:hAnsi="宋体" w:cs="宋体"/>
                <w:kern w:val="0"/>
                <w:szCs w:val="21"/>
              </w:rPr>
            </w:pPr>
            <w:r>
              <w:rPr>
                <w:rFonts w:hint="eastAsia" w:ascii="宋体" w:hAnsi="宋体" w:cs="宋体"/>
                <w:kern w:val="0"/>
                <w:szCs w:val="21"/>
              </w:rPr>
              <w:t>3</w:t>
            </w:r>
          </w:p>
        </w:tc>
        <w:tc>
          <w:tcPr>
            <w:tcW w:w="3686" w:type="dxa"/>
            <w:gridSpan w:val="2"/>
            <w:vAlign w:val="center"/>
          </w:tcPr>
          <w:p w14:paraId="2EE26144">
            <w:pPr>
              <w:spacing w:line="320" w:lineRule="exact"/>
              <w:rPr>
                <w:rFonts w:ascii="宋体" w:hAnsi="宋体"/>
                <w:kern w:val="0"/>
                <w:szCs w:val="21"/>
              </w:rPr>
            </w:pPr>
            <w:r>
              <w:rPr>
                <w:rFonts w:hint="eastAsia" w:ascii="宋体" w:hAnsi="宋体"/>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14:paraId="3DBA2D18">
            <w:pPr>
              <w:tabs>
                <w:tab w:val="left" w:pos="616"/>
              </w:tabs>
              <w:spacing w:line="320" w:lineRule="exact"/>
              <w:rPr>
                <w:rFonts w:ascii="宋体" w:hAnsi="宋体"/>
                <w:color w:val="0D0D0D"/>
                <w:kern w:val="0"/>
                <w:szCs w:val="21"/>
                <w:lang w:val="zh-CN"/>
              </w:rPr>
            </w:pPr>
            <w:r>
              <w:rPr>
                <w:rFonts w:hint="eastAsia" w:ascii="宋体" w:hAnsi="宋体"/>
                <w:color w:val="0D0D0D"/>
                <w:kern w:val="0"/>
                <w:szCs w:val="21"/>
                <w:lang w:val="zh-CN"/>
              </w:rPr>
              <w:t>由投标人自行提供。</w:t>
            </w:r>
          </w:p>
        </w:tc>
      </w:tr>
      <w:tr w14:paraId="65D2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5C85549B">
            <w:pPr>
              <w:adjustRightInd w:val="0"/>
              <w:snapToGrid w:val="0"/>
              <w:spacing w:line="320" w:lineRule="exact"/>
              <w:ind w:left="210" w:hanging="210" w:hangingChars="100"/>
              <w:rPr>
                <w:rFonts w:ascii="宋体" w:hAnsi="宋体" w:cs="宋体"/>
                <w:kern w:val="0"/>
                <w:szCs w:val="21"/>
              </w:rPr>
            </w:pPr>
            <w:r>
              <w:rPr>
                <w:rFonts w:hint="eastAsia" w:ascii="宋体" w:hAnsi="宋体" w:cs="宋体"/>
                <w:kern w:val="0"/>
                <w:szCs w:val="21"/>
              </w:rPr>
              <w:t>4</w:t>
            </w:r>
          </w:p>
        </w:tc>
        <w:tc>
          <w:tcPr>
            <w:tcW w:w="3686" w:type="dxa"/>
            <w:gridSpan w:val="2"/>
            <w:vAlign w:val="center"/>
          </w:tcPr>
          <w:p w14:paraId="020BA1BE">
            <w:pPr>
              <w:spacing w:line="320" w:lineRule="exact"/>
              <w:rPr>
                <w:rFonts w:ascii="宋体" w:hAnsi="宋体"/>
                <w:kern w:val="0"/>
                <w:szCs w:val="21"/>
              </w:rPr>
            </w:pPr>
            <w:r>
              <w:rPr>
                <w:rFonts w:hint="eastAsia" w:ascii="宋体" w:hAnsi="宋体"/>
                <w:kern w:val="0"/>
                <w:szCs w:val="21"/>
              </w:rPr>
              <w:t>符合招标文件第一章第二条对投标人或投标货物的</w:t>
            </w:r>
            <w:r>
              <w:rPr>
                <w:rFonts w:hint="eastAsia" w:ascii="宋体" w:hAnsi="宋体" w:cs="宋体"/>
                <w:kern w:val="0"/>
                <w:szCs w:val="21"/>
              </w:rPr>
              <w:t>其他</w:t>
            </w:r>
            <w:r>
              <w:rPr>
                <w:rFonts w:hint="eastAsia" w:ascii="宋体" w:hAnsi="宋体"/>
                <w:kern w:val="0"/>
                <w:szCs w:val="21"/>
              </w:rPr>
              <w:t>特定资格要求。</w:t>
            </w:r>
          </w:p>
        </w:tc>
        <w:tc>
          <w:tcPr>
            <w:tcW w:w="5518" w:type="dxa"/>
            <w:vAlign w:val="center"/>
          </w:tcPr>
          <w:p w14:paraId="1348AAED">
            <w:pPr>
              <w:tabs>
                <w:tab w:val="left" w:pos="616"/>
              </w:tabs>
              <w:spacing w:line="320" w:lineRule="exact"/>
              <w:rPr>
                <w:rFonts w:ascii="宋体" w:hAnsi="宋体"/>
                <w:kern w:val="0"/>
                <w:szCs w:val="21"/>
                <w:lang w:val="zh-CN"/>
              </w:rPr>
            </w:pPr>
            <w:r>
              <w:rPr>
                <w:rFonts w:hint="eastAsia" w:ascii="宋体" w:hAnsi="宋体"/>
                <w:kern w:val="0"/>
                <w:szCs w:val="21"/>
                <w:lang w:val="zh-CN"/>
              </w:rPr>
              <w:t>/</w:t>
            </w:r>
          </w:p>
        </w:tc>
      </w:tr>
      <w:tr w14:paraId="1D360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44BF154D">
            <w:pPr>
              <w:adjustRightInd w:val="0"/>
              <w:snapToGrid w:val="0"/>
              <w:spacing w:line="320" w:lineRule="exact"/>
              <w:ind w:left="210" w:hanging="210" w:hangingChars="100"/>
              <w:rPr>
                <w:rFonts w:ascii="宋体" w:hAnsi="宋体"/>
                <w:color w:val="0D0D0D"/>
                <w:kern w:val="0"/>
                <w:szCs w:val="21"/>
              </w:rPr>
            </w:pPr>
            <w:r>
              <w:rPr>
                <w:rFonts w:hint="eastAsia" w:ascii="宋体" w:hAnsi="宋体"/>
                <w:color w:val="0D0D0D"/>
                <w:kern w:val="0"/>
                <w:szCs w:val="21"/>
              </w:rPr>
              <w:t>5</w:t>
            </w:r>
          </w:p>
        </w:tc>
        <w:tc>
          <w:tcPr>
            <w:tcW w:w="3686" w:type="dxa"/>
            <w:gridSpan w:val="2"/>
            <w:vAlign w:val="center"/>
          </w:tcPr>
          <w:p w14:paraId="71A0F73F">
            <w:pPr>
              <w:spacing w:line="320" w:lineRule="exact"/>
              <w:rPr>
                <w:rFonts w:ascii="宋体" w:hAnsi="宋体"/>
                <w:kern w:val="0"/>
                <w:szCs w:val="21"/>
              </w:rPr>
            </w:pPr>
            <w:r>
              <w:rPr>
                <w:rFonts w:hint="eastAsia" w:ascii="宋体" w:hAnsi="宋体"/>
                <w:kern w:val="0"/>
                <w:szCs w:val="21"/>
              </w:rPr>
              <w:t>符合招标文件文件第一章第二条关于落实政府采购政策资格要求。</w:t>
            </w:r>
          </w:p>
        </w:tc>
        <w:tc>
          <w:tcPr>
            <w:tcW w:w="5518" w:type="dxa"/>
            <w:vAlign w:val="center"/>
          </w:tcPr>
          <w:p w14:paraId="473A28A4">
            <w:pPr>
              <w:tabs>
                <w:tab w:val="left" w:pos="616"/>
              </w:tabs>
              <w:spacing w:line="320" w:lineRule="exact"/>
              <w:rPr>
                <w:rFonts w:ascii="宋体" w:hAnsi="宋体"/>
                <w:kern w:val="0"/>
                <w:szCs w:val="21"/>
                <w:lang w:val="zh-CN"/>
              </w:rPr>
            </w:pPr>
            <w:r>
              <w:rPr>
                <w:rFonts w:hint="eastAsia" w:ascii="宋体" w:hAnsi="宋体"/>
                <w:kern w:val="0"/>
                <w:szCs w:val="21"/>
                <w:lang w:val="zh-CN"/>
              </w:rPr>
              <w:t>/</w:t>
            </w:r>
          </w:p>
        </w:tc>
      </w:tr>
      <w:tr w14:paraId="597A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14:paraId="3C92FED5">
            <w:pPr>
              <w:adjustRightInd w:val="0"/>
              <w:snapToGrid w:val="0"/>
              <w:spacing w:line="320" w:lineRule="exact"/>
              <w:rPr>
                <w:rFonts w:ascii="宋体" w:hAnsi="宋体"/>
                <w:color w:val="0D0D0D"/>
                <w:kern w:val="0"/>
                <w:szCs w:val="21"/>
              </w:rPr>
            </w:pPr>
            <w:r>
              <w:rPr>
                <w:rFonts w:hint="eastAsia" w:ascii="宋体" w:hAnsi="宋体"/>
                <w:color w:val="0D0D0D"/>
                <w:kern w:val="0"/>
                <w:szCs w:val="21"/>
              </w:rPr>
              <w:t>6</w:t>
            </w:r>
          </w:p>
        </w:tc>
        <w:tc>
          <w:tcPr>
            <w:tcW w:w="3686" w:type="dxa"/>
            <w:gridSpan w:val="2"/>
            <w:vAlign w:val="center"/>
          </w:tcPr>
          <w:p w14:paraId="6E47109C">
            <w:pPr>
              <w:spacing w:line="320" w:lineRule="exact"/>
              <w:rPr>
                <w:rFonts w:ascii="宋体" w:hAnsi="宋体"/>
                <w:kern w:val="0"/>
                <w:szCs w:val="21"/>
              </w:rPr>
            </w:pPr>
            <w:r>
              <w:rPr>
                <w:rFonts w:hint="eastAsia" w:ascii="宋体" w:hAnsi="宋体"/>
                <w:kern w:val="0"/>
                <w:szCs w:val="21"/>
              </w:rPr>
              <w:t>符合招标文件对联合体的规定。</w:t>
            </w:r>
          </w:p>
        </w:tc>
        <w:tc>
          <w:tcPr>
            <w:tcW w:w="5518" w:type="dxa"/>
            <w:vAlign w:val="center"/>
          </w:tcPr>
          <w:p w14:paraId="37552BB4">
            <w:pPr>
              <w:spacing w:line="320" w:lineRule="exact"/>
              <w:rPr>
                <w:rFonts w:ascii="宋体" w:hAnsi="宋体"/>
                <w:kern w:val="0"/>
                <w:szCs w:val="21"/>
                <w:lang w:val="zh-CN"/>
              </w:rPr>
            </w:pPr>
            <w:r>
              <w:rPr>
                <w:rFonts w:hint="eastAsia" w:ascii="宋体" w:hAnsi="宋体"/>
                <w:kern w:val="0"/>
                <w:szCs w:val="21"/>
                <w:lang w:val="zh-CN"/>
              </w:rPr>
              <w:t>/</w:t>
            </w:r>
          </w:p>
        </w:tc>
      </w:tr>
    </w:tbl>
    <w:p w14:paraId="4AF88209"/>
    <w:p w14:paraId="3AA165C4">
      <w:pPr>
        <w:keepNext/>
        <w:keepLines/>
        <w:numPr>
          <w:ilvl w:val="0"/>
          <w:numId w:val="41"/>
        </w:numPr>
        <w:spacing w:line="276" w:lineRule="auto"/>
        <w:ind w:left="616" w:hanging="616"/>
        <w:jc w:val="left"/>
        <w:outlineLvl w:val="1"/>
        <w:rPr>
          <w:rFonts w:ascii="宋体" w:hAnsi="宋体"/>
          <w:b/>
          <w:color w:val="0D0D0D"/>
          <w:szCs w:val="21"/>
          <w:lang w:val="zh-CN"/>
        </w:rPr>
      </w:pPr>
      <w:bookmarkStart w:id="57" w:name="_Toc97815017"/>
      <w:r>
        <w:rPr>
          <w:rFonts w:hint="eastAsia" w:ascii="宋体" w:hAnsi="宋体"/>
          <w:b/>
          <w:kern w:val="0"/>
          <w:szCs w:val="21"/>
          <w:lang w:val="zh-CN"/>
        </w:rPr>
        <w:t>确定资格审查合格投标人</w:t>
      </w:r>
      <w:bookmarkEnd w:id="57"/>
    </w:p>
    <w:p w14:paraId="5CC9E984">
      <w:pPr>
        <w:numPr>
          <w:ilvl w:val="0"/>
          <w:numId w:val="46"/>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资格审查小组依据对各投标人资格证明文件的审查结果，确定资格审查合格的投标人，并形成书面的资格审查报告。</w:t>
      </w:r>
    </w:p>
    <w:p w14:paraId="49105A93">
      <w:pPr>
        <w:numPr>
          <w:ilvl w:val="0"/>
          <w:numId w:val="46"/>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资格审查合格投标人不足3家的，不进行评标。</w:t>
      </w:r>
    </w:p>
    <w:p w14:paraId="136F8947">
      <w:pPr>
        <w:numPr>
          <w:ilvl w:val="0"/>
          <w:numId w:val="46"/>
        </w:numPr>
        <w:adjustRightInd w:val="0"/>
        <w:snapToGrid w:val="0"/>
        <w:spacing w:line="276" w:lineRule="auto"/>
        <w:ind w:left="756" w:hanging="504"/>
        <w:rPr>
          <w:rFonts w:ascii="宋体" w:hAnsi="宋体"/>
          <w:szCs w:val="21"/>
          <w:lang w:val="zh-CN"/>
        </w:rPr>
      </w:pPr>
      <w:r>
        <w:rPr>
          <w:rFonts w:hint="eastAsia" w:ascii="宋体" w:hAnsi="宋体"/>
          <w:szCs w:val="21"/>
          <w:lang w:val="zh-CN"/>
        </w:rPr>
        <w:t>资格审查未通过的投标人可在项目结果公告质疑有效期内按公告中的联系方式获知本人的资格审查情况。</w:t>
      </w:r>
    </w:p>
    <w:p w14:paraId="38F23465">
      <w:pPr>
        <w:widowControl/>
        <w:numPr>
          <w:ilvl w:val="0"/>
          <w:numId w:val="46"/>
        </w:numPr>
        <w:adjustRightInd w:val="0"/>
        <w:snapToGrid w:val="0"/>
        <w:spacing w:line="276" w:lineRule="auto"/>
        <w:ind w:left="756" w:hanging="504"/>
        <w:jc w:val="left"/>
        <w:rPr>
          <w:rFonts w:ascii="宋体" w:hAnsi="宋体"/>
          <w:szCs w:val="21"/>
          <w:lang w:val="zh-CN"/>
        </w:rPr>
      </w:pPr>
      <w:r>
        <w:rPr>
          <w:rFonts w:hint="eastAsia" w:ascii="宋体" w:hAnsi="宋体"/>
          <w:szCs w:val="21"/>
          <w:lang w:val="zh-CN"/>
        </w:rPr>
        <w:t>采购人已进行资格预审的，不再进行资格审查。未通过资格预审的投标人采购代理机构</w:t>
      </w:r>
      <w:r>
        <w:rPr>
          <w:rFonts w:hint="eastAsia" w:ascii="宋体" w:hAnsi="宋体"/>
          <w:b/>
          <w:szCs w:val="21"/>
          <w:lang w:val="zh-CN"/>
        </w:rPr>
        <w:t>拒绝</w:t>
      </w:r>
      <w:r>
        <w:rPr>
          <w:rFonts w:hint="eastAsia" w:ascii="宋体" w:hAnsi="宋体"/>
          <w:szCs w:val="21"/>
          <w:lang w:val="zh-CN"/>
        </w:rPr>
        <w:t>其投标。</w:t>
      </w:r>
    </w:p>
    <w:p w14:paraId="3ED0EB19">
      <w:pPr>
        <w:tabs>
          <w:tab w:val="left" w:pos="616"/>
        </w:tabs>
        <w:spacing w:line="276" w:lineRule="auto"/>
        <w:ind w:left="252"/>
        <w:rPr>
          <w:rFonts w:ascii="宋体" w:hAnsi="宋体"/>
          <w:b/>
          <w:color w:val="0D0D0D"/>
          <w:szCs w:val="21"/>
          <w:lang w:val="zh-CN"/>
        </w:rPr>
      </w:pPr>
    </w:p>
    <w:p w14:paraId="6FD7E0D7">
      <w:pPr>
        <w:spacing w:line="276" w:lineRule="auto"/>
        <w:jc w:val="center"/>
        <w:outlineLvl w:val="0"/>
        <w:rPr>
          <w:rFonts w:ascii="黑体" w:hAnsi="黑体" w:eastAsia="黑体"/>
          <w:sz w:val="28"/>
          <w:szCs w:val="28"/>
        </w:rPr>
      </w:pPr>
      <w:r>
        <w:rPr>
          <w:kern w:val="0"/>
          <w:szCs w:val="21"/>
        </w:rPr>
        <w:br w:type="page"/>
      </w:r>
      <w:bookmarkStart w:id="58" w:name="_Toc97815018"/>
      <w:r>
        <w:rPr>
          <w:rFonts w:hint="eastAsia" w:ascii="黑体" w:hAnsi="黑体" w:eastAsia="黑体"/>
          <w:sz w:val="28"/>
          <w:szCs w:val="28"/>
        </w:rPr>
        <w:t>第五章  评标方法、程序及标准</w:t>
      </w:r>
      <w:bookmarkEnd w:id="58"/>
    </w:p>
    <w:p w14:paraId="47D9923D">
      <w:pPr>
        <w:spacing w:line="276" w:lineRule="auto"/>
        <w:ind w:firstLine="420" w:firstLineChars="200"/>
        <w:rPr>
          <w:rFonts w:ascii="宋体" w:hAnsi="宋体"/>
          <w:bCs/>
          <w:szCs w:val="21"/>
          <w:lang w:val="zh-CN"/>
        </w:rPr>
      </w:pPr>
      <w:r>
        <w:rPr>
          <w:rFonts w:hint="eastAsia" w:ascii="宋体" w:hAnsi="宋体"/>
          <w:bCs/>
          <w:szCs w:val="21"/>
          <w:lang w:val="zh-CN"/>
        </w:rPr>
        <w:t>根据《中华人民共和国政府采购法》、《中华人民共和国政府采购法实施条例》、《政府采购货物和服务招标投标管理办法》（财政部令第87号）等相关法律法规确定以下评标办法、程序及标准。</w:t>
      </w:r>
    </w:p>
    <w:p w14:paraId="00CC0B00">
      <w:pPr>
        <w:keepNext/>
        <w:keepLines/>
        <w:numPr>
          <w:ilvl w:val="0"/>
          <w:numId w:val="47"/>
        </w:numPr>
        <w:spacing w:line="276" w:lineRule="auto"/>
        <w:ind w:left="616" w:hanging="616"/>
        <w:jc w:val="left"/>
        <w:outlineLvl w:val="1"/>
        <w:rPr>
          <w:rFonts w:ascii="宋体" w:hAnsi="宋体"/>
          <w:b/>
          <w:kern w:val="0"/>
          <w:szCs w:val="21"/>
          <w:lang w:val="zh-CN"/>
        </w:rPr>
      </w:pPr>
      <w:bookmarkStart w:id="59" w:name="_Toc278891605"/>
      <w:bookmarkStart w:id="60" w:name="_Toc272247708"/>
      <w:bookmarkStart w:id="61" w:name="_Toc494561961"/>
      <w:bookmarkStart w:id="62" w:name="_Toc97815019"/>
      <w:r>
        <w:rPr>
          <w:rFonts w:hint="eastAsia" w:ascii="宋体" w:hAnsi="宋体"/>
          <w:b/>
          <w:kern w:val="0"/>
          <w:szCs w:val="21"/>
          <w:lang w:val="zh-CN"/>
        </w:rPr>
        <w:t>评标</w:t>
      </w:r>
      <w:bookmarkEnd w:id="59"/>
      <w:bookmarkEnd w:id="60"/>
      <w:r>
        <w:rPr>
          <w:rFonts w:hint="eastAsia" w:ascii="宋体" w:hAnsi="宋体"/>
          <w:b/>
          <w:kern w:val="0"/>
          <w:szCs w:val="21"/>
          <w:lang w:val="zh-CN"/>
        </w:rPr>
        <w:t>方法</w:t>
      </w:r>
      <w:bookmarkEnd w:id="61"/>
      <w:bookmarkEnd w:id="62"/>
    </w:p>
    <w:p w14:paraId="2ECEB480">
      <w:pPr>
        <w:spacing w:line="276" w:lineRule="auto"/>
        <w:ind w:firstLine="420" w:firstLineChars="200"/>
        <w:rPr>
          <w:rFonts w:ascii="宋体" w:hAnsi="宋体"/>
          <w:bCs/>
          <w:szCs w:val="21"/>
          <w:lang w:val="zh-CN"/>
        </w:rPr>
      </w:pPr>
      <w:r>
        <w:rPr>
          <w:rFonts w:hint="eastAsia" w:ascii="宋体" w:hAnsi="宋体"/>
          <w:bCs/>
          <w:szCs w:val="21"/>
          <w:lang w:val="zh-CN"/>
        </w:rPr>
        <w:t>本项目评标采用综合评分法。综合评分法是指投标文件满足招标文件全部实质性要求，且按照评审因素的量化指标评审得分最高的投标人为中标候选人的评标方法。</w:t>
      </w:r>
    </w:p>
    <w:p w14:paraId="4AEF6080">
      <w:pPr>
        <w:keepNext/>
        <w:keepLines/>
        <w:numPr>
          <w:ilvl w:val="0"/>
          <w:numId w:val="47"/>
        </w:numPr>
        <w:spacing w:line="276" w:lineRule="auto"/>
        <w:ind w:left="616" w:hanging="616"/>
        <w:jc w:val="left"/>
        <w:outlineLvl w:val="1"/>
        <w:rPr>
          <w:rFonts w:ascii="宋体" w:hAnsi="宋体"/>
          <w:b/>
          <w:kern w:val="0"/>
          <w:szCs w:val="21"/>
          <w:lang w:val="zh-CN"/>
        </w:rPr>
      </w:pPr>
      <w:bookmarkStart w:id="63" w:name="_Toc278891606"/>
      <w:bookmarkStart w:id="64" w:name="_Toc272247709"/>
      <w:bookmarkStart w:id="65" w:name="_Toc494561962"/>
      <w:bookmarkStart w:id="66" w:name="_Toc97815020"/>
      <w:r>
        <w:rPr>
          <w:rFonts w:hint="eastAsia" w:ascii="宋体" w:hAnsi="宋体"/>
          <w:b/>
          <w:kern w:val="0"/>
          <w:szCs w:val="21"/>
          <w:lang w:val="zh-CN"/>
        </w:rPr>
        <w:t>评标程序</w:t>
      </w:r>
      <w:bookmarkEnd w:id="63"/>
      <w:bookmarkEnd w:id="64"/>
      <w:r>
        <w:rPr>
          <w:rFonts w:hint="eastAsia" w:ascii="宋体" w:hAnsi="宋体"/>
          <w:b/>
          <w:kern w:val="0"/>
          <w:szCs w:val="21"/>
          <w:lang w:val="zh-CN"/>
        </w:rPr>
        <w:t>及标准</w:t>
      </w:r>
      <w:bookmarkEnd w:id="65"/>
      <w:bookmarkEnd w:id="66"/>
    </w:p>
    <w:p w14:paraId="5C55F736">
      <w:pPr>
        <w:spacing w:line="276" w:lineRule="auto"/>
        <w:ind w:firstLine="420" w:firstLineChars="200"/>
        <w:rPr>
          <w:rFonts w:ascii="宋体" w:hAnsi="宋体"/>
          <w:bCs/>
          <w:szCs w:val="21"/>
          <w:lang w:val="zh-CN"/>
        </w:rPr>
      </w:pPr>
      <w:r>
        <w:rPr>
          <w:rFonts w:hint="eastAsia" w:ascii="宋体" w:hAnsi="宋体"/>
          <w:bCs/>
          <w:szCs w:val="21"/>
          <w:lang w:val="zh-CN"/>
        </w:rPr>
        <w:t>评标委员会按以下工作程序进行评标：</w:t>
      </w:r>
      <w:r>
        <w:rPr>
          <w:rFonts w:hint="eastAsia" w:ascii="宋体" w:hAnsi="宋体"/>
          <w:szCs w:val="21"/>
          <w:lang w:val="zh-CN"/>
        </w:rPr>
        <w:t>符合性审查、澄清有关问题、综合比较和评价、确定中标候选人名单。</w:t>
      </w:r>
    </w:p>
    <w:p w14:paraId="68F9B991">
      <w:pPr>
        <w:numPr>
          <w:ilvl w:val="0"/>
          <w:numId w:val="48"/>
        </w:numPr>
        <w:spacing w:line="276" w:lineRule="auto"/>
        <w:ind w:left="1064" w:leftChars="154" w:hanging="741" w:hangingChars="353"/>
        <w:rPr>
          <w:rFonts w:ascii="宋体" w:hAnsi="宋体"/>
          <w:strike/>
          <w:szCs w:val="21"/>
          <w:lang w:val="zh-CN"/>
        </w:rPr>
      </w:pPr>
      <w:r>
        <w:rPr>
          <w:rFonts w:hint="eastAsia" w:ascii="宋体" w:hAnsi="宋体"/>
          <w:b/>
          <w:szCs w:val="21"/>
          <w:lang w:val="zh-CN"/>
        </w:rPr>
        <w:t>符合性审查</w:t>
      </w:r>
    </w:p>
    <w:p w14:paraId="4F50DF8B">
      <w:pPr>
        <w:spacing w:line="276" w:lineRule="auto"/>
        <w:ind w:firstLine="420" w:firstLineChars="200"/>
        <w:rPr>
          <w:rFonts w:ascii="宋体" w:hAnsi="宋体"/>
          <w:bCs/>
          <w:szCs w:val="21"/>
          <w:lang w:val="zh-CN"/>
        </w:rPr>
      </w:pPr>
      <w:r>
        <w:rPr>
          <w:rFonts w:hint="eastAsia" w:ascii="宋体" w:hAnsi="宋体"/>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14:paraId="6C9CB89A">
      <w:pPr>
        <w:spacing w:line="276" w:lineRule="auto"/>
        <w:ind w:firstLine="411" w:firstLineChars="196"/>
        <w:jc w:val="center"/>
        <w:rPr>
          <w:rFonts w:ascii="宋体" w:hAnsi="宋体"/>
          <w:b/>
          <w:bCs/>
          <w:color w:val="000000"/>
          <w:szCs w:val="21"/>
          <w:lang w:val="zh-CN"/>
        </w:rPr>
      </w:pPr>
      <w:r>
        <w:rPr>
          <w:rFonts w:hint="eastAsia" w:ascii="宋体" w:hAnsi="宋体"/>
          <w:b/>
          <w:bCs/>
          <w:color w:val="000000"/>
          <w:szCs w:val="21"/>
          <w:lang w:val="zh-CN"/>
        </w:rPr>
        <w:t>符合性审查表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14:paraId="2E92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5362D55E">
            <w:pPr>
              <w:rPr>
                <w:rFonts w:ascii="宋体" w:hAnsi="宋体" w:cs="宋体"/>
                <w:szCs w:val="21"/>
              </w:rPr>
            </w:pPr>
            <w:r>
              <w:rPr>
                <w:rFonts w:hint="eastAsia" w:ascii="宋体" w:hAnsi="宋体" w:cs="宋体"/>
                <w:szCs w:val="21"/>
              </w:rPr>
              <w:t>序号</w:t>
            </w:r>
          </w:p>
        </w:tc>
        <w:tc>
          <w:tcPr>
            <w:tcW w:w="1710" w:type="pct"/>
            <w:vAlign w:val="center"/>
          </w:tcPr>
          <w:p w14:paraId="11A066DF">
            <w:pPr>
              <w:widowControl/>
              <w:snapToGrid w:val="0"/>
              <w:jc w:val="center"/>
              <w:rPr>
                <w:rFonts w:ascii="宋体" w:hAnsi="宋体" w:cs="Tahoma"/>
                <w:kern w:val="0"/>
                <w:szCs w:val="21"/>
              </w:rPr>
            </w:pPr>
            <w:r>
              <w:rPr>
                <w:rFonts w:ascii="宋体" w:hAnsi="宋体" w:cs="Tahoma"/>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14:paraId="519725D1">
            <w:pPr>
              <w:widowControl/>
              <w:snapToGrid w:val="0"/>
              <w:rPr>
                <w:rFonts w:ascii="宋体" w:hAnsi="宋体" w:cs="Tahoma"/>
                <w:kern w:val="0"/>
                <w:szCs w:val="21"/>
              </w:rPr>
            </w:pPr>
            <w:r>
              <w:rPr>
                <w:rFonts w:ascii="宋体" w:hAnsi="宋体" w:cs="Tahoma"/>
                <w:kern w:val="0"/>
                <w:szCs w:val="21"/>
              </w:rPr>
              <w:t>评审标准</w:t>
            </w:r>
          </w:p>
        </w:tc>
      </w:tr>
      <w:tr w14:paraId="3964A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4D26F3C0">
            <w:pPr>
              <w:widowControl/>
              <w:numPr>
                <w:ilvl w:val="0"/>
                <w:numId w:val="49"/>
              </w:numPr>
              <w:contextualSpacing/>
              <w:jc w:val="center"/>
              <w:rPr>
                <w:rFonts w:ascii="宋体" w:hAnsi="宋体" w:cs="宋体"/>
                <w:szCs w:val="21"/>
              </w:rPr>
            </w:pPr>
          </w:p>
        </w:tc>
        <w:tc>
          <w:tcPr>
            <w:tcW w:w="1710" w:type="pct"/>
            <w:vAlign w:val="center"/>
          </w:tcPr>
          <w:p w14:paraId="6A61DFFE">
            <w:pPr>
              <w:rPr>
                <w:rFonts w:ascii="宋体" w:hAnsi="宋体" w:cs="黑体"/>
                <w:szCs w:val="21"/>
              </w:rPr>
            </w:pPr>
            <w:r>
              <w:rPr>
                <w:rFonts w:hint="eastAsia" w:ascii="宋体" w:hAnsi="宋体" w:cs="黑体"/>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14:paraId="47DB0BE8">
            <w:pPr>
              <w:adjustRightInd w:val="0"/>
              <w:snapToGrid w:val="0"/>
              <w:rPr>
                <w:rFonts w:ascii="宋体" w:hAnsi="宋体" w:cs="宋体"/>
                <w:szCs w:val="21"/>
              </w:rPr>
            </w:pPr>
            <w:r>
              <w:rPr>
                <w:rFonts w:hint="eastAsia" w:ascii="宋体" w:hAnsi="宋体" w:cs="宋体"/>
                <w:kern w:val="0"/>
                <w:szCs w:val="21"/>
              </w:rPr>
              <w:t>按招标文件要求签署、盖章；</w:t>
            </w:r>
          </w:p>
        </w:tc>
      </w:tr>
      <w:tr w14:paraId="6C0E2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667622B4">
            <w:pPr>
              <w:widowControl/>
              <w:numPr>
                <w:ilvl w:val="0"/>
                <w:numId w:val="49"/>
              </w:numPr>
              <w:contextualSpacing/>
              <w:jc w:val="center"/>
              <w:rPr>
                <w:rFonts w:ascii="宋体" w:hAnsi="宋体" w:cs="宋体"/>
                <w:szCs w:val="21"/>
              </w:rPr>
            </w:pPr>
          </w:p>
        </w:tc>
        <w:tc>
          <w:tcPr>
            <w:tcW w:w="1710" w:type="pct"/>
            <w:vAlign w:val="center"/>
          </w:tcPr>
          <w:p w14:paraId="5D1E4881">
            <w:pPr>
              <w:rPr>
                <w:rFonts w:ascii="宋体" w:hAnsi="宋体" w:cs="黑体"/>
                <w:szCs w:val="21"/>
              </w:rPr>
            </w:pPr>
            <w:r>
              <w:rPr>
                <w:rFonts w:hint="eastAsia" w:ascii="宋体" w:hAnsi="宋体" w:cs="黑体"/>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14:paraId="6DD05307">
            <w:pPr>
              <w:adjustRightInd w:val="0"/>
              <w:snapToGrid w:val="0"/>
              <w:rPr>
                <w:rFonts w:ascii="宋体" w:hAnsi="宋体" w:cs="宋体"/>
                <w:szCs w:val="21"/>
              </w:rPr>
            </w:pPr>
            <w:r>
              <w:rPr>
                <w:rFonts w:hint="eastAsia" w:ascii="宋体" w:hAnsi="宋体" w:cs="宋体"/>
                <w:kern w:val="0"/>
                <w:szCs w:val="21"/>
              </w:rPr>
              <w:t>报价未超限价，不存在缺项、漏项；没有出现两个及以上不同报价或投标方案；</w:t>
            </w:r>
          </w:p>
        </w:tc>
      </w:tr>
      <w:tr w14:paraId="3F43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73D3FA2">
            <w:pPr>
              <w:widowControl/>
              <w:numPr>
                <w:ilvl w:val="0"/>
                <w:numId w:val="49"/>
              </w:numPr>
              <w:contextualSpacing/>
              <w:jc w:val="center"/>
              <w:rPr>
                <w:rFonts w:ascii="宋体" w:hAnsi="宋体" w:cs="宋体"/>
                <w:szCs w:val="21"/>
              </w:rPr>
            </w:pPr>
          </w:p>
        </w:tc>
        <w:tc>
          <w:tcPr>
            <w:tcW w:w="1710" w:type="pct"/>
            <w:vAlign w:val="center"/>
          </w:tcPr>
          <w:p w14:paraId="03BF1321">
            <w:pPr>
              <w:rPr>
                <w:rFonts w:ascii="宋体" w:hAnsi="宋体" w:cs="黑体"/>
                <w:szCs w:val="21"/>
              </w:rPr>
            </w:pPr>
            <w:r>
              <w:rPr>
                <w:rFonts w:hint="eastAsia" w:ascii="宋体" w:hAnsi="宋体" w:cs="黑体"/>
                <w:szCs w:val="21"/>
              </w:rPr>
              <w:t>按要求缴纳保证金（如需）；</w:t>
            </w:r>
          </w:p>
        </w:tc>
        <w:tc>
          <w:tcPr>
            <w:tcW w:w="2889" w:type="pct"/>
            <w:tcBorders>
              <w:top w:val="single" w:color="auto" w:sz="4" w:space="0"/>
              <w:left w:val="single" w:color="auto" w:sz="4" w:space="0"/>
              <w:bottom w:val="single" w:color="auto" w:sz="4" w:space="0"/>
              <w:right w:val="single" w:color="auto" w:sz="4" w:space="0"/>
            </w:tcBorders>
            <w:vAlign w:val="center"/>
          </w:tcPr>
          <w:p w14:paraId="544D9468">
            <w:pPr>
              <w:adjustRightInd w:val="0"/>
              <w:snapToGrid w:val="0"/>
              <w:rPr>
                <w:rFonts w:ascii="宋体" w:hAnsi="宋体" w:cs="宋体"/>
                <w:szCs w:val="21"/>
              </w:rPr>
            </w:pPr>
            <w:r>
              <w:rPr>
                <w:rFonts w:hint="eastAsia" w:ascii="宋体" w:hAnsi="宋体" w:cs="黑体"/>
                <w:szCs w:val="21"/>
              </w:rPr>
              <w:t>按要求缴纳保证金（如需）；</w:t>
            </w:r>
          </w:p>
        </w:tc>
      </w:tr>
      <w:tr w14:paraId="06881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105C89B9">
            <w:pPr>
              <w:widowControl/>
              <w:numPr>
                <w:ilvl w:val="0"/>
                <w:numId w:val="49"/>
              </w:numPr>
              <w:contextualSpacing/>
              <w:jc w:val="center"/>
              <w:rPr>
                <w:rFonts w:ascii="宋体" w:hAnsi="宋体" w:cs="宋体"/>
                <w:szCs w:val="21"/>
              </w:rPr>
            </w:pPr>
          </w:p>
        </w:tc>
        <w:tc>
          <w:tcPr>
            <w:tcW w:w="1710" w:type="pct"/>
            <w:vAlign w:val="center"/>
          </w:tcPr>
          <w:p w14:paraId="491C276B">
            <w:pPr>
              <w:rPr>
                <w:rFonts w:ascii="宋体" w:hAnsi="宋体" w:cs="黑体"/>
                <w:szCs w:val="21"/>
              </w:rPr>
            </w:pPr>
            <w:r>
              <w:rPr>
                <w:rFonts w:hint="eastAsia" w:ascii="宋体" w:hAnsi="宋体" w:cs="黑体"/>
                <w:szCs w:val="21"/>
              </w:rPr>
              <w:t>交货期/交付期/服务期</w:t>
            </w:r>
            <w:r>
              <w:rPr>
                <w:rFonts w:ascii="宋体" w:hAnsi="宋体" w:cs="黑体"/>
                <w:szCs w:val="21"/>
              </w:rPr>
              <w:t>、质保期</w:t>
            </w:r>
            <w:r>
              <w:rPr>
                <w:rFonts w:hint="eastAsia"/>
                <w:szCs w:val="21"/>
              </w:rPr>
              <w:t>/其他期限描述</w:t>
            </w:r>
            <w:r>
              <w:rPr>
                <w:rFonts w:ascii="宋体" w:hAnsi="宋体" w:cs="黑体"/>
                <w:szCs w:val="21"/>
              </w:rPr>
              <w:t>（如有）</w:t>
            </w:r>
            <w:r>
              <w:rPr>
                <w:rFonts w:hint="eastAsia" w:ascii="宋体" w:hAnsi="宋体" w:cs="黑体"/>
                <w:szCs w:val="21"/>
              </w:rPr>
              <w:t>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582109F6">
            <w:pPr>
              <w:adjustRightInd w:val="0"/>
              <w:snapToGrid w:val="0"/>
              <w:rPr>
                <w:rFonts w:ascii="宋体" w:hAnsi="宋体" w:cs="宋体"/>
                <w:szCs w:val="21"/>
              </w:rPr>
            </w:pPr>
            <w:r>
              <w:rPr>
                <w:rFonts w:hint="eastAsia" w:ascii="宋体" w:hAnsi="宋体" w:cs="黑体"/>
                <w:szCs w:val="21"/>
              </w:rPr>
              <w:t>交货期/交付期/服务期</w:t>
            </w:r>
            <w:r>
              <w:rPr>
                <w:rFonts w:ascii="宋体" w:hAnsi="宋体" w:cs="黑体"/>
                <w:szCs w:val="21"/>
              </w:rPr>
              <w:t>、质保期</w:t>
            </w:r>
            <w:r>
              <w:rPr>
                <w:rFonts w:hint="eastAsia"/>
                <w:szCs w:val="21"/>
              </w:rPr>
              <w:t>/其他期限描述</w:t>
            </w:r>
            <w:r>
              <w:rPr>
                <w:rFonts w:ascii="宋体" w:hAnsi="宋体" w:cs="黑体"/>
                <w:szCs w:val="21"/>
              </w:rPr>
              <w:t>（如有）</w:t>
            </w:r>
            <w:r>
              <w:rPr>
                <w:rFonts w:hint="eastAsia" w:ascii="宋体" w:hAnsi="宋体" w:cs="黑体"/>
                <w:szCs w:val="21"/>
              </w:rPr>
              <w:t>满足招标文件规定；</w:t>
            </w:r>
          </w:p>
        </w:tc>
      </w:tr>
      <w:tr w14:paraId="1DC2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2DF1003E">
            <w:pPr>
              <w:widowControl/>
              <w:numPr>
                <w:ilvl w:val="0"/>
                <w:numId w:val="49"/>
              </w:numPr>
              <w:contextualSpacing/>
              <w:jc w:val="center"/>
              <w:rPr>
                <w:rFonts w:ascii="宋体" w:hAnsi="宋体" w:cs="宋体"/>
                <w:szCs w:val="21"/>
              </w:rPr>
            </w:pPr>
          </w:p>
        </w:tc>
        <w:tc>
          <w:tcPr>
            <w:tcW w:w="1710" w:type="pct"/>
            <w:vAlign w:val="center"/>
          </w:tcPr>
          <w:p w14:paraId="11A30605">
            <w:pPr>
              <w:rPr>
                <w:rFonts w:ascii="宋体" w:hAnsi="宋体" w:cs="黑体"/>
                <w:szCs w:val="21"/>
              </w:rPr>
            </w:pPr>
            <w:r>
              <w:rPr>
                <w:rFonts w:hint="eastAsia" w:ascii="宋体" w:hAnsi="宋体" w:cs="黑体"/>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14:paraId="362AA9D6">
            <w:pPr>
              <w:adjustRightInd w:val="0"/>
              <w:snapToGrid w:val="0"/>
              <w:rPr>
                <w:rFonts w:ascii="宋体" w:hAnsi="宋体" w:cs="宋体"/>
                <w:szCs w:val="21"/>
              </w:rPr>
            </w:pPr>
            <w:r>
              <w:rPr>
                <w:rFonts w:hint="eastAsia" w:ascii="宋体" w:hAnsi="宋体" w:cs="黑体"/>
                <w:szCs w:val="21"/>
              </w:rPr>
              <w:t>投标有效期满足招标文件规定；</w:t>
            </w:r>
          </w:p>
        </w:tc>
      </w:tr>
      <w:tr w14:paraId="3ACA2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FB1B74C">
            <w:pPr>
              <w:widowControl/>
              <w:numPr>
                <w:ilvl w:val="0"/>
                <w:numId w:val="49"/>
              </w:numPr>
              <w:contextualSpacing/>
              <w:jc w:val="center"/>
              <w:rPr>
                <w:rFonts w:ascii="宋体" w:hAnsi="宋体" w:cs="宋体"/>
                <w:szCs w:val="21"/>
              </w:rPr>
            </w:pPr>
          </w:p>
        </w:tc>
        <w:tc>
          <w:tcPr>
            <w:tcW w:w="1710" w:type="pct"/>
            <w:vAlign w:val="center"/>
          </w:tcPr>
          <w:p w14:paraId="1FD1B12F">
            <w:pPr>
              <w:rPr>
                <w:rFonts w:ascii="宋体" w:hAnsi="宋体" w:cs="黑体"/>
                <w:szCs w:val="21"/>
              </w:rPr>
            </w:pPr>
            <w:r>
              <w:rPr>
                <w:rFonts w:hint="eastAsia" w:ascii="宋体" w:hAnsi="宋体" w:cs="黑体"/>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14:paraId="4A8711FE">
            <w:pPr>
              <w:adjustRightInd w:val="0"/>
              <w:snapToGrid w:val="0"/>
              <w:rPr>
                <w:rFonts w:ascii="宋体" w:hAnsi="宋体" w:cs="宋体"/>
                <w:szCs w:val="21"/>
              </w:rPr>
            </w:pPr>
            <w:r>
              <w:rPr>
                <w:rFonts w:hint="eastAsia" w:ascii="宋体" w:hAnsi="宋体" w:cs="黑体"/>
                <w:szCs w:val="21"/>
              </w:rPr>
              <w:t>投标文件中未附有采购人不能接受条件；</w:t>
            </w:r>
          </w:p>
        </w:tc>
      </w:tr>
      <w:tr w14:paraId="0213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783E4A2D">
            <w:pPr>
              <w:widowControl/>
              <w:numPr>
                <w:ilvl w:val="0"/>
                <w:numId w:val="49"/>
              </w:numPr>
              <w:contextualSpacing/>
              <w:jc w:val="center"/>
              <w:rPr>
                <w:rFonts w:ascii="宋体" w:hAnsi="宋体" w:cs="宋体"/>
                <w:szCs w:val="21"/>
              </w:rPr>
            </w:pPr>
          </w:p>
        </w:tc>
        <w:tc>
          <w:tcPr>
            <w:tcW w:w="1710" w:type="pct"/>
            <w:vAlign w:val="center"/>
          </w:tcPr>
          <w:p w14:paraId="08B08ECC">
            <w:pPr>
              <w:rPr>
                <w:rFonts w:ascii="宋体" w:hAnsi="宋体" w:cs="黑体"/>
                <w:szCs w:val="21"/>
              </w:rPr>
            </w:pPr>
            <w:r>
              <w:rPr>
                <w:rFonts w:hint="eastAsia" w:ascii="宋体" w:hAnsi="宋体" w:cs="黑体"/>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14:paraId="7862D1B1">
            <w:pPr>
              <w:rPr>
                <w:rFonts w:ascii="宋体" w:hAnsi="宋体" w:cs="黑体"/>
                <w:szCs w:val="21"/>
              </w:rPr>
            </w:pPr>
            <w:r>
              <w:rPr>
                <w:rFonts w:hint="eastAsia" w:ascii="宋体" w:hAnsi="宋体" w:cs="黑体"/>
                <w:szCs w:val="21"/>
              </w:rPr>
              <w:t>满足招标文件技术、服务、商务、★条款（如有）等实质性要求；</w:t>
            </w:r>
          </w:p>
        </w:tc>
      </w:tr>
      <w:tr w14:paraId="7567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E2C1A3B">
            <w:pPr>
              <w:widowControl/>
              <w:numPr>
                <w:ilvl w:val="0"/>
                <w:numId w:val="49"/>
              </w:numPr>
              <w:contextualSpacing/>
              <w:jc w:val="center"/>
              <w:rPr>
                <w:rFonts w:ascii="宋体" w:hAnsi="宋体" w:cs="宋体"/>
                <w:szCs w:val="21"/>
              </w:rPr>
            </w:pPr>
          </w:p>
        </w:tc>
        <w:tc>
          <w:tcPr>
            <w:tcW w:w="1710" w:type="pct"/>
            <w:vAlign w:val="center"/>
          </w:tcPr>
          <w:p w14:paraId="3CF71A82">
            <w:pPr>
              <w:rPr>
                <w:rFonts w:ascii="宋体" w:hAnsi="宋体" w:cs="宋体"/>
                <w:szCs w:val="21"/>
              </w:rPr>
            </w:pPr>
            <w:r>
              <w:rPr>
                <w:rFonts w:hint="eastAsia" w:ascii="宋体" w:hAnsi="宋体" w:cs="宋体"/>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14:paraId="6EC0CC3C">
            <w:pPr>
              <w:adjustRightInd w:val="0"/>
              <w:snapToGrid w:val="0"/>
              <w:rPr>
                <w:rFonts w:ascii="宋体" w:hAnsi="宋体" w:cs="宋体"/>
                <w:szCs w:val="21"/>
              </w:rPr>
            </w:pPr>
            <w:r>
              <w:rPr>
                <w:rFonts w:hint="eastAsia" w:ascii="宋体" w:hAnsi="宋体"/>
                <w:szCs w:val="21"/>
              </w:rPr>
              <w:t>投标人没有下列任一情形</w:t>
            </w:r>
            <w:r>
              <w:rPr>
                <w:rFonts w:hint="eastAsia" w:ascii="宋体" w:hAnsi="宋体" w:cs="宋体"/>
                <w:szCs w:val="21"/>
              </w:rPr>
              <w:t>：</w:t>
            </w:r>
            <w:r>
              <w:rPr>
                <w:rFonts w:hint="eastAsia" w:ascii="宋体" w:hAnsi="宋体" w:cs="宋体"/>
                <w:szCs w:val="21"/>
              </w:rPr>
              <w:br w:type="textWrapping"/>
            </w:r>
            <w:r>
              <w:rPr>
                <w:rFonts w:hint="eastAsia" w:ascii="宋体" w:hAnsi="宋体" w:cs="宋体"/>
                <w:szCs w:val="21"/>
              </w:rPr>
              <w:t>（1）不同投标人的投标文件由同一单位或者个人编制；</w:t>
            </w:r>
            <w:r>
              <w:rPr>
                <w:rFonts w:hint="eastAsia" w:ascii="宋体" w:hAnsi="宋体" w:cs="宋体"/>
                <w:szCs w:val="21"/>
              </w:rPr>
              <w:br w:type="textWrapping"/>
            </w:r>
            <w:r>
              <w:rPr>
                <w:rFonts w:hint="eastAsia" w:ascii="宋体" w:hAnsi="宋体" w:cs="宋体"/>
                <w:szCs w:val="21"/>
              </w:rPr>
              <w:t>（2）不同投标人委托同一单位或者个人办理投标事宜；</w:t>
            </w:r>
            <w:r>
              <w:rPr>
                <w:rFonts w:hint="eastAsia" w:ascii="宋体" w:hAnsi="宋体" w:cs="宋体"/>
                <w:szCs w:val="21"/>
              </w:rPr>
              <w:br w:type="textWrapping"/>
            </w:r>
            <w:r>
              <w:rPr>
                <w:rFonts w:hint="eastAsia" w:ascii="宋体" w:hAnsi="宋体" w:cs="宋体"/>
                <w:szCs w:val="21"/>
              </w:rPr>
              <w:t>（3）不同投标人的投标文件载明的项目管理成员或者联系人员为同一人；</w:t>
            </w:r>
            <w:r>
              <w:rPr>
                <w:rFonts w:hint="eastAsia" w:ascii="宋体" w:hAnsi="宋体" w:cs="宋体"/>
                <w:szCs w:val="21"/>
              </w:rPr>
              <w:br w:type="textWrapping"/>
            </w:r>
            <w:r>
              <w:rPr>
                <w:rFonts w:hint="eastAsia" w:ascii="宋体" w:hAnsi="宋体" w:cs="宋体"/>
                <w:szCs w:val="21"/>
              </w:rPr>
              <w:t>（4）不同投标人的投标文件异常一致或者报价呈规律性差异；</w:t>
            </w:r>
            <w:r>
              <w:rPr>
                <w:rFonts w:hint="eastAsia" w:ascii="宋体" w:hAnsi="宋体" w:cs="宋体"/>
                <w:szCs w:val="21"/>
              </w:rPr>
              <w:br w:type="textWrapping"/>
            </w:r>
            <w:r>
              <w:rPr>
                <w:rFonts w:hint="eastAsia" w:ascii="宋体" w:hAnsi="宋体" w:cs="宋体"/>
                <w:szCs w:val="21"/>
              </w:rPr>
              <w:t>（5）不同投标人的投标文件相互混装；</w:t>
            </w:r>
            <w:r>
              <w:rPr>
                <w:rFonts w:hint="eastAsia" w:ascii="宋体" w:hAnsi="宋体" w:cs="宋体"/>
                <w:szCs w:val="21"/>
              </w:rPr>
              <w:br w:type="textWrapping"/>
            </w:r>
            <w:r>
              <w:rPr>
                <w:rFonts w:hint="eastAsia" w:ascii="宋体" w:hAnsi="宋体" w:cs="宋体"/>
                <w:szCs w:val="21"/>
              </w:rPr>
              <w:t>（6）不同投标人的保证金从同一单位或者个人的账户转出。</w:t>
            </w:r>
          </w:p>
        </w:tc>
      </w:tr>
      <w:tr w14:paraId="0BB57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14:paraId="31D1F0C1">
            <w:pPr>
              <w:widowControl/>
              <w:numPr>
                <w:ilvl w:val="0"/>
                <w:numId w:val="49"/>
              </w:numPr>
              <w:contextualSpacing/>
              <w:jc w:val="center"/>
              <w:rPr>
                <w:rFonts w:ascii="宋体" w:hAnsi="宋体" w:cs="宋体"/>
                <w:szCs w:val="21"/>
              </w:rPr>
            </w:pPr>
          </w:p>
        </w:tc>
        <w:tc>
          <w:tcPr>
            <w:tcW w:w="1710" w:type="pct"/>
            <w:vAlign w:val="center"/>
          </w:tcPr>
          <w:p w14:paraId="5E0DE4DE">
            <w:pPr>
              <w:rPr>
                <w:rFonts w:ascii="宋体" w:hAnsi="宋体"/>
                <w:szCs w:val="21"/>
              </w:rPr>
            </w:pPr>
            <w:r>
              <w:rPr>
                <w:rFonts w:hint="eastAsia" w:ascii="宋体" w:hAnsi="宋体" w:cs="宋体"/>
                <w:kern w:val="0"/>
                <w:szCs w:val="21"/>
              </w:rPr>
              <w:t>无其他无效投标情形</w:t>
            </w:r>
            <w:r>
              <w:rPr>
                <w:rFonts w:hint="eastAsia" w:ascii="宋体" w:hAnsi="宋体"/>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14:paraId="561200CC">
            <w:pPr>
              <w:adjustRightInd w:val="0"/>
              <w:snapToGrid w:val="0"/>
              <w:rPr>
                <w:rFonts w:ascii="宋体" w:hAnsi="宋体" w:cs="宋体"/>
                <w:szCs w:val="21"/>
              </w:rPr>
            </w:pPr>
            <w:r>
              <w:rPr>
                <w:rFonts w:hint="eastAsia" w:ascii="宋体" w:hAnsi="宋体" w:cs="宋体"/>
                <w:kern w:val="0"/>
                <w:szCs w:val="21"/>
              </w:rPr>
              <w:t>没有法律、法规和招标文件规定的其他无效投标情形</w:t>
            </w:r>
            <w:r>
              <w:rPr>
                <w:rFonts w:hint="eastAsia" w:ascii="宋体" w:hAnsi="宋体"/>
                <w:szCs w:val="21"/>
              </w:rPr>
              <w:t>；</w:t>
            </w:r>
          </w:p>
        </w:tc>
      </w:tr>
    </w:tbl>
    <w:p w14:paraId="4CBE3B22">
      <w:pPr>
        <w:tabs>
          <w:tab w:val="center" w:pos="4153"/>
          <w:tab w:val="right" w:pos="8306"/>
        </w:tabs>
        <w:snapToGrid w:val="0"/>
        <w:rPr>
          <w:rFonts w:ascii="宋体" w:hAnsi="宋体"/>
          <w:szCs w:val="21"/>
        </w:rPr>
      </w:pPr>
    </w:p>
    <w:p w14:paraId="38EF76C5">
      <w:pPr>
        <w:tabs>
          <w:tab w:val="center" w:pos="4153"/>
          <w:tab w:val="right" w:pos="8306"/>
        </w:tabs>
        <w:snapToGrid w:val="0"/>
        <w:rPr>
          <w:rFonts w:ascii="宋体" w:hAnsi="宋体" w:cs="黑体"/>
          <w:szCs w:val="18"/>
        </w:rPr>
      </w:pPr>
      <w:r>
        <w:rPr>
          <w:rFonts w:hint="eastAsia" w:ascii="宋体" w:hAnsi="宋体"/>
          <w:szCs w:val="21"/>
        </w:rPr>
        <w:t>说明：</w:t>
      </w:r>
    </w:p>
    <w:p w14:paraId="55AC413A">
      <w:pPr>
        <w:adjustRightInd w:val="0"/>
        <w:ind w:left="249"/>
        <w:rPr>
          <w:rFonts w:ascii="宋体" w:hAnsi="宋体"/>
          <w:szCs w:val="21"/>
          <w:lang w:val="zh-CN"/>
        </w:rPr>
      </w:pPr>
      <w:r>
        <w:rPr>
          <w:rFonts w:hint="eastAsia" w:ascii="宋体" w:hAnsi="宋体"/>
        </w:rPr>
        <w:t>1、</w:t>
      </w:r>
      <w:r>
        <w:rPr>
          <w:rFonts w:hint="eastAsia" w:ascii="宋体" w:hAnsi="宋体"/>
          <w:szCs w:val="21"/>
          <w:lang w:val="zh-CN"/>
        </w:rPr>
        <w:t>投标文件中有任意一条不满足上表要求的将导致其投标无效，不进入下一项评审。</w:t>
      </w:r>
    </w:p>
    <w:p w14:paraId="4C4F29DB">
      <w:pPr>
        <w:widowControl/>
        <w:spacing w:line="276" w:lineRule="auto"/>
        <w:ind w:firstLine="283" w:firstLineChars="135"/>
        <w:jc w:val="left"/>
        <w:rPr>
          <w:rFonts w:hAnsi="宋体"/>
          <w:b/>
          <w:szCs w:val="21"/>
          <w:lang w:val="zh-CN"/>
        </w:rPr>
      </w:pPr>
      <w:r>
        <w:rPr>
          <w:rFonts w:hint="eastAsia" w:ascii="宋体" w:hAnsi="宋体"/>
          <w:szCs w:val="21"/>
          <w:lang w:val="zh-CN"/>
        </w:rPr>
        <w:t>2、符合性审查合格投标人不足3家的，不进行下一步评审。</w:t>
      </w:r>
    </w:p>
    <w:p w14:paraId="1405A3F5">
      <w:pPr>
        <w:widowControl/>
        <w:spacing w:line="276" w:lineRule="auto"/>
        <w:jc w:val="left"/>
        <w:rPr>
          <w:rFonts w:hAnsi="宋体"/>
          <w:b/>
          <w:szCs w:val="21"/>
          <w:lang w:val="zh-CN"/>
        </w:rPr>
      </w:pPr>
    </w:p>
    <w:p w14:paraId="376FA8F9">
      <w:pPr>
        <w:numPr>
          <w:ilvl w:val="0"/>
          <w:numId w:val="48"/>
        </w:numPr>
        <w:spacing w:line="276" w:lineRule="auto"/>
        <w:ind w:left="1064" w:leftChars="154" w:hanging="741" w:hangingChars="353"/>
        <w:rPr>
          <w:rFonts w:ascii="宋体" w:hAnsi="宋体"/>
          <w:b/>
          <w:szCs w:val="21"/>
          <w:lang w:val="zh-CN"/>
        </w:rPr>
      </w:pPr>
      <w:r>
        <w:rPr>
          <w:rFonts w:hint="eastAsia" w:ascii="宋体" w:hAnsi="宋体"/>
          <w:b/>
          <w:szCs w:val="21"/>
          <w:lang w:val="zh-CN"/>
        </w:rPr>
        <w:t>澄清</w:t>
      </w:r>
    </w:p>
    <w:p w14:paraId="51B2306C">
      <w:pPr>
        <w:numPr>
          <w:ilvl w:val="0"/>
          <w:numId w:val="50"/>
        </w:numPr>
        <w:tabs>
          <w:tab w:val="left" w:pos="616"/>
        </w:tabs>
        <w:spacing w:line="276" w:lineRule="auto"/>
        <w:ind w:left="0" w:firstLine="420" w:firstLineChars="200"/>
        <w:jc w:val="left"/>
        <w:rPr>
          <w:rFonts w:ascii="Helvetica" w:hAnsi="Helvetica" w:cs="Helvetica"/>
          <w:kern w:val="0"/>
          <w:szCs w:val="21"/>
          <w:lang w:val="zh-CN"/>
        </w:rPr>
      </w:pPr>
      <w:r>
        <w:rPr>
          <w:rFonts w:hint="eastAsia" w:ascii="Helvetica" w:hAnsi="Helvetica" w:cs="Helvetica"/>
          <w:kern w:val="0"/>
          <w:szCs w:val="21"/>
          <w:lang w:val="zh-CN"/>
        </w:rPr>
        <w:t>评审期间，对于投标文件中含义不明确、同类问题表述不一致或者有明显文字和计算错误的内容，评标委员会应当以书面形式要求投标人作出必要的澄清、说明或者补正。</w:t>
      </w:r>
    </w:p>
    <w:p w14:paraId="3BF88284">
      <w:pPr>
        <w:numPr>
          <w:ilvl w:val="0"/>
          <w:numId w:val="50"/>
        </w:numPr>
        <w:tabs>
          <w:tab w:val="left" w:pos="616"/>
        </w:tabs>
        <w:spacing w:line="276" w:lineRule="auto"/>
        <w:ind w:left="0" w:firstLine="420" w:firstLineChars="200"/>
        <w:jc w:val="left"/>
        <w:rPr>
          <w:rFonts w:ascii="宋体" w:hAnsi="宋体"/>
          <w:bCs/>
          <w:strike/>
          <w:szCs w:val="21"/>
          <w:lang w:val="zh-CN"/>
        </w:rPr>
      </w:pPr>
      <w:r>
        <w:rPr>
          <w:rFonts w:hint="eastAsia" w:ascii="宋体" w:hAnsi="宋体"/>
          <w:bCs/>
          <w:szCs w:val="21"/>
          <w:lang w:val="zh-CN"/>
        </w:rPr>
        <w:t>投标人应按照评标委员会要求的澄清内容在规定时间内做出澄清。</w:t>
      </w:r>
      <w:r>
        <w:rPr>
          <w:rFonts w:hint="eastAsia" w:ascii="宋体" w:hAnsi="宋体"/>
          <w:szCs w:val="21"/>
          <w:lang w:val="zh-CN"/>
        </w:rPr>
        <w:t>投标文件报价出现前后不一致的，按照本节第3</w:t>
      </w:r>
      <w:r>
        <w:rPr>
          <w:rFonts w:hint="eastAsia" w:ascii="宋体" w:hAnsi="宋体"/>
          <w:bCs/>
          <w:szCs w:val="21"/>
          <w:lang w:val="zh-CN"/>
        </w:rPr>
        <w:t>条规定进行修正，</w:t>
      </w:r>
      <w:r>
        <w:rPr>
          <w:rFonts w:hint="eastAsia" w:ascii="Helvetica" w:hAnsi="Helvetica" w:cs="Helvetica"/>
          <w:kern w:val="0"/>
          <w:szCs w:val="21"/>
          <w:lang w:val="zh-CN"/>
        </w:rPr>
        <w:t>投标人的澄清、说明或者补正不得超出投标文件的范围或者改变投标文件的实质性内容。</w:t>
      </w:r>
    </w:p>
    <w:p w14:paraId="47B3CF47">
      <w:pPr>
        <w:numPr>
          <w:ilvl w:val="0"/>
          <w:numId w:val="50"/>
        </w:numPr>
        <w:tabs>
          <w:tab w:val="left" w:pos="616"/>
        </w:tabs>
        <w:spacing w:line="276" w:lineRule="auto"/>
        <w:ind w:left="0" w:firstLine="420" w:firstLineChars="200"/>
        <w:jc w:val="left"/>
        <w:rPr>
          <w:rFonts w:ascii="宋体" w:hAnsi="宋体"/>
          <w:bCs/>
          <w:szCs w:val="21"/>
          <w:lang w:val="zh-CN"/>
        </w:rPr>
      </w:pPr>
      <w:r>
        <w:rPr>
          <w:rFonts w:hint="eastAsia" w:ascii="宋体" w:hAnsi="宋体"/>
          <w:bCs/>
          <w:szCs w:val="21"/>
          <w:lang w:val="zh-CN"/>
        </w:rPr>
        <w:t>投标文件报价出现前后不一致的，按照下列规定修正：</w:t>
      </w:r>
    </w:p>
    <w:p w14:paraId="5823C204">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投标文件中报价一览表内容与投标文件中相应内容不一致的，以报价一览表为准。</w:t>
      </w:r>
    </w:p>
    <w:p w14:paraId="6ED6EA84">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大写金额和小写金额不一致的，以大写金额为准。</w:t>
      </w:r>
    </w:p>
    <w:p w14:paraId="45EFCCB4">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单价金额小数点或者百分比有明显错位的，以报价一览表的总价为准，并修改单价。</w:t>
      </w:r>
    </w:p>
    <w:p w14:paraId="1B8CEDE2">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总价金额与按单价汇总金额不一致的，以单价金额计算结果为准。</w:t>
      </w:r>
    </w:p>
    <w:p w14:paraId="088EBE70">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同时出现两种以上不一致的，按照前款规定的顺序修正。</w:t>
      </w:r>
    </w:p>
    <w:p w14:paraId="672C7F2A">
      <w:pPr>
        <w:numPr>
          <w:ilvl w:val="0"/>
          <w:numId w:val="51"/>
        </w:numPr>
        <w:adjustRightInd w:val="0"/>
        <w:spacing w:line="276" w:lineRule="auto"/>
        <w:ind w:left="0" w:firstLine="420" w:firstLineChars="200"/>
        <w:jc w:val="left"/>
        <w:rPr>
          <w:rFonts w:ascii="宋体" w:hAnsi="宋体"/>
          <w:color w:val="0D0D0D"/>
          <w:szCs w:val="21"/>
          <w:lang w:val="zh-CN"/>
        </w:rPr>
      </w:pPr>
      <w:r>
        <w:rPr>
          <w:rFonts w:hint="eastAsia" w:ascii="宋体" w:hAnsi="宋体"/>
          <w:color w:val="0D0D0D"/>
          <w:szCs w:val="21"/>
          <w:lang w:val="zh-CN"/>
        </w:rPr>
        <w:t>修正后的报价按照本节第4条规定经投标人确认后产生约束力，投标人不确认的，按照</w:t>
      </w:r>
      <w:r>
        <w:rPr>
          <w:rFonts w:hint="eastAsia" w:ascii="宋体" w:hAnsi="宋体"/>
          <w:b/>
          <w:color w:val="0D0D0D"/>
          <w:szCs w:val="21"/>
          <w:lang w:val="zh-CN"/>
        </w:rPr>
        <w:t>无效投标处理</w:t>
      </w:r>
      <w:r>
        <w:rPr>
          <w:rFonts w:hint="eastAsia" w:ascii="宋体" w:hAnsi="宋体"/>
          <w:color w:val="0D0D0D"/>
          <w:szCs w:val="21"/>
          <w:lang w:val="zh-CN"/>
        </w:rPr>
        <w:t>。</w:t>
      </w:r>
    </w:p>
    <w:p w14:paraId="31175C1B">
      <w:pPr>
        <w:numPr>
          <w:ilvl w:val="0"/>
          <w:numId w:val="50"/>
        </w:numPr>
        <w:tabs>
          <w:tab w:val="left" w:pos="616"/>
        </w:tabs>
        <w:spacing w:line="276" w:lineRule="auto"/>
        <w:ind w:left="0" w:firstLine="420" w:firstLineChars="200"/>
        <w:jc w:val="left"/>
        <w:rPr>
          <w:rFonts w:ascii="宋体" w:hAnsi="宋体"/>
          <w:szCs w:val="21"/>
          <w:lang w:val="zh-CN"/>
        </w:rPr>
      </w:pPr>
      <w:r>
        <w:rPr>
          <w:rFonts w:hint="eastAsia" w:ascii="宋体" w:hAnsi="宋体"/>
          <w:szCs w:val="21"/>
          <w:lang w:val="zh-CN"/>
        </w:rPr>
        <w:t>投标人的</w:t>
      </w:r>
      <w:r>
        <w:rPr>
          <w:rFonts w:hint="eastAsia" w:ascii="Helvetica" w:hAnsi="Helvetica" w:cs="Helvetica"/>
          <w:kern w:val="0"/>
          <w:szCs w:val="21"/>
          <w:lang w:val="zh-CN"/>
        </w:rPr>
        <w:t>澄清、说明或者补正</w:t>
      </w:r>
      <w:r>
        <w:rPr>
          <w:rFonts w:hint="eastAsia" w:ascii="宋体" w:hAnsi="宋体"/>
          <w:szCs w:val="21"/>
          <w:lang w:val="zh-CN"/>
        </w:rPr>
        <w:t>是其投标文件的有效组成部分。</w:t>
      </w:r>
      <w:r>
        <w:rPr>
          <w:rFonts w:hint="eastAsia" w:ascii="Helvetica" w:hAnsi="Helvetica" w:cs="Helvetica"/>
          <w:kern w:val="0"/>
          <w:szCs w:val="21"/>
          <w:lang w:val="zh-CN"/>
        </w:rPr>
        <w:t>投标人的澄清、说明或者补正应当采用书面形式，并加盖公章，或者由法定代表人或其授权的代表</w:t>
      </w:r>
      <w:r>
        <w:rPr>
          <w:rFonts w:hint="eastAsia"/>
          <w:bCs/>
          <w:szCs w:val="21"/>
        </w:rPr>
        <w:t>签名</w:t>
      </w:r>
      <w:r>
        <w:rPr>
          <w:rFonts w:hint="eastAsia" w:ascii="Helvetica" w:hAnsi="Helvetica" w:cs="Helvetica"/>
          <w:kern w:val="0"/>
          <w:szCs w:val="21"/>
          <w:lang w:val="zh-CN"/>
        </w:rPr>
        <w:t>。</w:t>
      </w:r>
    </w:p>
    <w:p w14:paraId="68353639">
      <w:pPr>
        <w:numPr>
          <w:ilvl w:val="0"/>
          <w:numId w:val="48"/>
        </w:numPr>
        <w:spacing w:line="276" w:lineRule="auto"/>
        <w:ind w:left="0" w:firstLine="420" w:firstLineChars="200"/>
        <w:jc w:val="left"/>
        <w:rPr>
          <w:rFonts w:ascii="宋体" w:hAnsi="宋体"/>
          <w:b/>
          <w:szCs w:val="21"/>
          <w:lang w:val="zh-CN"/>
        </w:rPr>
      </w:pPr>
      <w:r>
        <w:rPr>
          <w:rFonts w:hint="eastAsia" w:ascii="宋体" w:hAnsi="宋体"/>
          <w:b/>
          <w:szCs w:val="21"/>
          <w:lang w:val="zh-CN"/>
        </w:rPr>
        <w:t>综合比较与评价</w:t>
      </w:r>
    </w:p>
    <w:p w14:paraId="5C6E0E4F">
      <w:pPr>
        <w:numPr>
          <w:ilvl w:val="0"/>
          <w:numId w:val="52"/>
        </w:numPr>
        <w:tabs>
          <w:tab w:val="left" w:pos="616"/>
        </w:tabs>
        <w:spacing w:line="276" w:lineRule="auto"/>
        <w:ind w:left="0" w:firstLine="420" w:firstLineChars="200"/>
        <w:jc w:val="left"/>
        <w:rPr>
          <w:rFonts w:ascii="宋体" w:hAnsi="宋体"/>
          <w:bCs/>
          <w:szCs w:val="21"/>
          <w:lang w:val="zh-CN"/>
        </w:rPr>
      </w:pPr>
      <w:r>
        <w:rPr>
          <w:rFonts w:hint="eastAsia" w:ascii="宋体" w:hAnsi="宋体"/>
          <w:b/>
          <w:bCs/>
          <w:szCs w:val="21"/>
          <w:lang w:val="zh-CN"/>
        </w:rPr>
        <w:t>技术、服务和商务评议</w:t>
      </w:r>
    </w:p>
    <w:p w14:paraId="0527D23B">
      <w:pPr>
        <w:spacing w:line="276" w:lineRule="auto"/>
        <w:ind w:firstLine="420" w:firstLineChars="200"/>
        <w:jc w:val="left"/>
        <w:rPr>
          <w:rFonts w:ascii="宋体" w:hAnsi="宋体"/>
          <w:bCs/>
          <w:szCs w:val="21"/>
          <w:lang w:val="zh-CN"/>
        </w:rPr>
      </w:pPr>
      <w:r>
        <w:rPr>
          <w:rFonts w:hint="eastAsia" w:ascii="宋体" w:hAnsi="宋体"/>
          <w:bCs/>
          <w:szCs w:val="21"/>
        </w:rPr>
        <w:t>评标委员会应当按照本章中规定的评审因素及评分标准</w:t>
      </w:r>
      <w:r>
        <w:rPr>
          <w:rFonts w:hint="eastAsia" w:ascii="宋体" w:hAnsi="宋体"/>
          <w:bCs/>
          <w:szCs w:val="21"/>
          <w:lang w:val="zh-CN"/>
        </w:rPr>
        <w:t>，对符合性审查合格的投标文件进行技术、服务和商务评估，综合比较与评价。</w:t>
      </w:r>
    </w:p>
    <w:p w14:paraId="63B8D9A1">
      <w:pPr>
        <w:numPr>
          <w:ilvl w:val="0"/>
          <w:numId w:val="52"/>
        </w:numPr>
        <w:tabs>
          <w:tab w:val="left" w:pos="616"/>
        </w:tabs>
        <w:spacing w:line="276" w:lineRule="auto"/>
        <w:ind w:left="0" w:firstLine="420" w:firstLineChars="200"/>
        <w:jc w:val="left"/>
        <w:rPr>
          <w:rFonts w:ascii="宋体" w:hAnsi="宋体"/>
          <w:b/>
          <w:bCs/>
          <w:szCs w:val="21"/>
          <w:lang w:val="zh-CN"/>
        </w:rPr>
      </w:pPr>
      <w:r>
        <w:rPr>
          <w:rFonts w:hint="eastAsia" w:ascii="宋体" w:hAnsi="宋体"/>
          <w:b/>
          <w:bCs/>
          <w:szCs w:val="21"/>
          <w:lang w:val="zh-CN"/>
        </w:rPr>
        <w:t>价格评议</w:t>
      </w:r>
    </w:p>
    <w:p w14:paraId="4581D82B">
      <w:pPr>
        <w:spacing w:line="276" w:lineRule="auto"/>
        <w:ind w:firstLine="420" w:firstLineChars="200"/>
        <w:jc w:val="left"/>
        <w:rPr>
          <w:rFonts w:ascii="宋体" w:hAnsi="宋体"/>
          <w:bCs/>
          <w:szCs w:val="21"/>
        </w:rPr>
      </w:pPr>
      <w:r>
        <w:rPr>
          <w:rFonts w:hint="eastAsia" w:ascii="宋体" w:hAnsi="宋体"/>
          <w:bCs/>
          <w:szCs w:val="21"/>
        </w:rPr>
        <w:t>评标委员会对符合性审查合格的投标文件进行价格评议，报价分采用低价优先法计算，即满足招标文件要求且投标价格（落实政府采购政策进行价格调整的，以调整后的价格计算）最低的投标报价为评标基准价，其报价分为满分。其他投标人的报价分值计算详见本章“评审因素及评分标准”中的具体计算方式。</w:t>
      </w:r>
    </w:p>
    <w:p w14:paraId="42EFBAB2">
      <w:pPr>
        <w:numPr>
          <w:ilvl w:val="0"/>
          <w:numId w:val="53"/>
        </w:numPr>
        <w:adjustRightInd w:val="0"/>
        <w:spacing w:line="276" w:lineRule="auto"/>
        <w:ind w:left="742" w:hanging="493"/>
        <w:rPr>
          <w:rFonts w:ascii="宋体" w:hAnsi="宋体"/>
          <w:bCs/>
          <w:szCs w:val="21"/>
          <w:lang w:val="zh-CN"/>
        </w:rPr>
      </w:pPr>
      <w:r>
        <w:rPr>
          <w:rFonts w:hint="eastAsia" w:ascii="宋体" w:hAnsi="宋体"/>
          <w:b/>
          <w:szCs w:val="21"/>
          <w:lang w:val="zh-CN"/>
        </w:rPr>
        <w:t>报价合理性：</w:t>
      </w:r>
      <w:r>
        <w:rPr>
          <w:rFonts w:hint="eastAsia" w:ascii="宋体" w:hAnsi="宋体" w:cs="Helvetic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kern w:val="0"/>
          <w:szCs w:val="21"/>
          <w:lang w:val="zh-CN"/>
        </w:rPr>
        <w:t>无效投标处理</w:t>
      </w:r>
      <w:r>
        <w:rPr>
          <w:rFonts w:hint="eastAsia" w:ascii="宋体" w:hAnsi="宋体" w:cs="Helvetica"/>
          <w:kern w:val="0"/>
          <w:szCs w:val="21"/>
          <w:lang w:val="zh-CN"/>
        </w:rPr>
        <w:t>。</w:t>
      </w:r>
    </w:p>
    <w:p w14:paraId="01DA0793">
      <w:pPr>
        <w:numPr>
          <w:ilvl w:val="0"/>
          <w:numId w:val="53"/>
        </w:numPr>
        <w:adjustRightInd w:val="0"/>
        <w:spacing w:before="46" w:beforeLines="15" w:after="46" w:afterLines="15" w:line="20" w:lineRule="atLeast"/>
        <w:ind w:left="742" w:hanging="493"/>
        <w:rPr>
          <w:rFonts w:ascii="宋体" w:hAnsi="宋体"/>
          <w:b/>
          <w:szCs w:val="21"/>
        </w:rPr>
      </w:pPr>
      <w:r>
        <w:rPr>
          <w:rFonts w:hint="eastAsia" w:ascii="宋体" w:hAnsi="宋体"/>
          <w:b/>
          <w:szCs w:val="21"/>
        </w:rPr>
        <w:t>异常低价审查</w:t>
      </w:r>
    </w:p>
    <w:p w14:paraId="24613BC4">
      <w:pPr>
        <w:pStyle w:val="7"/>
        <w:spacing w:line="276" w:lineRule="auto"/>
        <w:ind w:firstLineChars="200"/>
        <w:rPr>
          <w:rFonts w:ascii="宋体" w:hAnsi="宋体"/>
          <w:bCs/>
          <w:szCs w:val="21"/>
        </w:rPr>
      </w:pPr>
      <w:r>
        <w:rPr>
          <w:rFonts w:hint="eastAsia" w:ascii="宋体" w:hAnsi="宋体"/>
          <w:bCs/>
          <w:szCs w:val="21"/>
        </w:rPr>
        <w:t>审查情形:按照&lt;&lt;关于推动解决政府采购异常低价问题的通知&gt;&gt;(财库[2026]2号)规定，自2026年2月1日起。政府采购评审中出现下列情形之一的，评审委员会应当启动异常低价投标(响应)审查程序:</w:t>
      </w:r>
    </w:p>
    <w:p w14:paraId="413E8BDF">
      <w:pPr>
        <w:pStyle w:val="7"/>
        <w:spacing w:line="276" w:lineRule="auto"/>
        <w:ind w:firstLineChars="200"/>
        <w:rPr>
          <w:rFonts w:ascii="宋体" w:hAnsi="宋体"/>
          <w:bCs/>
          <w:szCs w:val="21"/>
        </w:rPr>
      </w:pPr>
      <w:r>
        <w:rPr>
          <w:rFonts w:hint="eastAsia" w:ascii="宋体" w:hAnsi="宋体"/>
          <w:bCs/>
          <w:szCs w:val="21"/>
        </w:rPr>
        <w:t>（1）投标（响应）报价低于全部通过符合性审查投标人投标（响应）报价平均值50%的，即投标（响应）报价&lt;全部通过符合性审查投标人投标（响应）报价平均值×50%;</w:t>
      </w:r>
    </w:p>
    <w:p w14:paraId="1788C74D">
      <w:pPr>
        <w:pStyle w:val="7"/>
        <w:spacing w:line="276" w:lineRule="auto"/>
        <w:ind w:firstLineChars="200"/>
        <w:rPr>
          <w:rFonts w:ascii="宋体" w:hAnsi="宋体"/>
          <w:bCs/>
          <w:szCs w:val="21"/>
        </w:rPr>
      </w:pPr>
      <w:r>
        <w:rPr>
          <w:rFonts w:hint="eastAsia" w:ascii="宋体" w:hAnsi="宋体"/>
          <w:bCs/>
          <w:szCs w:val="21"/>
        </w:rPr>
        <w:t>（2）投标（响应）报价低于通过符合性审查的次低报价投标人投标（响应）报价50%的，即投标（响应）报价&lt;通过符合性审查的次低报价投标人投标（响应）报价×50%;</w:t>
      </w:r>
    </w:p>
    <w:p w14:paraId="75528DEA">
      <w:pPr>
        <w:pStyle w:val="7"/>
        <w:spacing w:line="276" w:lineRule="auto"/>
        <w:ind w:firstLineChars="200"/>
        <w:rPr>
          <w:rFonts w:ascii="宋体" w:hAnsi="宋体"/>
          <w:bCs/>
          <w:szCs w:val="21"/>
        </w:rPr>
      </w:pPr>
      <w:r>
        <w:rPr>
          <w:rFonts w:hint="eastAsia" w:ascii="宋体" w:hAnsi="宋体"/>
          <w:bCs/>
          <w:szCs w:val="21"/>
        </w:rPr>
        <w:t>（3）投标（响应）报价低于采购项目最高限价45%的，即投标（响应）报价&lt;采购项目最高限价×45%;</w:t>
      </w:r>
    </w:p>
    <w:p w14:paraId="7B1B4C01">
      <w:pPr>
        <w:pStyle w:val="7"/>
        <w:spacing w:line="276" w:lineRule="auto"/>
        <w:ind w:firstLineChars="200"/>
        <w:rPr>
          <w:rFonts w:ascii="宋体" w:hAnsi="宋体"/>
          <w:bCs/>
          <w:szCs w:val="21"/>
        </w:rPr>
      </w:pPr>
      <w:r>
        <w:rPr>
          <w:rFonts w:hint="eastAsia" w:ascii="宋体" w:hAnsi="宋体"/>
          <w:bCs/>
          <w:szCs w:val="21"/>
        </w:rPr>
        <w:t>（4）评审委员会基于专业判断，认为投标人报价过低，有可能影响产品质量或者不能诚信履约的其他情形。</w:t>
      </w:r>
    </w:p>
    <w:p w14:paraId="613FC842">
      <w:pPr>
        <w:pStyle w:val="7"/>
        <w:spacing w:line="276" w:lineRule="auto"/>
        <w:ind w:firstLineChars="200"/>
        <w:rPr>
          <w:rFonts w:ascii="宋体" w:hAnsi="宋体"/>
          <w:bCs/>
          <w:szCs w:val="21"/>
        </w:rPr>
      </w:pPr>
      <w:r>
        <w:rPr>
          <w:rFonts w:hint="eastAsia" w:ascii="宋体" w:hAnsi="宋体"/>
          <w:bCs/>
          <w:szCs w:val="21"/>
        </w:rPr>
        <w:t>资料要求: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不少于30分钟。其中，属于第3项情形，投标人已随投标(响应)文件一并提交相关书面说明及必要的证明材料的，在评审现场可不再重复提交。</w:t>
      </w:r>
    </w:p>
    <w:p w14:paraId="66F27C97">
      <w:pPr>
        <w:pStyle w:val="7"/>
        <w:spacing w:line="276" w:lineRule="auto"/>
        <w:ind w:firstLineChars="200"/>
        <w:rPr>
          <w:rFonts w:ascii="宋体" w:hAnsi="宋体"/>
        </w:rPr>
      </w:pPr>
      <w:r>
        <w:rPr>
          <w:rFonts w:hint="eastAsia" w:ascii="宋体" w:hAnsi="宋体"/>
          <w:bCs/>
          <w:szCs w:val="21"/>
        </w:rPr>
        <w:t>审查要求: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w:t>
      </w:r>
      <w:r>
        <w:rPr>
          <w:rFonts w:hint="eastAsia" w:ascii="宋体" w:hAnsi="宋体"/>
          <w:b/>
          <w:szCs w:val="21"/>
        </w:rPr>
        <w:t>无效投标(响应)处理</w:t>
      </w:r>
      <w:r>
        <w:rPr>
          <w:rFonts w:hint="eastAsia" w:ascii="宋体" w:hAnsi="宋体"/>
          <w:bCs/>
          <w:szCs w:val="21"/>
        </w:rPr>
        <w:t>。</w:t>
      </w:r>
    </w:p>
    <w:p w14:paraId="338C4B0E">
      <w:pPr>
        <w:pStyle w:val="7"/>
        <w:spacing w:line="276" w:lineRule="auto"/>
        <w:ind w:firstLineChars="200"/>
        <w:rPr>
          <w:rFonts w:ascii="宋体" w:hAnsi="宋体"/>
        </w:rPr>
      </w:pPr>
      <w:r>
        <w:rPr>
          <w:rFonts w:hint="eastAsia" w:ascii="宋体" w:hAnsi="宋体"/>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14ECBEE">
      <w:pPr>
        <w:pStyle w:val="7"/>
        <w:spacing w:line="276" w:lineRule="auto"/>
        <w:ind w:firstLineChars="200"/>
        <w:rPr>
          <w:rFonts w:ascii="宋体" w:hAnsi="宋体"/>
        </w:rPr>
      </w:pPr>
      <w:r>
        <w:rPr>
          <w:rFonts w:hint="eastAsia" w:ascii="宋体" w:hAnsi="宋体"/>
        </w:rPr>
        <w:t>记录及归档:异常低价投标审查的启动原因、审查意见和审查结果应当在评审报告中记录，并随供应商提供的相关书面说明及证明材料，以及评审委员会有关互联网浏览、查询历史一并归档。</w:t>
      </w:r>
    </w:p>
    <w:p w14:paraId="66F228EC">
      <w:pPr>
        <w:numPr>
          <w:ilvl w:val="0"/>
          <w:numId w:val="53"/>
        </w:numPr>
        <w:adjustRightInd w:val="0"/>
        <w:spacing w:line="276" w:lineRule="auto"/>
        <w:ind w:left="0" w:firstLine="420" w:firstLineChars="200"/>
        <w:jc w:val="left"/>
        <w:rPr>
          <w:rFonts w:ascii="宋体" w:hAnsi="宋体"/>
          <w:b/>
          <w:szCs w:val="21"/>
          <w:lang w:val="zh-CN"/>
        </w:rPr>
      </w:pPr>
      <w:r>
        <w:rPr>
          <w:rFonts w:hint="eastAsia" w:ascii="宋体" w:hAnsi="宋体"/>
          <w:b/>
          <w:szCs w:val="21"/>
          <w:lang w:val="zh-CN"/>
        </w:rPr>
        <w:t>小型和微型企业、监狱企业、残疾人福利性单位价格扣除：</w:t>
      </w:r>
    </w:p>
    <w:p w14:paraId="7318E02A">
      <w:pPr>
        <w:spacing w:line="276" w:lineRule="auto"/>
        <w:ind w:firstLine="420" w:firstLineChars="200"/>
        <w:jc w:val="left"/>
        <w:rPr>
          <w:rFonts w:ascii="宋体" w:hAnsi="宋体"/>
          <w:bCs/>
          <w:szCs w:val="21"/>
          <w:lang w:val="zh-CN"/>
        </w:rPr>
      </w:pPr>
      <w:r>
        <w:rPr>
          <w:rFonts w:hint="eastAsia" w:ascii="宋体" w:hAnsi="宋体"/>
          <w:bCs/>
          <w:szCs w:val="21"/>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14:paraId="1C5CA3D2">
      <w:pPr>
        <w:spacing w:line="276" w:lineRule="auto"/>
        <w:ind w:firstLine="420" w:firstLineChars="200"/>
        <w:jc w:val="left"/>
        <w:rPr>
          <w:rFonts w:ascii="宋体" w:hAnsi="宋体"/>
          <w:bCs/>
          <w:szCs w:val="21"/>
          <w:lang w:val="zh-CN"/>
        </w:rPr>
      </w:pPr>
      <w:r>
        <w:rPr>
          <w:rFonts w:hint="eastAsia" w:ascii="宋体" w:hAnsi="宋体"/>
          <w:bCs/>
          <w:szCs w:val="21"/>
          <w:lang w:val="zh-CN"/>
        </w:rPr>
        <w:t>2)非专门面向中小企业的服务类采购项目，投标人是小型和微型企业的价格给予10%的扣除，用扣除后的价格参与评审。</w:t>
      </w:r>
    </w:p>
    <w:p w14:paraId="29056CCF">
      <w:pPr>
        <w:spacing w:line="276" w:lineRule="auto"/>
        <w:ind w:firstLine="420" w:firstLineChars="200"/>
        <w:jc w:val="left"/>
        <w:rPr>
          <w:rFonts w:ascii="宋体" w:hAnsi="宋体"/>
          <w:bCs/>
          <w:szCs w:val="21"/>
          <w:lang w:val="zh-CN"/>
        </w:rPr>
      </w:pPr>
      <w:r>
        <w:rPr>
          <w:rFonts w:hint="eastAsia" w:ascii="宋体" w:hAnsi="宋体"/>
          <w:bCs/>
          <w:szCs w:val="21"/>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14:paraId="502BF98B">
      <w:pPr>
        <w:spacing w:line="276" w:lineRule="auto"/>
        <w:ind w:firstLine="420" w:firstLineChars="200"/>
        <w:jc w:val="left"/>
        <w:rPr>
          <w:rFonts w:ascii="宋体" w:hAnsi="宋体"/>
          <w:bCs/>
          <w:szCs w:val="21"/>
          <w:lang w:val="zh-CN"/>
        </w:rPr>
      </w:pPr>
      <w:r>
        <w:rPr>
          <w:rFonts w:hint="eastAsia" w:ascii="宋体" w:hAnsi="宋体"/>
          <w:bCs/>
          <w:szCs w:val="21"/>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14:paraId="42113A1D">
      <w:pPr>
        <w:spacing w:line="276" w:lineRule="auto"/>
        <w:ind w:firstLine="420" w:firstLineChars="200"/>
        <w:jc w:val="left"/>
        <w:rPr>
          <w:rFonts w:ascii="宋体" w:hAnsi="宋体"/>
          <w:bCs/>
          <w:szCs w:val="21"/>
          <w:lang w:val="zh-CN"/>
        </w:rPr>
      </w:pPr>
      <w:r>
        <w:rPr>
          <w:rFonts w:hint="eastAsia" w:ascii="宋体" w:hAnsi="宋体"/>
          <w:bCs/>
          <w:szCs w:val="21"/>
          <w:lang w:val="zh-CN"/>
        </w:rPr>
        <w:t>5)监狱企业、残疾人福利性单位视同小型、微型企业，享受预留份额、评审中价格扣除等政府采购促进中小企业发展的政府采购政策，残疾人福利性单位属于小型、微型企业的，不重复享受政策。</w:t>
      </w:r>
    </w:p>
    <w:p w14:paraId="29EF449A">
      <w:pPr>
        <w:spacing w:line="276" w:lineRule="auto"/>
        <w:ind w:firstLine="420" w:firstLineChars="200"/>
        <w:jc w:val="left"/>
        <w:rPr>
          <w:rFonts w:ascii="宋体" w:hAnsi="宋体"/>
          <w:bCs/>
          <w:szCs w:val="21"/>
          <w:lang w:val="zh-CN"/>
        </w:rPr>
      </w:pPr>
      <w:r>
        <w:rPr>
          <w:rFonts w:hint="eastAsia" w:ascii="宋体" w:hAnsi="宋体"/>
          <w:bCs/>
          <w:szCs w:val="21"/>
          <w:lang w:val="zh-CN"/>
        </w:rPr>
        <w:t>6)小型和微型企业应出具《中小企业声明函》；残疾人福利性单位提供《残疾人福利性单位声明函》；监狱企业应提供由省级监狱局、戒毒局（含新疆生产兵团）出具的监狱企业的证明文件。</w:t>
      </w:r>
    </w:p>
    <w:p w14:paraId="5B278828">
      <w:pPr>
        <w:spacing w:line="276" w:lineRule="auto"/>
        <w:ind w:firstLine="420" w:firstLineChars="200"/>
        <w:jc w:val="left"/>
        <w:rPr>
          <w:rFonts w:ascii="宋体" w:hAnsi="宋体"/>
          <w:bCs/>
          <w:szCs w:val="21"/>
          <w:lang w:val="zh-CN"/>
        </w:rPr>
      </w:pPr>
      <w:r>
        <w:rPr>
          <w:rFonts w:hint="eastAsia" w:ascii="宋体" w:hAnsi="宋体"/>
          <w:bCs/>
          <w:szCs w:val="21"/>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14:paraId="169F59EC">
      <w:pPr>
        <w:spacing w:line="276" w:lineRule="auto"/>
        <w:ind w:firstLine="420" w:firstLineChars="200"/>
        <w:jc w:val="left"/>
        <w:rPr>
          <w:rFonts w:ascii="宋体" w:hAnsi="宋体"/>
          <w:bCs/>
          <w:szCs w:val="21"/>
          <w:lang w:val="zh-CN"/>
        </w:rPr>
      </w:pPr>
      <w:r>
        <w:rPr>
          <w:rFonts w:hint="eastAsia" w:ascii="宋体" w:hAnsi="宋体"/>
          <w:bCs/>
          <w:szCs w:val="21"/>
          <w:lang w:val="zh-CN"/>
        </w:rPr>
        <w:t>8)服务由中小企业承接，即提供服务的人员为中小企业按照《中华人民共和国劳动合同法》订立劳动合同的从业人员，享受中小企业扶持政策。</w:t>
      </w:r>
    </w:p>
    <w:p w14:paraId="7A498215">
      <w:pPr>
        <w:spacing w:line="276" w:lineRule="auto"/>
        <w:ind w:firstLine="420" w:firstLineChars="200"/>
        <w:jc w:val="left"/>
        <w:rPr>
          <w:rFonts w:ascii="宋体" w:hAnsi="宋体"/>
          <w:bCs/>
          <w:szCs w:val="21"/>
          <w:lang w:val="zh-CN"/>
        </w:rPr>
      </w:pPr>
      <w:r>
        <w:rPr>
          <w:rFonts w:hint="eastAsia" w:ascii="宋体" w:hAnsi="宋体"/>
          <w:bCs/>
          <w:szCs w:val="21"/>
          <w:lang w:val="zh-CN"/>
        </w:rPr>
        <w:t>9)专门面向中小企业采购的项目或者采购标包，不再执行价格评审优惠的扶持政策。</w:t>
      </w:r>
    </w:p>
    <w:p w14:paraId="7110472D">
      <w:pPr>
        <w:spacing w:line="276" w:lineRule="auto"/>
        <w:ind w:firstLine="420" w:firstLineChars="200"/>
        <w:jc w:val="left"/>
        <w:rPr>
          <w:rFonts w:ascii="宋体" w:hAnsi="宋体"/>
          <w:bCs/>
          <w:szCs w:val="21"/>
          <w:lang w:val="zh-CN"/>
        </w:rPr>
      </w:pPr>
      <w:r>
        <w:rPr>
          <w:rFonts w:hint="eastAsia" w:ascii="宋体" w:hAnsi="宋体"/>
          <w:bCs/>
          <w:szCs w:val="21"/>
          <w:lang w:val="zh-CN"/>
        </w:rPr>
        <w:t>10)中标人享受本办法规定的中小企业扶持政策的，采购人、采购代理机构应当随中标、成交结果公开中标人的《中小企业声明函》。</w:t>
      </w:r>
    </w:p>
    <w:p w14:paraId="4B3C240B">
      <w:pPr>
        <w:numPr>
          <w:ilvl w:val="0"/>
          <w:numId w:val="53"/>
        </w:numPr>
        <w:adjustRightInd w:val="0"/>
        <w:spacing w:line="276" w:lineRule="auto"/>
        <w:ind w:left="0" w:firstLine="420" w:firstLineChars="200"/>
        <w:rPr>
          <w:rFonts w:ascii="宋体" w:hAnsi="宋体"/>
          <w:bCs/>
          <w:szCs w:val="21"/>
          <w:lang w:val="zh-CN"/>
        </w:rPr>
      </w:pPr>
      <w:r>
        <w:rPr>
          <w:rFonts w:hint="eastAsia" w:ascii="宋体" w:hAnsi="宋体"/>
          <w:bCs/>
          <w:szCs w:val="21"/>
          <w:lang w:val="zh-CN"/>
        </w:rPr>
        <w:t>依据《国务院办公厅关于在政府采购中实施本国产品标准及相关政策的通知》（国办发〔2025〕34号）的相关规定，对于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bCs/>
          <w:szCs w:val="21"/>
          <w:lang w:val="zh-CN"/>
        </w:rPr>
        <w:t>供应商</w:t>
      </w:r>
      <w:r>
        <w:rPr>
          <w:rFonts w:hint="eastAsia" w:ascii="宋体" w:hAnsi="宋体"/>
          <w:bCs/>
          <w:szCs w:val="21"/>
          <w:lang w:val="zh-CN"/>
        </w:rPr>
        <w:t>应按要求出具所投相关</w:t>
      </w:r>
      <w:r>
        <w:rPr>
          <w:rFonts w:ascii="宋体" w:hAnsi="宋体"/>
          <w:bCs/>
          <w:szCs w:val="21"/>
          <w:lang w:val="zh-CN"/>
        </w:rPr>
        <w:t>产品《关于符合本国产品标准的声明函》（样式见第</w:t>
      </w:r>
      <w:r>
        <w:rPr>
          <w:rFonts w:hint="eastAsia" w:ascii="宋体" w:hAnsi="宋体"/>
          <w:bCs/>
          <w:szCs w:val="21"/>
        </w:rPr>
        <w:t>七</w:t>
      </w:r>
      <w:r>
        <w:rPr>
          <w:rFonts w:ascii="宋体" w:hAnsi="宋体"/>
          <w:bCs/>
          <w:szCs w:val="21"/>
          <w:lang w:val="zh-CN"/>
        </w:rPr>
        <w:t>章投标文件格式附件，以下简称《声明函》）或财政部会同有关部门规定的有关证明文件。出具符合要求的《声明函》或有关证明文件的，</w:t>
      </w:r>
      <w:r>
        <w:rPr>
          <w:rFonts w:hint="eastAsia" w:ascii="宋体" w:hAnsi="宋体"/>
          <w:bCs/>
          <w:szCs w:val="21"/>
          <w:lang w:val="zh-CN"/>
        </w:rPr>
        <w:t>可享受上述价格优惠。</w:t>
      </w:r>
      <w:r>
        <w:rPr>
          <w:rFonts w:hint="eastAsia" w:ascii="宋体" w:hAnsi="宋体" w:cs="宋体"/>
          <w:bCs/>
          <w:kern w:val="0"/>
          <w:szCs w:val="21"/>
        </w:rPr>
        <w:t>对于仅有本国产品参与竞争的政府采购项目，本国产品不享受价格扣除评审优惠。</w:t>
      </w:r>
      <w:r>
        <w:rPr>
          <w:rFonts w:hint="eastAsia" w:ascii="宋体" w:hAnsi="宋体"/>
          <w:bCs/>
          <w:szCs w:val="21"/>
          <w:lang w:val="zh-CN"/>
        </w:rPr>
        <w:t>投标人同时满足中小企业扶持政策</w:t>
      </w:r>
      <w:r>
        <w:rPr>
          <w:rFonts w:hint="eastAsia" w:ascii="宋体" w:hAnsi="宋体"/>
          <w:bCs/>
          <w:szCs w:val="21"/>
        </w:rPr>
        <w:t>与</w:t>
      </w:r>
      <w:r>
        <w:rPr>
          <w:rFonts w:hint="eastAsia" w:ascii="宋体" w:hAnsi="宋体"/>
          <w:bCs/>
          <w:szCs w:val="21"/>
          <w:lang w:val="zh-CN"/>
        </w:rPr>
        <w:t>政府采购中实施本国产品标准及相关政策的，可同时享受</w:t>
      </w:r>
      <w:r>
        <w:rPr>
          <w:rFonts w:hint="eastAsia" w:ascii="宋体" w:hAnsi="宋体"/>
          <w:bCs/>
          <w:szCs w:val="21"/>
        </w:rPr>
        <w:t>价格扣除</w:t>
      </w:r>
      <w:r>
        <w:rPr>
          <w:rFonts w:hint="eastAsia" w:ascii="宋体" w:hAnsi="宋体"/>
          <w:bCs/>
          <w:szCs w:val="21"/>
          <w:lang w:val="zh-CN"/>
        </w:rPr>
        <w:t>。相关价格评审扣除优惠，均在投标人原始报价基础上计算，用扣除后的价格参与评审。</w:t>
      </w:r>
    </w:p>
    <w:p w14:paraId="5D3FA0CC">
      <w:pPr>
        <w:numPr>
          <w:ilvl w:val="0"/>
          <w:numId w:val="53"/>
        </w:numPr>
        <w:adjustRightInd w:val="0"/>
        <w:spacing w:line="276" w:lineRule="auto"/>
        <w:ind w:left="0" w:firstLine="420" w:firstLineChars="200"/>
        <w:rPr>
          <w:rFonts w:ascii="宋体" w:hAnsi="宋体"/>
          <w:bCs/>
          <w:szCs w:val="21"/>
        </w:rPr>
      </w:pPr>
      <w:r>
        <w:rPr>
          <w:rFonts w:hint="eastAsia"/>
          <w:bCs/>
        </w:rPr>
        <w:t>关于本国产品、非本国产品的认定标准，</w:t>
      </w:r>
      <w:r>
        <w:rPr>
          <w:rFonts w:hint="eastAsia" w:ascii="宋体" w:hAnsi="宋体" w:cs="宋体"/>
          <w:bCs/>
        </w:rPr>
        <w:t>按《国务院办公厅关于在政府采购中实施本国产品标准及相关政策的通知》（国办发〔2025〕34号）中的</w:t>
      </w:r>
      <w:r>
        <w:rPr>
          <w:rFonts w:hint="eastAsia"/>
          <w:bCs/>
        </w:rPr>
        <w:t>规定为准。</w:t>
      </w:r>
    </w:p>
    <w:p w14:paraId="4F1BCB7E">
      <w:pPr>
        <w:numPr>
          <w:ilvl w:val="0"/>
          <w:numId w:val="53"/>
        </w:numPr>
        <w:adjustRightInd w:val="0"/>
        <w:spacing w:line="276" w:lineRule="auto"/>
        <w:ind w:left="0" w:firstLine="420" w:firstLineChars="200"/>
        <w:jc w:val="left"/>
        <w:rPr>
          <w:rFonts w:ascii="宋体" w:hAnsi="宋体"/>
          <w:bCs/>
          <w:szCs w:val="21"/>
          <w:lang w:val="zh-CN"/>
        </w:rPr>
      </w:pPr>
      <w:r>
        <w:rPr>
          <w:rFonts w:hint="eastAsia" w:ascii="宋体" w:hAnsi="宋体"/>
          <w:bCs/>
          <w:szCs w:val="21"/>
          <w:lang w:val="zh-CN"/>
        </w:rPr>
        <w:t>投标人对其提供的产品出具《关于符合本国产品标准的声明函》或财政部会同有关部门规定的有关证明文件，是其产品享受政府采购对本国产品支持政策的先决条件。中标人享受</w:t>
      </w:r>
      <w:r>
        <w:rPr>
          <w:rFonts w:hint="eastAsia" w:ascii="宋体" w:hAnsi="宋体" w:cs="宋体"/>
          <w:bCs/>
        </w:rPr>
        <w:t>《国务院办公厅关于在政府采购中实施本国产品标准及相关政策的通知》</w:t>
      </w:r>
      <w:r>
        <w:rPr>
          <w:rFonts w:hint="eastAsia" w:ascii="宋体" w:hAnsi="宋体"/>
          <w:bCs/>
          <w:szCs w:val="21"/>
          <w:lang w:val="zh-CN"/>
        </w:rPr>
        <w:t>规定的</w:t>
      </w:r>
      <w:r>
        <w:rPr>
          <w:rFonts w:hint="eastAsia" w:ascii="宋体" w:hAnsi="宋体"/>
          <w:bCs/>
          <w:szCs w:val="21"/>
          <w:lang w:bidi="ar"/>
        </w:rPr>
        <w:t>支持本国产品</w:t>
      </w:r>
      <w:r>
        <w:rPr>
          <w:rFonts w:hint="eastAsia" w:ascii="宋体" w:hAnsi="宋体"/>
          <w:bCs/>
          <w:szCs w:val="21"/>
          <w:lang w:val="zh-CN"/>
        </w:rPr>
        <w:t>政策的，采购人、采购代理机构应当随中标、成交结果公开中标人的</w:t>
      </w:r>
      <w:r>
        <w:rPr>
          <w:rFonts w:ascii="宋体" w:hAnsi="宋体"/>
          <w:bCs/>
          <w:szCs w:val="21"/>
          <w:lang w:val="zh-CN"/>
        </w:rPr>
        <w:t>《关于符合本国产品标准的声明函》或财政部会同有关部门规定的有关证明文件</w:t>
      </w:r>
      <w:r>
        <w:rPr>
          <w:rFonts w:hint="eastAsia" w:ascii="宋体" w:hAnsi="宋体"/>
          <w:bCs/>
          <w:szCs w:val="21"/>
          <w:lang w:val="zh-CN"/>
        </w:rPr>
        <w:t>。</w:t>
      </w:r>
    </w:p>
    <w:p w14:paraId="18878AC0">
      <w:pPr>
        <w:numPr>
          <w:ilvl w:val="0"/>
          <w:numId w:val="53"/>
        </w:numPr>
        <w:adjustRightInd w:val="0"/>
        <w:spacing w:line="276" w:lineRule="auto"/>
        <w:ind w:left="0" w:firstLine="420" w:firstLineChars="200"/>
        <w:jc w:val="left"/>
        <w:rPr>
          <w:rFonts w:ascii="宋体" w:hAnsi="宋体"/>
          <w:b/>
          <w:szCs w:val="21"/>
          <w:lang w:val="zh-CN"/>
        </w:rPr>
      </w:pPr>
      <w:r>
        <w:rPr>
          <w:rFonts w:hint="eastAsia" w:ascii="宋体" w:hAnsi="宋体"/>
          <w:b/>
          <w:szCs w:val="21"/>
          <w:lang w:val="zh-CN"/>
        </w:rPr>
        <w:t>政府采购节能环保政策</w:t>
      </w:r>
    </w:p>
    <w:p w14:paraId="22E2B5E7">
      <w:pPr>
        <w:spacing w:line="276" w:lineRule="auto"/>
        <w:ind w:firstLine="420" w:firstLineChars="200"/>
        <w:jc w:val="left"/>
        <w:rPr>
          <w:rFonts w:ascii="宋体" w:hAnsi="宋体"/>
          <w:bCs/>
          <w:szCs w:val="21"/>
          <w:lang w:val="zh-CN"/>
        </w:rPr>
      </w:pPr>
      <w:r>
        <w:rPr>
          <w:rFonts w:hint="eastAsia" w:ascii="宋体" w:hAnsi="宋体"/>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szCs w:val="21"/>
        </w:rPr>
        <w:t>同等条件下</w:t>
      </w:r>
      <w:r>
        <w:rPr>
          <w:rFonts w:hint="eastAsia" w:ascii="宋体" w:hAnsi="宋体"/>
          <w:bCs/>
          <w:szCs w:val="21"/>
          <w:lang w:val="zh-CN"/>
        </w:rPr>
        <w:t>）或强制采购。</w:t>
      </w:r>
    </w:p>
    <w:p w14:paraId="6E6923B3">
      <w:pPr>
        <w:numPr>
          <w:ilvl w:val="0"/>
          <w:numId w:val="52"/>
        </w:numPr>
        <w:tabs>
          <w:tab w:val="left" w:pos="616"/>
        </w:tabs>
        <w:spacing w:line="276" w:lineRule="auto"/>
        <w:ind w:left="0" w:firstLine="420" w:firstLineChars="200"/>
        <w:jc w:val="left"/>
        <w:rPr>
          <w:rFonts w:ascii="宋体" w:hAnsi="宋体"/>
          <w:b/>
          <w:bCs/>
          <w:szCs w:val="21"/>
          <w:lang w:val="zh-CN"/>
        </w:rPr>
      </w:pPr>
      <w:r>
        <w:rPr>
          <w:rFonts w:hint="eastAsia" w:ascii="宋体" w:hAnsi="宋体"/>
          <w:b/>
          <w:bCs/>
          <w:szCs w:val="21"/>
          <w:lang w:val="zh-CN"/>
        </w:rPr>
        <w:t>相同品牌处理原则</w:t>
      </w:r>
    </w:p>
    <w:p w14:paraId="528B807D">
      <w:pPr>
        <w:numPr>
          <w:ilvl w:val="0"/>
          <w:numId w:val="54"/>
        </w:numPr>
        <w:adjustRightInd w:val="0"/>
        <w:spacing w:line="276" w:lineRule="auto"/>
        <w:ind w:left="0" w:firstLine="420" w:firstLineChars="200"/>
        <w:jc w:val="left"/>
        <w:rPr>
          <w:rFonts w:ascii="Helvetica" w:hAnsi="Helvetica" w:cs="Helvetica"/>
          <w:color w:val="0D0D0D"/>
          <w:kern w:val="0"/>
          <w:szCs w:val="21"/>
          <w:lang w:val="zh-CN"/>
        </w:rPr>
      </w:pPr>
      <w:r>
        <w:rPr>
          <w:rFonts w:hint="eastAsia" w:ascii="Helvetica" w:hAnsi="Helvetica" w:cs="Helvetica"/>
          <w:color w:val="0D0D0D"/>
          <w:kern w:val="0"/>
          <w:szCs w:val="21"/>
          <w:lang w:val="zh-CN"/>
        </w:rPr>
        <w:t>提供相同品牌产品且通过资格审查、符合性审查的不同投标人参加同一合同项下投标的，按一家投标人计算，</w:t>
      </w:r>
      <w:r>
        <w:rPr>
          <w:rFonts w:hint="eastAsia" w:ascii="Helvetica" w:hAnsi="Helvetica" w:cs="Helvetica"/>
          <w:kern w:val="0"/>
          <w:szCs w:val="21"/>
          <w:lang w:val="zh-CN"/>
        </w:rPr>
        <w:t>评审后得分最高的同品牌投标人获得中标候选人推荐资格</w:t>
      </w:r>
      <w:r>
        <w:rPr>
          <w:rFonts w:hint="eastAsia" w:ascii="Helvetica" w:hAnsi="Helvetica" w:cs="Helvetica"/>
          <w:color w:val="0D0D0D"/>
          <w:kern w:val="0"/>
          <w:szCs w:val="21"/>
          <w:lang w:val="zh-CN"/>
        </w:rPr>
        <w:t>；评审得分相同的，由采购人确定或者采购人委托评标委员会以投票方式确定一个投标人获得中标候选人推荐资格，其他同品牌投标人不作为中标候选人。</w:t>
      </w:r>
    </w:p>
    <w:p w14:paraId="4CCD1BFE">
      <w:pPr>
        <w:numPr>
          <w:ilvl w:val="0"/>
          <w:numId w:val="54"/>
        </w:numPr>
        <w:adjustRightInd w:val="0"/>
        <w:spacing w:line="276" w:lineRule="auto"/>
        <w:ind w:left="0" w:firstLine="420" w:firstLineChars="200"/>
        <w:jc w:val="left"/>
        <w:rPr>
          <w:rFonts w:ascii="Helvetica" w:hAnsi="Helvetica" w:cs="Helvetica"/>
          <w:kern w:val="0"/>
          <w:szCs w:val="21"/>
          <w:lang w:val="zh-CN"/>
        </w:rPr>
      </w:pPr>
      <w:r>
        <w:rPr>
          <w:rFonts w:hint="eastAsia" w:ascii="Helvetica" w:hAnsi="Helvetica" w:cs="Helvetica"/>
          <w:color w:val="0D0D0D"/>
          <w:kern w:val="0"/>
          <w:szCs w:val="21"/>
          <w:lang w:val="zh-CN"/>
        </w:rPr>
        <w:t>非单一产品采购项目，采购人</w:t>
      </w:r>
      <w:r>
        <w:rPr>
          <w:rFonts w:hint="eastAsia" w:ascii="Helvetica" w:hAnsi="Helvetica" w:cs="Helvetica"/>
          <w:kern w:val="0"/>
          <w:szCs w:val="21"/>
          <w:lang w:val="zh-CN"/>
        </w:rPr>
        <w:t>应当根据采购项目技术构成、产品价格比重等合理确定</w:t>
      </w:r>
      <w:r>
        <w:rPr>
          <w:rFonts w:hint="eastAsia" w:ascii="Helvetica" w:hAnsi="Helvetica" w:cs="Helvetica"/>
          <w:b/>
          <w:kern w:val="0"/>
          <w:szCs w:val="21"/>
          <w:lang w:val="zh-CN"/>
        </w:rPr>
        <w:t>核心产品</w:t>
      </w:r>
      <w:r>
        <w:rPr>
          <w:rFonts w:hint="eastAsia" w:ascii="Helvetica" w:hAnsi="Helvetica" w:cs="Helvetica"/>
          <w:kern w:val="0"/>
          <w:szCs w:val="21"/>
          <w:lang w:val="zh-CN"/>
        </w:rPr>
        <w:t>，并以</w:t>
      </w:r>
      <w:r>
        <w:rPr>
          <w:rFonts w:hint="eastAsia" w:ascii="Helvetica" w:hAnsi="Helvetica" w:cs="Helvetica"/>
          <w:b/>
          <w:kern w:val="0"/>
          <w:szCs w:val="21"/>
          <w:lang w:val="zh-CN"/>
        </w:rPr>
        <w:t>“</w:t>
      </w:r>
      <w:r>
        <w:rPr>
          <w:rFonts w:hint="eastAsia" w:ascii="MS Gothic" w:hAnsi="MS Gothic" w:cs="MS Gothic"/>
          <w:b/>
          <w:kern w:val="0"/>
          <w:szCs w:val="21"/>
          <w:lang w:val="zh-CN"/>
        </w:rPr>
        <w:t>核心产品</w:t>
      </w:r>
      <w:r>
        <w:rPr>
          <w:rFonts w:hint="eastAsia" w:ascii="Helvetica" w:hAnsi="Helvetica" w:cs="Helvetica"/>
          <w:b/>
          <w:kern w:val="0"/>
          <w:szCs w:val="21"/>
          <w:lang w:val="zh-CN"/>
        </w:rPr>
        <w:t>”</w:t>
      </w:r>
      <w:r>
        <w:rPr>
          <w:rFonts w:hint="eastAsia" w:ascii="Helvetica" w:hAnsi="Helvetica" w:cs="Helvetica"/>
          <w:kern w:val="0"/>
          <w:szCs w:val="21"/>
          <w:lang w:val="zh-CN"/>
        </w:rPr>
        <w:t>在</w:t>
      </w:r>
      <w:r>
        <w:rPr>
          <w:rFonts w:hint="eastAsia" w:ascii="Helvetica" w:hAnsi="Helvetica" w:cs="Helvetica"/>
          <w:color w:val="0D0D0D"/>
          <w:kern w:val="0"/>
          <w:szCs w:val="21"/>
          <w:lang w:val="zh-CN"/>
        </w:rPr>
        <w:t>招标文件中标注。多家投标人提供的核心产品品牌相同的，按</w:t>
      </w:r>
      <w:r>
        <w:rPr>
          <w:rFonts w:hint="eastAsia" w:ascii="宋体" w:hAnsi="宋体" w:cs="Helvetica"/>
          <w:color w:val="0D0D0D"/>
          <w:kern w:val="0"/>
          <w:szCs w:val="21"/>
          <w:lang w:val="zh-CN"/>
        </w:rPr>
        <w:t>前述</w:t>
      </w:r>
      <w:r>
        <w:rPr>
          <w:rFonts w:hint="eastAsia" w:ascii="Helvetica" w:hAnsi="Helvetica" w:cs="Helvetica"/>
          <w:color w:val="0D0D0D"/>
          <w:kern w:val="0"/>
          <w:szCs w:val="21"/>
          <w:lang w:val="zh-CN"/>
        </w:rPr>
        <w:t>规定处理。</w:t>
      </w:r>
    </w:p>
    <w:p w14:paraId="73B7BE48">
      <w:pPr>
        <w:numPr>
          <w:ilvl w:val="0"/>
          <w:numId w:val="48"/>
        </w:numPr>
        <w:spacing w:line="276" w:lineRule="auto"/>
        <w:ind w:left="0" w:firstLine="420" w:firstLineChars="200"/>
        <w:jc w:val="left"/>
        <w:rPr>
          <w:rFonts w:ascii="宋体" w:hAnsi="宋体"/>
          <w:b/>
          <w:szCs w:val="21"/>
          <w:lang w:val="zh-CN"/>
        </w:rPr>
      </w:pPr>
      <w:r>
        <w:rPr>
          <w:rFonts w:hint="eastAsia" w:ascii="宋体" w:hAnsi="宋体"/>
          <w:b/>
          <w:szCs w:val="21"/>
          <w:lang w:val="zh-CN"/>
        </w:rPr>
        <w:t>计分办法</w:t>
      </w:r>
    </w:p>
    <w:p w14:paraId="6B0BB648">
      <w:pPr>
        <w:numPr>
          <w:ilvl w:val="0"/>
          <w:numId w:val="55"/>
        </w:numPr>
        <w:tabs>
          <w:tab w:val="left" w:pos="284"/>
        </w:tabs>
        <w:spacing w:line="276" w:lineRule="auto"/>
        <w:ind w:left="0" w:firstLine="420" w:firstLineChars="200"/>
        <w:jc w:val="left"/>
        <w:rPr>
          <w:rFonts w:ascii="宋体" w:hAnsi="宋体"/>
          <w:b/>
          <w:szCs w:val="21"/>
          <w:lang w:val="zh-CN"/>
        </w:rPr>
      </w:pPr>
      <w:r>
        <w:rPr>
          <w:rFonts w:hint="eastAsia"/>
          <w:color w:val="000000"/>
          <w:kern w:val="0"/>
          <w:szCs w:val="21"/>
        </w:rPr>
        <w:t>采购代理机构对各评委的总分进行复核。各项统计结果保留小数点后两位，小数点后第三位“四舍五入”。</w:t>
      </w:r>
    </w:p>
    <w:p w14:paraId="3B5CD82D">
      <w:pPr>
        <w:numPr>
          <w:ilvl w:val="0"/>
          <w:numId w:val="55"/>
        </w:numPr>
        <w:tabs>
          <w:tab w:val="left" w:pos="284"/>
        </w:tabs>
        <w:spacing w:line="276" w:lineRule="auto"/>
        <w:ind w:left="0" w:firstLine="420" w:firstLineChars="200"/>
        <w:jc w:val="left"/>
        <w:rPr>
          <w:rFonts w:ascii="宋体" w:hAnsi="宋体"/>
          <w:bCs/>
          <w:color w:val="0C0C0C"/>
          <w:szCs w:val="21"/>
          <w:lang w:val="zh-CN"/>
        </w:rPr>
      </w:pPr>
      <w:r>
        <w:rPr>
          <w:rFonts w:hint="eastAsia"/>
          <w:color w:val="000000"/>
          <w:kern w:val="0"/>
          <w:szCs w:val="21"/>
        </w:rPr>
        <w:t>投标人的最终得分</w:t>
      </w:r>
      <w:r>
        <w:rPr>
          <w:rFonts w:hint="eastAsia" w:ascii="宋体" w:hAnsi="宋体"/>
          <w:bCs/>
          <w:color w:val="0C0C0C"/>
          <w:szCs w:val="21"/>
          <w:lang w:val="zh-CN"/>
        </w:rPr>
        <w:t>为各评委所评定分数的算术平均值。</w:t>
      </w:r>
    </w:p>
    <w:p w14:paraId="73DDFF1A">
      <w:pPr>
        <w:numPr>
          <w:ilvl w:val="0"/>
          <w:numId w:val="48"/>
        </w:numPr>
        <w:spacing w:line="276" w:lineRule="auto"/>
        <w:ind w:left="0" w:firstLine="420" w:firstLineChars="200"/>
        <w:jc w:val="left"/>
        <w:rPr>
          <w:rFonts w:ascii="宋体" w:hAnsi="宋体"/>
          <w:b/>
          <w:szCs w:val="21"/>
          <w:lang w:val="zh-CN"/>
        </w:rPr>
      </w:pPr>
      <w:r>
        <w:rPr>
          <w:rFonts w:hint="eastAsia" w:ascii="宋体" w:hAnsi="宋体"/>
          <w:b/>
          <w:szCs w:val="21"/>
          <w:lang w:val="zh-CN"/>
        </w:rPr>
        <w:t>推荐中标候选人名单或确定中标人</w:t>
      </w:r>
    </w:p>
    <w:p w14:paraId="26907099">
      <w:pPr>
        <w:numPr>
          <w:ilvl w:val="0"/>
          <w:numId w:val="56"/>
        </w:numPr>
        <w:tabs>
          <w:tab w:val="left" w:pos="284"/>
        </w:tabs>
        <w:spacing w:line="276" w:lineRule="auto"/>
        <w:ind w:left="0" w:firstLine="420" w:firstLineChars="200"/>
        <w:jc w:val="left"/>
        <w:rPr>
          <w:rFonts w:ascii="宋体" w:hAnsi="宋体"/>
          <w:bCs/>
          <w:color w:val="0C0C0C"/>
          <w:szCs w:val="21"/>
          <w:lang w:val="zh-CN"/>
        </w:rPr>
      </w:pPr>
      <w:bookmarkStart w:id="67" w:name="_Toc494561963"/>
      <w:r>
        <w:rPr>
          <w:rFonts w:hint="eastAsia" w:ascii="宋体" w:hAnsi="宋体"/>
          <w:bCs/>
          <w:color w:val="0C0C0C"/>
          <w:szCs w:val="21"/>
          <w:lang w:val="zh-CN"/>
        </w:rPr>
        <w:t>投标人按评审后得分由高到低顺序排列，得分相同</w:t>
      </w:r>
      <w:r>
        <w:rPr>
          <w:rFonts w:hint="eastAsia" w:ascii="宋体" w:hAnsi="宋体"/>
          <w:bCs/>
          <w:szCs w:val="21"/>
          <w:lang w:val="zh-CN"/>
        </w:rPr>
        <w:t>的，按投标报价由低到高顺</w:t>
      </w:r>
      <w:r>
        <w:rPr>
          <w:rFonts w:hint="eastAsia" w:ascii="宋体" w:hAnsi="宋体"/>
          <w:bCs/>
          <w:color w:val="0C0C0C"/>
          <w:szCs w:val="21"/>
          <w:lang w:val="zh-CN"/>
        </w:rPr>
        <w:t>序排列。得分且投标报价相同的并列。</w:t>
      </w:r>
    </w:p>
    <w:p w14:paraId="0E3C63A5">
      <w:pPr>
        <w:numPr>
          <w:ilvl w:val="0"/>
          <w:numId w:val="56"/>
        </w:numPr>
        <w:tabs>
          <w:tab w:val="left" w:pos="284"/>
        </w:tabs>
        <w:spacing w:line="276" w:lineRule="auto"/>
        <w:ind w:left="0" w:firstLine="420" w:firstLineChars="200"/>
        <w:jc w:val="left"/>
        <w:rPr>
          <w:rFonts w:ascii="宋体" w:hAnsi="宋体"/>
          <w:bCs/>
          <w:color w:val="0C0C0C"/>
          <w:szCs w:val="21"/>
          <w:lang w:val="zh-CN"/>
        </w:rPr>
      </w:pPr>
      <w:r>
        <w:rPr>
          <w:rFonts w:hint="eastAsia" w:ascii="宋体" w:hAnsi="宋体"/>
          <w:bCs/>
          <w:color w:val="0C0C0C"/>
          <w:szCs w:val="21"/>
          <w:lang w:val="zh-CN"/>
        </w:rPr>
        <w:t>评标委员会依据评审结果推荐得分前三名的进入中标候选人名单，并形成书面评标报告。</w:t>
      </w:r>
    </w:p>
    <w:p w14:paraId="3DC75E0C">
      <w:pPr>
        <w:numPr>
          <w:ilvl w:val="0"/>
          <w:numId w:val="56"/>
        </w:numPr>
        <w:tabs>
          <w:tab w:val="left" w:pos="284"/>
        </w:tabs>
        <w:spacing w:line="276" w:lineRule="auto"/>
        <w:ind w:left="0" w:firstLine="420" w:firstLineChars="200"/>
        <w:jc w:val="left"/>
        <w:rPr>
          <w:rFonts w:ascii="宋体" w:hAnsi="宋体"/>
          <w:bCs/>
          <w:color w:val="0C0C0C"/>
          <w:szCs w:val="21"/>
          <w:lang w:val="zh-CN"/>
        </w:rPr>
      </w:pPr>
      <w:r>
        <w:rPr>
          <w:rFonts w:hint="eastAsia" w:ascii="宋体" w:hAnsi="宋体"/>
          <w:bCs/>
          <w:color w:val="0C0C0C"/>
          <w:szCs w:val="21"/>
          <w:lang w:val="zh-CN"/>
        </w:rPr>
        <w:t>中标候选人并列的，由采购人确定或者采购人委托评标委员会以投票方式确定中标人。</w:t>
      </w:r>
    </w:p>
    <w:p w14:paraId="246FD98A">
      <w:pPr>
        <w:numPr>
          <w:ilvl w:val="0"/>
          <w:numId w:val="56"/>
        </w:numPr>
        <w:tabs>
          <w:tab w:val="left" w:pos="284"/>
        </w:tabs>
        <w:spacing w:line="276" w:lineRule="auto"/>
        <w:ind w:left="0" w:firstLine="420" w:firstLineChars="200"/>
        <w:jc w:val="left"/>
        <w:rPr>
          <w:rFonts w:ascii="宋体" w:hAnsi="宋体"/>
          <w:bCs/>
          <w:color w:val="0C0C0C"/>
          <w:szCs w:val="21"/>
          <w:lang w:val="zh-CN"/>
        </w:rPr>
      </w:pPr>
      <w:r>
        <w:rPr>
          <w:rFonts w:hint="eastAsia" w:hAnsi="宋体"/>
          <w:szCs w:val="21"/>
        </w:rPr>
        <w:t>若投标人同时投多</w:t>
      </w:r>
      <w:r>
        <w:rPr>
          <w:rFonts w:hint="eastAsia" w:ascii="宋体" w:hAnsi="宋体"/>
          <w:szCs w:val="21"/>
          <w:lang w:val="zh-CN"/>
        </w:rPr>
        <w:t>标包</w:t>
      </w:r>
      <w:r>
        <w:rPr>
          <w:rFonts w:hint="eastAsia" w:hAnsi="宋体"/>
          <w:szCs w:val="21"/>
        </w:rPr>
        <w:t>，根据《投标人须知前附表》的规定确定各</w:t>
      </w:r>
      <w:r>
        <w:rPr>
          <w:rFonts w:hint="eastAsia" w:ascii="宋体" w:hAnsi="宋体"/>
          <w:szCs w:val="21"/>
          <w:lang w:val="zh-CN"/>
        </w:rPr>
        <w:t>标包</w:t>
      </w:r>
      <w:r>
        <w:rPr>
          <w:rFonts w:hint="eastAsia" w:hAnsi="宋体"/>
          <w:szCs w:val="21"/>
        </w:rPr>
        <w:t>中标候选人。</w:t>
      </w:r>
    </w:p>
    <w:p w14:paraId="71F93B2D">
      <w:pPr>
        <w:numPr>
          <w:ilvl w:val="0"/>
          <w:numId w:val="56"/>
        </w:numPr>
        <w:tabs>
          <w:tab w:val="left" w:pos="284"/>
        </w:tabs>
        <w:spacing w:line="276" w:lineRule="auto"/>
        <w:ind w:left="0" w:firstLine="420" w:firstLineChars="200"/>
        <w:jc w:val="left"/>
        <w:rPr>
          <w:rFonts w:ascii="宋体" w:hAnsi="宋体"/>
          <w:bCs/>
          <w:color w:val="0C0C0C"/>
          <w:szCs w:val="21"/>
          <w:lang w:val="zh-CN"/>
        </w:rPr>
      </w:pPr>
      <w:r>
        <w:rPr>
          <w:rFonts w:hint="eastAsia" w:ascii="宋体" w:hAnsi="宋体"/>
          <w:bCs/>
          <w:color w:val="0C0C0C"/>
          <w:szCs w:val="21"/>
          <w:lang w:val="zh-CN"/>
        </w:rPr>
        <w:t>评标委员会应当在评标报告上签名，对自己的评审意见承担法律责任。对评标报告有异议的，应当在评标报告上签署不同意见，并说明理由，否则视为同意评标报告。</w:t>
      </w:r>
    </w:p>
    <w:p w14:paraId="01602876">
      <w:pPr>
        <w:pStyle w:val="25"/>
        <w:rPr>
          <w:lang w:val="zh-CN"/>
        </w:rPr>
      </w:pPr>
    </w:p>
    <w:p w14:paraId="60FCD4C3">
      <w:pPr>
        <w:keepNext/>
        <w:keepLines/>
        <w:numPr>
          <w:ilvl w:val="0"/>
          <w:numId w:val="47"/>
        </w:numPr>
        <w:spacing w:line="276" w:lineRule="auto"/>
        <w:ind w:left="616" w:hanging="616"/>
        <w:jc w:val="left"/>
        <w:outlineLvl w:val="1"/>
        <w:rPr>
          <w:rFonts w:hAnsi="宋体"/>
          <w:b/>
          <w:kern w:val="0"/>
          <w:szCs w:val="21"/>
        </w:rPr>
      </w:pPr>
      <w:bookmarkStart w:id="68" w:name="_Toc97815021"/>
      <w:r>
        <w:rPr>
          <w:rFonts w:hint="eastAsia" w:ascii="宋体" w:hAnsi="宋体"/>
          <w:b/>
          <w:kern w:val="0"/>
          <w:szCs w:val="21"/>
          <w:lang w:val="zh-CN"/>
        </w:rPr>
        <w:t>评审因素及评分标准</w:t>
      </w:r>
      <w:bookmarkEnd w:id="67"/>
      <w:bookmarkEnd w:id="68"/>
    </w:p>
    <w:tbl>
      <w:tblPr>
        <w:tblStyle w:val="26"/>
        <w:tblW w:w="51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862"/>
        <w:gridCol w:w="565"/>
        <w:gridCol w:w="7397"/>
      </w:tblGrid>
      <w:tr w14:paraId="5CDD8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925" w:type="pct"/>
            <w:gridSpan w:val="2"/>
            <w:vAlign w:val="center"/>
          </w:tcPr>
          <w:p w14:paraId="59C16662">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评审因素</w:t>
            </w:r>
          </w:p>
        </w:tc>
        <w:tc>
          <w:tcPr>
            <w:tcW w:w="289" w:type="pct"/>
            <w:vAlign w:val="center"/>
          </w:tcPr>
          <w:p w14:paraId="6B819138">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分值</w:t>
            </w:r>
          </w:p>
        </w:tc>
        <w:tc>
          <w:tcPr>
            <w:tcW w:w="3786" w:type="pct"/>
            <w:vAlign w:val="center"/>
          </w:tcPr>
          <w:p w14:paraId="64AD0674">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评分标准</w:t>
            </w:r>
          </w:p>
        </w:tc>
      </w:tr>
      <w:tr w14:paraId="0C5C9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25" w:type="pct"/>
            <w:gridSpan w:val="2"/>
            <w:vAlign w:val="center"/>
          </w:tcPr>
          <w:p w14:paraId="3A6D57D9">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价格部分</w:t>
            </w:r>
          </w:p>
          <w:p w14:paraId="0FCFFF38">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（40分）</w:t>
            </w:r>
          </w:p>
        </w:tc>
        <w:tc>
          <w:tcPr>
            <w:tcW w:w="289" w:type="pct"/>
            <w:vAlign w:val="center"/>
          </w:tcPr>
          <w:p w14:paraId="397EC396">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40分</w:t>
            </w:r>
          </w:p>
        </w:tc>
        <w:tc>
          <w:tcPr>
            <w:tcW w:w="3786" w:type="pct"/>
            <w:vAlign w:val="center"/>
          </w:tcPr>
          <w:p w14:paraId="4F222CD4">
            <w:pPr>
              <w:wordWrap w:val="0"/>
              <w:spacing w:line="320" w:lineRule="exact"/>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1.综合评分法中的价格分统一采用低价优先法计算，即满足招标文件要求且投标价格最低的投标报价为评标基准价，其价格分为满分。</w:t>
            </w:r>
          </w:p>
          <w:p w14:paraId="6D1EAAF6">
            <w:pPr>
              <w:wordWrap w:val="0"/>
              <w:spacing w:line="320" w:lineRule="exact"/>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2.其他投标人的价格分统一按照下列公式计算：</w:t>
            </w:r>
          </w:p>
          <w:p w14:paraId="4C91996D">
            <w:pPr>
              <w:wordWrap w:val="0"/>
              <w:spacing w:line="320" w:lineRule="exact"/>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投标报价得分=(评标基准价／投标报价)×100×</w:t>
            </w:r>
            <w:r>
              <w:rPr>
                <w:rFonts w:ascii="宋体" w:hAnsi="宋体" w:cs="宋体"/>
                <w:color w:val="000000" w:themeColor="text1"/>
                <w:kern w:val="21"/>
                <w:szCs w:val="21"/>
                <w14:textFill>
                  <w14:solidFill>
                    <w14:schemeClr w14:val="tx1"/>
                  </w14:solidFill>
                </w14:textFill>
              </w:rPr>
              <w:t>4</w:t>
            </w:r>
            <w:r>
              <w:rPr>
                <w:rFonts w:hint="eastAsia" w:ascii="宋体" w:hAnsi="宋体" w:cs="宋体"/>
                <w:color w:val="000000" w:themeColor="text1"/>
                <w:kern w:val="21"/>
                <w:szCs w:val="21"/>
                <w14:textFill>
                  <w14:solidFill>
                    <w14:schemeClr w14:val="tx1"/>
                  </w14:solidFill>
                </w14:textFill>
              </w:rPr>
              <w:t>0%。</w:t>
            </w:r>
          </w:p>
          <w:p w14:paraId="08B7C065">
            <w:pPr>
              <w:spacing w:line="320" w:lineRule="exact"/>
              <w:jc w:val="left"/>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注：因落实政府采购政策进行价格调整的，以调整后的价格计算评标基准价和投标报价。</w:t>
            </w:r>
          </w:p>
        </w:tc>
      </w:tr>
      <w:tr w14:paraId="2EB3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restart"/>
            <w:vAlign w:val="center"/>
          </w:tcPr>
          <w:p w14:paraId="56DA22B7">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商务部分</w:t>
            </w:r>
          </w:p>
          <w:p w14:paraId="0972A6D8">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w:t>
            </w:r>
            <w:r>
              <w:rPr>
                <w:rFonts w:ascii="宋体" w:hAnsi="宋体" w:cs="宋体"/>
                <w:b/>
                <w:color w:val="000000" w:themeColor="text1"/>
                <w:kern w:val="21"/>
                <w:szCs w:val="21"/>
                <w14:textFill>
                  <w14:solidFill>
                    <w14:schemeClr w14:val="tx1"/>
                  </w14:solidFill>
                </w14:textFill>
              </w:rPr>
              <w:t>4.2</w:t>
            </w:r>
            <w:r>
              <w:rPr>
                <w:rFonts w:hint="eastAsia" w:ascii="宋体" w:hAnsi="宋体" w:cs="宋体"/>
                <w:b/>
                <w:color w:val="000000" w:themeColor="text1"/>
                <w:kern w:val="21"/>
                <w:szCs w:val="21"/>
                <w14:textFill>
                  <w14:solidFill>
                    <w14:schemeClr w14:val="tx1"/>
                  </w14:solidFill>
                </w14:textFill>
              </w:rPr>
              <w:t>分）</w:t>
            </w:r>
          </w:p>
        </w:tc>
        <w:tc>
          <w:tcPr>
            <w:tcW w:w="441" w:type="pct"/>
            <w:vAlign w:val="center"/>
          </w:tcPr>
          <w:p w14:paraId="0E775037">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类似业绩</w:t>
            </w:r>
          </w:p>
        </w:tc>
        <w:tc>
          <w:tcPr>
            <w:tcW w:w="289" w:type="pct"/>
            <w:vAlign w:val="center"/>
          </w:tcPr>
          <w:p w14:paraId="124CF3BF">
            <w:pPr>
              <w:spacing w:line="320" w:lineRule="exact"/>
              <w:jc w:val="center"/>
              <w:rPr>
                <w:rFonts w:ascii="宋体" w:hAnsi="宋体" w:cs="宋体"/>
                <w:color w:val="000000" w:themeColor="text1"/>
                <w:kern w:val="21"/>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3</w:t>
            </w:r>
            <w:r>
              <w:rPr>
                <w:rFonts w:hint="eastAsia" w:ascii="宋体" w:hAnsi="宋体" w:cs="宋体"/>
                <w:color w:val="000000" w:themeColor="text1"/>
                <w:spacing w:val="-6"/>
                <w:szCs w:val="21"/>
                <w14:textFill>
                  <w14:solidFill>
                    <w14:schemeClr w14:val="tx1"/>
                  </w14:solidFill>
                </w14:textFill>
              </w:rPr>
              <w:t>分</w:t>
            </w:r>
          </w:p>
        </w:tc>
        <w:tc>
          <w:tcPr>
            <w:tcW w:w="3786" w:type="pct"/>
            <w:vAlign w:val="center"/>
          </w:tcPr>
          <w:p w14:paraId="2D2FAED8">
            <w:pPr>
              <w:spacing w:line="320" w:lineRule="exact"/>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近三年（</w:t>
            </w:r>
            <w:r>
              <w:rPr>
                <w:rFonts w:hint="eastAsia" w:ascii="宋体" w:hAnsi="宋体" w:cs="宋体"/>
                <w:color w:val="000000" w:themeColor="text1"/>
                <w:kern w:val="21"/>
                <w:szCs w:val="21"/>
                <w14:textFill>
                  <w14:solidFill>
                    <w14:schemeClr w14:val="tx1"/>
                  </w14:solidFill>
                </w14:textFill>
              </w:rPr>
              <w:t>从投标截止之日起往前推算三年</w:t>
            </w:r>
            <w:r>
              <w:rPr>
                <w:rFonts w:hint="eastAsia" w:ascii="宋体" w:hAnsi="宋体" w:cs="宋体"/>
                <w:color w:val="000000" w:themeColor="text1"/>
                <w:szCs w:val="21"/>
                <w14:textFill>
                  <w14:solidFill>
                    <w14:schemeClr w14:val="tx1"/>
                  </w14:solidFill>
                </w14:textFill>
              </w:rPr>
              <w:t>，以合同签订时间为准）</w:t>
            </w:r>
            <w:r>
              <w:rPr>
                <w:rFonts w:hint="eastAsia" w:ascii="宋体" w:hAnsi="宋体" w:cs="宋体"/>
                <w:color w:val="000000" w:themeColor="text1"/>
                <w:spacing w:val="-6"/>
                <w:szCs w:val="21"/>
                <w14:textFill>
                  <w14:solidFill>
                    <w14:schemeClr w14:val="tx1"/>
                  </w14:solidFill>
                </w14:textFill>
              </w:rPr>
              <w:t>投标人承担过类似项目业绩的【至少包含核心产品】</w:t>
            </w:r>
            <w:r>
              <w:rPr>
                <w:rFonts w:hint="eastAsia" w:ascii="宋体" w:hAnsi="宋体" w:cs="宋体"/>
                <w:color w:val="000000" w:themeColor="text1"/>
                <w:szCs w:val="21"/>
                <w14:textFill>
                  <w14:solidFill>
                    <w14:schemeClr w14:val="tx1"/>
                  </w14:solidFill>
                </w14:textFill>
              </w:rPr>
              <w:t>，每提供一个得1分，此项满分</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r>
              <w:rPr>
                <w:rFonts w:hint="eastAsia" w:ascii="宋体" w:hAnsi="宋体" w:cs="宋体"/>
                <w:bCs/>
                <w:color w:val="000000" w:themeColor="text1"/>
                <w:kern w:val="21"/>
                <w:szCs w:val="21"/>
                <w14:textFill>
                  <w14:solidFill>
                    <w14:schemeClr w14:val="tx1"/>
                  </w14:solidFill>
                </w14:textFill>
              </w:rPr>
              <w:t>同一业主单位的不重复计分。</w:t>
            </w:r>
          </w:p>
          <w:p w14:paraId="195360C0">
            <w:pPr>
              <w:pStyle w:val="25"/>
              <w:spacing w:line="320" w:lineRule="exact"/>
              <w:ind w:left="0" w:firstLine="0"/>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注：须提供合同复印件作为证明材料（所提供的合同可以不牵涉到金额等相关商业机密信息，但必须提供合同采购内容页、合同双方签署页及合同签署双方的完整信息）。</w:t>
            </w:r>
          </w:p>
        </w:tc>
      </w:tr>
      <w:tr w14:paraId="693D5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30EE9DB1">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4D246671">
            <w:pPr>
              <w:spacing w:line="320" w:lineRule="exact"/>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体系认证</w:t>
            </w:r>
          </w:p>
        </w:tc>
        <w:tc>
          <w:tcPr>
            <w:tcW w:w="289" w:type="pct"/>
            <w:vAlign w:val="center"/>
          </w:tcPr>
          <w:p w14:paraId="087AE069">
            <w:pPr>
              <w:spacing w:line="320" w:lineRule="exact"/>
              <w:jc w:val="center"/>
              <w:rPr>
                <w:rFonts w:ascii="宋体" w:hAnsi="宋体" w:cs="宋体"/>
                <w:color w:val="000000" w:themeColor="text1"/>
                <w:spacing w:val="-6"/>
                <w:szCs w:val="21"/>
                <w14:textFill>
                  <w14:solidFill>
                    <w14:schemeClr w14:val="tx1"/>
                  </w14:solidFill>
                </w14:textFill>
              </w:rPr>
            </w:pPr>
            <w:r>
              <w:rPr>
                <w:rFonts w:ascii="宋体" w:hAnsi="宋体" w:cs="宋体"/>
                <w:color w:val="000000" w:themeColor="text1"/>
                <w:spacing w:val="-6"/>
                <w:szCs w:val="21"/>
                <w14:textFill>
                  <w14:solidFill>
                    <w14:schemeClr w14:val="tx1"/>
                  </w14:solidFill>
                </w14:textFill>
              </w:rPr>
              <w:t>1</w:t>
            </w:r>
            <w:r>
              <w:rPr>
                <w:rFonts w:hint="eastAsia" w:ascii="宋体" w:hAnsi="宋体" w:cs="宋体"/>
                <w:color w:val="000000" w:themeColor="text1"/>
                <w:spacing w:val="-6"/>
                <w:szCs w:val="21"/>
                <w14:textFill>
                  <w14:solidFill>
                    <w14:schemeClr w14:val="tx1"/>
                  </w14:solidFill>
                </w14:textFill>
              </w:rPr>
              <w:t>.2分</w:t>
            </w:r>
          </w:p>
        </w:tc>
        <w:tc>
          <w:tcPr>
            <w:tcW w:w="3786" w:type="pct"/>
            <w:vAlign w:val="center"/>
          </w:tcPr>
          <w:p w14:paraId="6CFFCA13">
            <w:pPr>
              <w:pStyle w:val="25"/>
              <w:spacing w:line="320" w:lineRule="exact"/>
              <w:ind w:left="0" w:firstLine="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投标人具有质量管理体系认证证书、环境管理体系认证证书，每提供一类证书的得</w:t>
            </w:r>
            <w:r>
              <w:rPr>
                <w:rFonts w:ascii="宋体" w:hAnsi="宋体" w:cs="宋体"/>
                <w:color w:val="000000" w:themeColor="text1"/>
                <w:szCs w:val="21"/>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6分，此项满分</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.2分。</w:t>
            </w:r>
          </w:p>
          <w:p w14:paraId="2BF82201">
            <w:pPr>
              <w:pStyle w:val="25"/>
              <w:spacing w:line="320" w:lineRule="exact"/>
              <w:ind w:left="0" w:firstLine="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注：需提供在有效期内的证书复印件。</w:t>
            </w:r>
          </w:p>
        </w:tc>
      </w:tr>
      <w:tr w14:paraId="62F13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restart"/>
            <w:vAlign w:val="center"/>
          </w:tcPr>
          <w:p w14:paraId="715E52B3">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技术部分</w:t>
            </w:r>
          </w:p>
          <w:p w14:paraId="4A978733">
            <w:pPr>
              <w:spacing w:line="320" w:lineRule="exact"/>
              <w:jc w:val="center"/>
              <w:rPr>
                <w:rFonts w:ascii="宋体" w:hAnsi="宋体" w:cs="宋体"/>
                <w:b/>
                <w:color w:val="000000" w:themeColor="text1"/>
                <w:kern w:val="21"/>
                <w:szCs w:val="21"/>
                <w14:textFill>
                  <w14:solidFill>
                    <w14:schemeClr w14:val="tx1"/>
                  </w14:solidFill>
                </w14:textFill>
              </w:rPr>
            </w:pPr>
            <w:r>
              <w:rPr>
                <w:rFonts w:hint="eastAsia" w:ascii="宋体" w:hAnsi="宋体" w:cs="宋体"/>
                <w:b/>
                <w:color w:val="000000" w:themeColor="text1"/>
                <w:kern w:val="21"/>
                <w:szCs w:val="21"/>
                <w14:textFill>
                  <w14:solidFill>
                    <w14:schemeClr w14:val="tx1"/>
                  </w14:solidFill>
                </w14:textFill>
              </w:rPr>
              <w:t>（5</w:t>
            </w:r>
            <w:r>
              <w:rPr>
                <w:rFonts w:ascii="宋体" w:hAnsi="宋体" w:cs="宋体"/>
                <w:b/>
                <w:color w:val="000000" w:themeColor="text1"/>
                <w:kern w:val="21"/>
                <w:szCs w:val="21"/>
                <w14:textFill>
                  <w14:solidFill>
                    <w14:schemeClr w14:val="tx1"/>
                  </w14:solidFill>
                </w14:textFill>
              </w:rPr>
              <w:t>5.8</w:t>
            </w:r>
            <w:r>
              <w:rPr>
                <w:rFonts w:hint="eastAsia" w:ascii="宋体" w:hAnsi="宋体" w:cs="宋体"/>
                <w:b/>
                <w:color w:val="000000" w:themeColor="text1"/>
                <w:kern w:val="21"/>
                <w:szCs w:val="21"/>
                <w14:textFill>
                  <w14:solidFill>
                    <w14:schemeClr w14:val="tx1"/>
                  </w14:solidFill>
                </w14:textFill>
              </w:rPr>
              <w:t>分）</w:t>
            </w:r>
          </w:p>
        </w:tc>
        <w:tc>
          <w:tcPr>
            <w:tcW w:w="441" w:type="pct"/>
            <w:vAlign w:val="center"/>
          </w:tcPr>
          <w:p w14:paraId="322A9834">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技术要求</w:t>
            </w:r>
          </w:p>
        </w:tc>
        <w:tc>
          <w:tcPr>
            <w:tcW w:w="289" w:type="pct"/>
            <w:vAlign w:val="center"/>
          </w:tcPr>
          <w:p w14:paraId="271DD337">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25.8分</w:t>
            </w:r>
          </w:p>
        </w:tc>
        <w:tc>
          <w:tcPr>
            <w:tcW w:w="3786" w:type="pct"/>
            <w:vAlign w:val="center"/>
          </w:tcPr>
          <w:p w14:paraId="3E3CB408">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根据投标人所投产品技术和性能响应情况打分：</w:t>
            </w:r>
          </w:p>
          <w:p w14:paraId="39D36296">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1.采购需求中技术要求标#技术指标要求（共39项），每有一项满足要求得0.5分，最高得19.5分；</w:t>
            </w:r>
          </w:p>
          <w:p w14:paraId="7D79D97F">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2.采购需求中技术要求无标识技术指标要求（共18项），每有一项满足要求得0.35分，最高得6.3分；</w:t>
            </w:r>
          </w:p>
          <w:p w14:paraId="4699E881">
            <w:pPr>
              <w:pStyle w:val="25"/>
              <w:spacing w:line="320" w:lineRule="exact"/>
              <w:ind w:left="0" w:firstLine="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本项满分25.8分。</w:t>
            </w:r>
          </w:p>
          <w:p w14:paraId="19797103">
            <w:pPr>
              <w:spacing w:line="320" w:lineRule="exact"/>
              <w:jc w:val="left"/>
              <w:rPr>
                <w:rFonts w:ascii="宋体" w:hAnsi="宋体" w:cs="宋体"/>
                <w:color w:val="000000" w:themeColor="text1"/>
                <w:kern w:val="2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注：投标人须提供包含相关指标项的证明材料，填“有”的，证明材料可以使用制造商官方网站截图或产品白皮书或第三方机构检测机构提供的检验报告，未提供有效证明材料或证明材料中内容与所填报指标不一致的，该指标按不满足处理。填“无”的，投标人提供加盖公章满足技术要求承诺函证明材料或在技术指标响应</w:t>
            </w:r>
            <w:r>
              <w:rPr>
                <w:rFonts w:ascii="宋体" w:hAnsi="宋体" w:cs="宋体"/>
                <w:b/>
                <w:bCs/>
                <w:color w:val="000000" w:themeColor="text1"/>
                <w:szCs w:val="21"/>
                <w14:textFill>
                  <w14:solidFill>
                    <w14:schemeClr w14:val="tx1"/>
                  </w14:solidFill>
                </w14:textFill>
              </w:rPr>
              <w:t>/偏离表中响应。如招标文件第三章采购需求中对是否需要证明材料有明确要求的，以第三章采购需求为准。</w:t>
            </w:r>
          </w:p>
        </w:tc>
      </w:tr>
      <w:tr w14:paraId="1EC3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5A3A3483">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05FD5DB6">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质量保证措施</w:t>
            </w:r>
          </w:p>
        </w:tc>
        <w:tc>
          <w:tcPr>
            <w:tcW w:w="289" w:type="pct"/>
            <w:vAlign w:val="center"/>
          </w:tcPr>
          <w:p w14:paraId="6400B39B">
            <w:pPr>
              <w:spacing w:line="320" w:lineRule="exact"/>
              <w:jc w:val="center"/>
              <w:rPr>
                <w:rFonts w:ascii="宋体" w:hAnsi="宋体" w:cs="宋体"/>
                <w:color w:val="000000" w:themeColor="text1"/>
                <w:kern w:val="21"/>
                <w:szCs w:val="21"/>
                <w14:textFill>
                  <w14:solidFill>
                    <w14:schemeClr w14:val="tx1"/>
                  </w14:solidFill>
                </w14:textFill>
              </w:rPr>
            </w:pPr>
            <w:r>
              <w:rPr>
                <w:rFonts w:ascii="宋体" w:hAnsi="宋体" w:cs="宋体"/>
                <w:color w:val="000000" w:themeColor="text1"/>
                <w:kern w:val="21"/>
                <w:szCs w:val="21"/>
                <w14:textFill>
                  <w14:solidFill>
                    <w14:schemeClr w14:val="tx1"/>
                  </w14:solidFill>
                </w14:textFill>
              </w:rPr>
              <w:t>6</w:t>
            </w:r>
            <w:r>
              <w:rPr>
                <w:rFonts w:hint="eastAsia" w:ascii="宋体" w:hAnsi="宋体" w:cs="宋体"/>
                <w:color w:val="000000" w:themeColor="text1"/>
                <w:kern w:val="21"/>
                <w:szCs w:val="21"/>
                <w14:textFill>
                  <w14:solidFill>
                    <w14:schemeClr w14:val="tx1"/>
                  </w14:solidFill>
                </w14:textFill>
              </w:rPr>
              <w:t>分</w:t>
            </w:r>
          </w:p>
        </w:tc>
        <w:tc>
          <w:tcPr>
            <w:tcW w:w="3786" w:type="pct"/>
            <w:vAlign w:val="center"/>
          </w:tcPr>
          <w:p w14:paraId="09F72CC2">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根据投标人拟定的</w:t>
            </w:r>
            <w:r>
              <w:rPr>
                <w:rFonts w:hint="eastAsia" w:ascii="宋体" w:hAnsi="宋体" w:cs="宋体"/>
                <w:color w:val="000000" w:themeColor="text1"/>
                <w:kern w:val="21"/>
                <w:szCs w:val="21"/>
                <w14:textFill>
                  <w14:solidFill>
                    <w14:schemeClr w14:val="tx1"/>
                  </w14:solidFill>
                </w14:textFill>
              </w:rPr>
              <w:t>质量保证措施</w:t>
            </w:r>
            <w:r>
              <w:rPr>
                <w:rFonts w:hint="eastAsia" w:ascii="宋体" w:hAnsi="宋体" w:cs="宋体"/>
                <w:color w:val="000000" w:themeColor="text1"/>
                <w:szCs w:val="21"/>
                <w14:textFill>
                  <w14:solidFill>
                    <w14:schemeClr w14:val="tx1"/>
                  </w14:solidFill>
                </w14:textFill>
              </w:rPr>
              <w:t>进行评审。</w:t>
            </w:r>
          </w:p>
          <w:p w14:paraId="6A7CD415">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评审因素：①质量目标（2分）；②实施方案（</w:t>
            </w:r>
            <w:r>
              <w:rPr>
                <w:rFonts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分）；③保障措施（2分）。</w:t>
            </w:r>
          </w:p>
          <w:p w14:paraId="51E12004">
            <w:pPr>
              <w:pStyle w:val="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评审标准：①内容完全结合整体需求，进行全方面的描述。（是指：方案内容根据本项目定制，与本项目切合度高，对项目内容做了全方面、多层次的描述，且针对具体点有深度分析。）</w:t>
            </w:r>
          </w:p>
          <w:p w14:paraId="449612FE">
            <w:pPr>
              <w:pStyle w:val="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②方案合理可行。（是指：依据相关标准规范进行科学设计，且具备可操作性，符合实际操作。）</w:t>
            </w:r>
          </w:p>
          <w:p w14:paraId="4C63766F">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上述每项评审因素满足一项评审标准的得</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分，全部满足的得</w:t>
            </w:r>
            <w:r>
              <w:rPr>
                <w:rFonts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14:textFill>
                  <w14:solidFill>
                    <w14:schemeClr w14:val="tx1"/>
                  </w14:solidFill>
                </w14:textFill>
              </w:rPr>
              <w:t>分。对</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项评审因素进行打分，此项满分6分。</w:t>
            </w:r>
          </w:p>
        </w:tc>
      </w:tr>
      <w:tr w14:paraId="14E1B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49CDF341">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7CF9DE73">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进度保证方案</w:t>
            </w:r>
          </w:p>
        </w:tc>
        <w:tc>
          <w:tcPr>
            <w:tcW w:w="289" w:type="pct"/>
            <w:vAlign w:val="center"/>
          </w:tcPr>
          <w:p w14:paraId="18D7D9D1">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6分</w:t>
            </w:r>
          </w:p>
        </w:tc>
        <w:tc>
          <w:tcPr>
            <w:tcW w:w="3786" w:type="pct"/>
            <w:vAlign w:val="center"/>
          </w:tcPr>
          <w:p w14:paraId="2BCBDA1A">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根据投标人拟定的</w:t>
            </w:r>
            <w:r>
              <w:rPr>
                <w:rFonts w:hint="eastAsia" w:ascii="宋体" w:hAnsi="宋体"/>
                <w:color w:val="000000" w:themeColor="text1"/>
                <w:szCs w:val="21"/>
                <w14:textFill>
                  <w14:solidFill>
                    <w14:schemeClr w14:val="tx1"/>
                  </w14:solidFill>
                </w14:textFill>
              </w:rPr>
              <w:t>进度保证方案</w:t>
            </w:r>
            <w:r>
              <w:rPr>
                <w:rFonts w:hint="eastAsia" w:ascii="宋体" w:hAnsi="宋体" w:cs="宋体"/>
                <w:color w:val="000000" w:themeColor="text1"/>
                <w:szCs w:val="21"/>
                <w14:textFill>
                  <w14:solidFill>
                    <w14:schemeClr w14:val="tx1"/>
                  </w14:solidFill>
                </w14:textFill>
              </w:rPr>
              <w:t>进行评审。</w:t>
            </w:r>
          </w:p>
          <w:p w14:paraId="467AF39B">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评审因素：①进度控制目标（2分）；②整体时间安排（2分）；③保障措施（2分）。</w:t>
            </w:r>
          </w:p>
          <w:p w14:paraId="75E06B2E">
            <w:pPr>
              <w:pStyle w:val="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评审标准：①内容完全结合整体需求，进行全方面的描述。（是指：方案内容根据本项目定制，与本项目切合度高，对项目内容做了全方面、多层次的描述，且针对具体点有深度分析。）</w:t>
            </w:r>
          </w:p>
          <w:p w14:paraId="3D7CB6CD">
            <w:pPr>
              <w:pStyle w:val="9"/>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②方案合理可行。（是指：依据相关标准规范进行科学设计，且具备可操作性，符合实际操作。）</w:t>
            </w:r>
          </w:p>
          <w:p w14:paraId="747DB04F">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上述每项评审因素满足一项评审标准的得1分，全部满足的得2分。对</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项评审因素进行打分，此项满分6分。</w:t>
            </w:r>
          </w:p>
        </w:tc>
      </w:tr>
      <w:tr w14:paraId="0E0D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335F0BD6">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6055ECE7">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安装调试方案</w:t>
            </w:r>
          </w:p>
        </w:tc>
        <w:tc>
          <w:tcPr>
            <w:tcW w:w="289" w:type="pct"/>
            <w:vAlign w:val="center"/>
          </w:tcPr>
          <w:p w14:paraId="5B6E43CA">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4分</w:t>
            </w:r>
          </w:p>
        </w:tc>
        <w:tc>
          <w:tcPr>
            <w:tcW w:w="3786" w:type="pct"/>
            <w:vAlign w:val="center"/>
          </w:tcPr>
          <w:p w14:paraId="302B8F79">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根据投标人提供的安装调试方案进行评审。</w:t>
            </w:r>
          </w:p>
          <w:p w14:paraId="122BEECD">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评审因素：①安装调试计划（2分）；②保障措施（2分）。</w:t>
            </w:r>
          </w:p>
          <w:p w14:paraId="3A74D9C8">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评审标准：</w:t>
            </w:r>
          </w:p>
          <w:p w14:paraId="2FD3A70C">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①内容完全结合整体需求，进行全方面的描述。（是指：方案内容根据本项目定制，与本项目切合度高，对项目内容做了全方面、多层次的描述，且针对具体点有深度分析。）</w:t>
            </w:r>
          </w:p>
          <w:p w14:paraId="65BC4595">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②方案合理可行。（是指：依据相关标准规范进行科学设计，且具备可操作性，符合实际操作。）</w:t>
            </w:r>
          </w:p>
          <w:p w14:paraId="02C65740">
            <w:pPr>
              <w:spacing w:line="320" w:lineRule="exact"/>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上述每项评审因素满足一项评审标准的得</w:t>
            </w:r>
            <w:r>
              <w:rPr>
                <w:rFonts w:ascii="宋体" w:hAnsi="宋体" w:cs="宋体"/>
                <w:color w:val="000000" w:themeColor="text1"/>
                <w:spacing w:val="-6"/>
                <w:szCs w:val="21"/>
                <w14:textFill>
                  <w14:solidFill>
                    <w14:schemeClr w14:val="tx1"/>
                  </w14:solidFill>
                </w14:textFill>
              </w:rPr>
              <w:t>1</w:t>
            </w:r>
            <w:r>
              <w:rPr>
                <w:rFonts w:hint="eastAsia" w:ascii="宋体" w:hAnsi="宋体" w:cs="宋体"/>
                <w:color w:val="000000" w:themeColor="text1"/>
                <w:spacing w:val="-6"/>
                <w:szCs w:val="21"/>
                <w14:textFill>
                  <w14:solidFill>
                    <w14:schemeClr w14:val="tx1"/>
                  </w14:solidFill>
                </w14:textFill>
              </w:rPr>
              <w:t>分，全部满足的得2分。对 2 项评审因素进行打分，此项满分4分。</w:t>
            </w:r>
          </w:p>
        </w:tc>
      </w:tr>
      <w:tr w14:paraId="074BD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441F1A2B">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783BCF24">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软件服务方案</w:t>
            </w:r>
          </w:p>
        </w:tc>
        <w:tc>
          <w:tcPr>
            <w:tcW w:w="289" w:type="pct"/>
            <w:vAlign w:val="center"/>
          </w:tcPr>
          <w:p w14:paraId="29868B05">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6分</w:t>
            </w:r>
          </w:p>
        </w:tc>
        <w:tc>
          <w:tcPr>
            <w:tcW w:w="3786" w:type="pct"/>
            <w:vAlign w:val="center"/>
          </w:tcPr>
          <w:p w14:paraId="29900ADF">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根据投标人提供的</w:t>
            </w:r>
            <w:r>
              <w:rPr>
                <w:rFonts w:hint="eastAsia" w:ascii="宋体" w:hAnsi="宋体" w:cs="宋体"/>
                <w:color w:val="000000" w:themeColor="text1"/>
                <w:kern w:val="21"/>
                <w:szCs w:val="21"/>
                <w14:textFill>
                  <w14:solidFill>
                    <w14:schemeClr w14:val="tx1"/>
                  </w14:solidFill>
                </w14:textFill>
              </w:rPr>
              <w:t>软件服务方案</w:t>
            </w:r>
            <w:r>
              <w:rPr>
                <w:rFonts w:hint="eastAsia" w:ascii="宋体" w:hAnsi="宋体" w:cs="宋体"/>
                <w:color w:val="000000" w:themeColor="text1"/>
                <w:spacing w:val="-6"/>
                <w:szCs w:val="21"/>
                <w14:textFill>
                  <w14:solidFill>
                    <w14:schemeClr w14:val="tx1"/>
                  </w14:solidFill>
                </w14:textFill>
              </w:rPr>
              <w:t>进行评审。</w:t>
            </w:r>
          </w:p>
          <w:p w14:paraId="15FDCE80">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评审因素：①知识产权实训系统各功能部分功能设计（3分）；②各软件间联调联试（3分）。</w:t>
            </w:r>
          </w:p>
          <w:p w14:paraId="44E7D4E6">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评审标准：</w:t>
            </w:r>
          </w:p>
          <w:p w14:paraId="0CDF5193">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①内容完全结合整体需求，进行全方面的描述。（是指：方案内容根据本项目定制，与本项目切合度高，对项目内容做了全方面、多层次的描述，且针对具体点有深度分析。）</w:t>
            </w:r>
          </w:p>
          <w:p w14:paraId="6E493BF5">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②方案合理可行。（是指：依据相关标准规范进行科学设计，且具备可操作性，符合实际操作。）</w:t>
            </w:r>
          </w:p>
          <w:p w14:paraId="0A8E11C1">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上述每项评审因素满足一项评审标准的得</w:t>
            </w:r>
            <w:r>
              <w:rPr>
                <w:rFonts w:ascii="宋体" w:hAnsi="宋体" w:cs="宋体"/>
                <w:color w:val="000000" w:themeColor="text1"/>
                <w:spacing w:val="-6"/>
                <w:szCs w:val="21"/>
                <w14:textFill>
                  <w14:solidFill>
                    <w14:schemeClr w14:val="tx1"/>
                  </w14:solidFill>
                </w14:textFill>
              </w:rPr>
              <w:t>1.5</w:t>
            </w:r>
            <w:r>
              <w:rPr>
                <w:rFonts w:hint="eastAsia" w:ascii="宋体" w:hAnsi="宋体" w:cs="宋体"/>
                <w:color w:val="000000" w:themeColor="text1"/>
                <w:spacing w:val="-6"/>
                <w:szCs w:val="21"/>
                <w14:textFill>
                  <w14:solidFill>
                    <w14:schemeClr w14:val="tx1"/>
                  </w14:solidFill>
                </w14:textFill>
              </w:rPr>
              <w:t>分，全部满足的得</w:t>
            </w:r>
            <w:r>
              <w:rPr>
                <w:rFonts w:ascii="宋体" w:hAnsi="宋体" w:cs="宋体"/>
                <w:color w:val="000000" w:themeColor="text1"/>
                <w:spacing w:val="-6"/>
                <w:szCs w:val="21"/>
                <w14:textFill>
                  <w14:solidFill>
                    <w14:schemeClr w14:val="tx1"/>
                  </w14:solidFill>
                </w14:textFill>
              </w:rPr>
              <w:t>3</w:t>
            </w:r>
            <w:r>
              <w:rPr>
                <w:rFonts w:hint="eastAsia" w:ascii="宋体" w:hAnsi="宋体" w:cs="宋体"/>
                <w:color w:val="000000" w:themeColor="text1"/>
                <w:spacing w:val="-6"/>
                <w:szCs w:val="21"/>
                <w14:textFill>
                  <w14:solidFill>
                    <w14:schemeClr w14:val="tx1"/>
                  </w14:solidFill>
                </w14:textFill>
              </w:rPr>
              <w:t>分。对 2 项评审因素进行打分，此项满分6分。</w:t>
            </w:r>
          </w:p>
        </w:tc>
      </w:tr>
      <w:tr w14:paraId="3F54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031F8115">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Align w:val="center"/>
          </w:tcPr>
          <w:p w14:paraId="6AA7AF0F">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环境改造方案</w:t>
            </w:r>
          </w:p>
        </w:tc>
        <w:tc>
          <w:tcPr>
            <w:tcW w:w="289" w:type="pct"/>
            <w:vAlign w:val="center"/>
          </w:tcPr>
          <w:p w14:paraId="3DF3C7A4">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3分</w:t>
            </w:r>
          </w:p>
        </w:tc>
        <w:tc>
          <w:tcPr>
            <w:tcW w:w="3786" w:type="pct"/>
            <w:vAlign w:val="center"/>
          </w:tcPr>
          <w:p w14:paraId="4C3EAC5A">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根据投标人提供的</w:t>
            </w:r>
            <w:r>
              <w:rPr>
                <w:rFonts w:hint="eastAsia" w:ascii="宋体" w:hAnsi="宋体" w:cs="宋体"/>
                <w:color w:val="000000" w:themeColor="text1"/>
                <w:kern w:val="21"/>
                <w:szCs w:val="21"/>
                <w14:textFill>
                  <w14:solidFill>
                    <w14:schemeClr w14:val="tx1"/>
                  </w14:solidFill>
                </w14:textFill>
              </w:rPr>
              <w:t>环境改造方案</w:t>
            </w:r>
            <w:r>
              <w:rPr>
                <w:rFonts w:hint="eastAsia" w:ascii="宋体" w:hAnsi="宋体" w:cs="宋体"/>
                <w:color w:val="000000" w:themeColor="text1"/>
                <w:spacing w:val="-6"/>
                <w:szCs w:val="21"/>
                <w14:textFill>
                  <w14:solidFill>
                    <w14:schemeClr w14:val="tx1"/>
                  </w14:solidFill>
                </w14:textFill>
              </w:rPr>
              <w:t>进行评审。</w:t>
            </w:r>
          </w:p>
          <w:p w14:paraId="1B66E75E">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评审因素：①</w:t>
            </w:r>
            <w:r>
              <w:rPr>
                <w:rFonts w:hint="eastAsia" w:ascii="宋体" w:hAnsi="宋体" w:cs="宋体"/>
                <w:color w:val="000000" w:themeColor="text1"/>
                <w:kern w:val="21"/>
                <w:szCs w:val="21"/>
                <w14:textFill>
                  <w14:solidFill>
                    <w14:schemeClr w14:val="tx1"/>
                  </w14:solidFill>
                </w14:textFill>
              </w:rPr>
              <w:t>环境改造方案（</w:t>
            </w:r>
            <w:r>
              <w:rPr>
                <w:rFonts w:hint="eastAsia" w:ascii="宋体" w:hAnsi="宋体" w:cs="宋体"/>
                <w:color w:val="000000" w:themeColor="text1"/>
                <w:kern w:val="0"/>
                <w:szCs w:val="21"/>
                <w:lang w:bidi="ar"/>
                <w14:textFill>
                  <w14:solidFill>
                    <w14:schemeClr w14:val="tx1"/>
                  </w14:solidFill>
                </w14:textFill>
              </w:rPr>
              <w:t>教室、走廊和大厅</w:t>
            </w:r>
            <w:r>
              <w:rPr>
                <w:rFonts w:hint="eastAsia" w:ascii="宋体" w:hAnsi="宋体" w:cs="宋体"/>
                <w:color w:val="000000" w:themeColor="text1"/>
                <w:kern w:val="21"/>
                <w:szCs w:val="21"/>
                <w14:textFill>
                  <w14:solidFill>
                    <w14:schemeClr w14:val="tx1"/>
                  </w14:solidFill>
                </w14:textFill>
              </w:rPr>
              <w:t>）</w:t>
            </w:r>
            <w:r>
              <w:rPr>
                <w:rFonts w:hint="eastAsia" w:ascii="宋体" w:hAnsi="宋体" w:cs="宋体"/>
                <w:color w:val="000000" w:themeColor="text1"/>
                <w:kern w:val="0"/>
                <w:szCs w:val="21"/>
                <w:lang w:bidi="ar"/>
                <w14:textFill>
                  <w14:solidFill>
                    <w14:schemeClr w14:val="tx1"/>
                  </w14:solidFill>
                </w14:textFill>
              </w:rPr>
              <w:t>（3分）</w:t>
            </w:r>
            <w:r>
              <w:rPr>
                <w:rFonts w:hint="eastAsia" w:ascii="宋体" w:hAnsi="宋体" w:cs="宋体"/>
                <w:color w:val="000000" w:themeColor="text1"/>
                <w:spacing w:val="-6"/>
                <w:szCs w:val="21"/>
                <w14:textFill>
                  <w14:solidFill>
                    <w14:schemeClr w14:val="tx1"/>
                  </w14:solidFill>
                </w14:textFill>
              </w:rPr>
              <w:t>。</w:t>
            </w:r>
          </w:p>
          <w:p w14:paraId="55C6BF7D">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评审标准：</w:t>
            </w:r>
          </w:p>
          <w:p w14:paraId="44ACFD0B">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①内容完全结合整体需求，进行全方面的描述。（是指：方案内容根据本项目定制，与本项目切合度高，对项目内容做了全方面、多层次的描述，且针对具体点有深度分析。）</w:t>
            </w:r>
          </w:p>
          <w:p w14:paraId="3B7478A5">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②方案合理可行。（是指：依据相关标准规范进行科学设计，且具备可操作性，符合实际操作。）</w:t>
            </w:r>
          </w:p>
          <w:p w14:paraId="7E45301F">
            <w:pPr>
              <w:spacing w:line="320" w:lineRule="exact"/>
              <w:jc w:val="left"/>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上述每项评审因素满足一项评审标准的得1</w:t>
            </w:r>
            <w:r>
              <w:rPr>
                <w:rFonts w:ascii="宋体" w:hAnsi="宋体" w:cs="宋体"/>
                <w:color w:val="000000" w:themeColor="text1"/>
                <w:spacing w:val="-6"/>
                <w:szCs w:val="21"/>
                <w14:textFill>
                  <w14:solidFill>
                    <w14:schemeClr w14:val="tx1"/>
                  </w14:solidFill>
                </w14:textFill>
              </w:rPr>
              <w:t>.5</w:t>
            </w:r>
            <w:r>
              <w:rPr>
                <w:rFonts w:hint="eastAsia" w:ascii="宋体" w:hAnsi="宋体" w:cs="宋体"/>
                <w:color w:val="000000" w:themeColor="text1"/>
                <w:spacing w:val="-6"/>
                <w:szCs w:val="21"/>
                <w14:textFill>
                  <w14:solidFill>
                    <w14:schemeClr w14:val="tx1"/>
                  </w14:solidFill>
                </w14:textFill>
              </w:rPr>
              <w:t>分，全部满足的得3分。</w:t>
            </w:r>
          </w:p>
        </w:tc>
      </w:tr>
      <w:tr w14:paraId="2A102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19A29291">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Merge w:val="restart"/>
            <w:vAlign w:val="center"/>
          </w:tcPr>
          <w:p w14:paraId="0CDD8245">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售后服务</w:t>
            </w:r>
          </w:p>
        </w:tc>
        <w:tc>
          <w:tcPr>
            <w:tcW w:w="289" w:type="pct"/>
            <w:vAlign w:val="center"/>
          </w:tcPr>
          <w:p w14:paraId="28DB5062">
            <w:pPr>
              <w:spacing w:line="320" w:lineRule="exact"/>
              <w:jc w:val="center"/>
              <w:rPr>
                <w:rFonts w:ascii="宋体" w:hAnsi="宋体" w:cs="宋体"/>
                <w:color w:val="000000" w:themeColor="text1"/>
                <w:kern w:val="21"/>
                <w:szCs w:val="21"/>
                <w14:textFill>
                  <w14:solidFill>
                    <w14:schemeClr w14:val="tx1"/>
                  </w14:solidFill>
                </w14:textFill>
              </w:rPr>
            </w:pPr>
            <w:r>
              <w:rPr>
                <w:rFonts w:ascii="宋体" w:hAnsi="宋体" w:cs="宋体"/>
                <w:color w:val="000000" w:themeColor="text1"/>
                <w:kern w:val="21"/>
                <w:szCs w:val="21"/>
                <w14:textFill>
                  <w14:solidFill>
                    <w14:schemeClr w14:val="tx1"/>
                  </w14:solidFill>
                </w14:textFill>
              </w:rPr>
              <w:t>0</w:t>
            </w:r>
            <w:r>
              <w:rPr>
                <w:rFonts w:hint="eastAsia" w:ascii="宋体" w:hAnsi="宋体" w:cs="宋体"/>
                <w:color w:val="000000" w:themeColor="text1"/>
                <w:kern w:val="21"/>
                <w:szCs w:val="21"/>
                <w14:textFill>
                  <w14:solidFill>
                    <w14:schemeClr w14:val="tx1"/>
                  </w14:solidFill>
                </w14:textFill>
              </w:rPr>
              <w:t>.5分</w:t>
            </w:r>
          </w:p>
        </w:tc>
        <w:tc>
          <w:tcPr>
            <w:tcW w:w="3786" w:type="pct"/>
            <w:vAlign w:val="center"/>
          </w:tcPr>
          <w:p w14:paraId="00A785BD">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投标人能按照采购需求商务要求中的售后服务、升级更新、备品备件等要求提</w:t>
            </w:r>
          </w:p>
          <w:p w14:paraId="35C257BC">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供售后承诺的得</w:t>
            </w:r>
            <w:r>
              <w:rPr>
                <w:rFonts w:ascii="宋体" w:hAnsi="宋体" w:cs="宋体"/>
                <w:color w:val="000000" w:themeColor="text1"/>
                <w:szCs w:val="21"/>
                <w14:textFill>
                  <w14:solidFill>
                    <w14:schemeClr w14:val="tx1"/>
                  </w14:solidFill>
                </w14:textFill>
              </w:rPr>
              <w:t>0</w:t>
            </w:r>
            <w:r>
              <w:rPr>
                <w:rFonts w:hint="eastAsia" w:ascii="宋体" w:hAnsi="宋体" w:cs="宋体"/>
                <w:color w:val="000000" w:themeColor="text1"/>
                <w:szCs w:val="21"/>
                <w14:textFill>
                  <w14:solidFill>
                    <w14:schemeClr w14:val="tx1"/>
                  </w14:solidFill>
                </w14:textFill>
              </w:rPr>
              <w:t>.5分。</w:t>
            </w:r>
          </w:p>
          <w:p w14:paraId="7BACAA5A">
            <w:pPr>
              <w:spacing w:line="320" w:lineRule="exact"/>
              <w:jc w:val="left"/>
              <w:rPr>
                <w:rFonts w:ascii="宋体" w:hAnsi="宋体" w:cs="宋体"/>
                <w:b/>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注：须提供投标人售后服务承诺函，未提供承诺函或承诺内容不齐全均不得分。</w:t>
            </w:r>
          </w:p>
        </w:tc>
      </w:tr>
      <w:tr w14:paraId="669A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84" w:type="pct"/>
            <w:vMerge w:val="continue"/>
            <w:vAlign w:val="center"/>
          </w:tcPr>
          <w:p w14:paraId="48FF9545">
            <w:pPr>
              <w:spacing w:line="320" w:lineRule="exact"/>
              <w:jc w:val="center"/>
              <w:rPr>
                <w:rFonts w:ascii="宋体" w:hAnsi="宋体" w:cs="宋体"/>
                <w:b/>
                <w:color w:val="000000" w:themeColor="text1"/>
                <w:kern w:val="21"/>
                <w:szCs w:val="21"/>
                <w14:textFill>
                  <w14:solidFill>
                    <w14:schemeClr w14:val="tx1"/>
                  </w14:solidFill>
                </w14:textFill>
              </w:rPr>
            </w:pPr>
          </w:p>
        </w:tc>
        <w:tc>
          <w:tcPr>
            <w:tcW w:w="441" w:type="pct"/>
            <w:vMerge w:val="continue"/>
            <w:vAlign w:val="center"/>
          </w:tcPr>
          <w:p w14:paraId="100E4B3D">
            <w:pPr>
              <w:spacing w:line="320" w:lineRule="exact"/>
              <w:jc w:val="center"/>
              <w:rPr>
                <w:rFonts w:ascii="宋体" w:hAnsi="宋体" w:cs="宋体"/>
                <w:color w:val="000000" w:themeColor="text1"/>
                <w:kern w:val="21"/>
                <w:szCs w:val="21"/>
                <w14:textFill>
                  <w14:solidFill>
                    <w14:schemeClr w14:val="tx1"/>
                  </w14:solidFill>
                </w14:textFill>
              </w:rPr>
            </w:pPr>
          </w:p>
        </w:tc>
        <w:tc>
          <w:tcPr>
            <w:tcW w:w="289" w:type="pct"/>
            <w:vAlign w:val="center"/>
          </w:tcPr>
          <w:p w14:paraId="0F692E77">
            <w:pPr>
              <w:spacing w:line="320" w:lineRule="exact"/>
              <w:jc w:val="center"/>
              <w:rPr>
                <w:rFonts w:ascii="宋体" w:hAnsi="宋体" w:cs="宋体"/>
                <w:color w:val="000000" w:themeColor="text1"/>
                <w:kern w:val="21"/>
                <w:szCs w:val="21"/>
                <w14:textFill>
                  <w14:solidFill>
                    <w14:schemeClr w14:val="tx1"/>
                  </w14:solidFill>
                </w14:textFill>
              </w:rPr>
            </w:pPr>
            <w:r>
              <w:rPr>
                <w:rFonts w:hint="eastAsia" w:ascii="宋体" w:hAnsi="宋体" w:cs="宋体"/>
                <w:color w:val="000000" w:themeColor="text1"/>
                <w:kern w:val="21"/>
                <w:szCs w:val="21"/>
                <w14:textFill>
                  <w14:solidFill>
                    <w14:schemeClr w14:val="tx1"/>
                  </w14:solidFill>
                </w14:textFill>
              </w:rPr>
              <w:t>4.5分</w:t>
            </w:r>
          </w:p>
        </w:tc>
        <w:tc>
          <w:tcPr>
            <w:tcW w:w="3786" w:type="pct"/>
            <w:vAlign w:val="center"/>
          </w:tcPr>
          <w:p w14:paraId="512853C3">
            <w:pPr>
              <w:spacing w:line="320" w:lineRule="exact"/>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w:t>
            </w:r>
            <w:r>
              <w:rPr>
                <w:rFonts w:hint="eastAsia" w:ascii="宋体" w:hAnsi="宋体" w:cs="宋体"/>
                <w:color w:val="000000" w:themeColor="text1"/>
                <w:spacing w:val="-6"/>
                <w:szCs w:val="21"/>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的售后服务方案进行评审。</w:t>
            </w:r>
          </w:p>
          <w:p w14:paraId="13223317">
            <w:pPr>
              <w:pStyle w:val="25"/>
              <w:spacing w:line="320" w:lineRule="exact"/>
              <w:ind w:left="0" w:firstLine="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pacing w:val="-6"/>
                <w:szCs w:val="21"/>
                <w14:textFill>
                  <w14:solidFill>
                    <w14:schemeClr w14:val="tx1"/>
                  </w14:solidFill>
                </w14:textFill>
              </w:rPr>
              <w:t>评审因素：</w:t>
            </w:r>
            <w:r>
              <w:rPr>
                <w:rFonts w:hint="eastAsia" w:ascii="宋体" w:hAnsi="宋体" w:cs="宋体"/>
                <w:color w:val="000000" w:themeColor="text1"/>
                <w:spacing w:val="-6"/>
                <w:szCs w:val="21"/>
                <w14:textFill>
                  <w14:solidFill>
                    <w14:schemeClr w14:val="tx1"/>
                  </w14:solidFill>
                </w14:textFill>
              </w:rPr>
              <w:t>①服务标准、应急维修处理、培训等（2分）</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pacing w:val="-6"/>
                <w:szCs w:val="21"/>
                <w14:textFill>
                  <w14:solidFill>
                    <w14:schemeClr w14:val="tx1"/>
                  </w14:solidFill>
                </w14:textFill>
              </w:rPr>
              <w:t>②</w:t>
            </w:r>
            <w:r>
              <w:rPr>
                <w:rFonts w:hint="eastAsia" w:ascii="宋体" w:hAnsi="宋体" w:cs="宋体"/>
                <w:color w:val="000000" w:themeColor="text1"/>
                <w:szCs w:val="21"/>
                <w14:textFill>
                  <w14:solidFill>
                    <w14:schemeClr w14:val="tx1"/>
                  </w14:solidFill>
                </w14:textFill>
              </w:rPr>
              <w:t>售后服务方案及其人员组成与经验（1分）；③质保期满后的承诺及其它服务承诺（1.5分）。</w:t>
            </w:r>
          </w:p>
          <w:p w14:paraId="220EA544">
            <w:pPr>
              <w:pStyle w:val="25"/>
              <w:spacing w:line="320" w:lineRule="exact"/>
              <w:ind w:left="0" w:firstLine="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评审标准：</w:t>
            </w:r>
          </w:p>
          <w:p w14:paraId="26E6E61D">
            <w:pPr>
              <w:pStyle w:val="25"/>
              <w:spacing w:line="320" w:lineRule="exact"/>
              <w:ind w:left="0" w:firstLine="0"/>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①内容完全结合整体需求，进行全方面的描述。（是指：方案内容根据本项目定制，与本项目切合度高，对项目内容做了全方面、多层次的描述，且针对具体点有深度分析。）</w:t>
            </w:r>
          </w:p>
          <w:p w14:paraId="0316BA29">
            <w:pPr>
              <w:pStyle w:val="9"/>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②方案合理可行。（是指：</w:t>
            </w:r>
            <w:r>
              <w:rPr>
                <w:rFonts w:hint="eastAsia" w:ascii="宋体" w:hAnsi="宋体" w:cs="宋体"/>
                <w:color w:val="000000" w:themeColor="text1"/>
                <w:szCs w:val="21"/>
                <w14:textFill>
                  <w14:solidFill>
                    <w14:schemeClr w14:val="tx1"/>
                  </w14:solidFill>
                </w14:textFill>
              </w:rPr>
              <w:t>依据相关标准规范进行科学设计</w:t>
            </w:r>
            <w:r>
              <w:rPr>
                <w:rFonts w:hint="eastAsia" w:ascii="宋体" w:hAnsi="宋体" w:cs="宋体"/>
                <w:color w:val="000000" w:themeColor="text1"/>
                <w:spacing w:val="-6"/>
                <w:szCs w:val="21"/>
                <w14:textFill>
                  <w14:solidFill>
                    <w14:schemeClr w14:val="tx1"/>
                  </w14:solidFill>
                </w14:textFill>
              </w:rPr>
              <w:t>，且具备可操作性，符合实际操作。）</w:t>
            </w:r>
          </w:p>
          <w:p w14:paraId="19F05F49">
            <w:pPr>
              <w:pStyle w:val="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上述第①评审因素满足一项评审标准的得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分，全部满足的得</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分。</w:t>
            </w:r>
          </w:p>
          <w:p w14:paraId="35D04406">
            <w:pPr>
              <w:pStyle w:val="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上述第</w:t>
            </w:r>
            <w:r>
              <w:rPr>
                <w:rFonts w:hint="eastAsia" w:ascii="宋体" w:hAnsi="宋体" w:cs="宋体"/>
                <w:color w:val="000000" w:themeColor="text1"/>
                <w:kern w:val="21"/>
                <w:szCs w:val="21"/>
                <w14:textFill>
                  <w14:solidFill>
                    <w14:schemeClr w14:val="tx1"/>
                  </w14:solidFill>
                </w14:textFill>
              </w:rPr>
              <w:t>②</w:t>
            </w:r>
            <w:r>
              <w:rPr>
                <w:rFonts w:hint="eastAsia" w:ascii="宋体" w:hAnsi="宋体"/>
                <w:color w:val="000000" w:themeColor="text1"/>
                <w:szCs w:val="21"/>
                <w14:textFill>
                  <w14:solidFill>
                    <w14:schemeClr w14:val="tx1"/>
                  </w14:solidFill>
                </w14:textFill>
              </w:rPr>
              <w:t>评审因素满足一项评审标准的得</w:t>
            </w:r>
            <w:r>
              <w:rPr>
                <w:rFonts w:ascii="宋体" w:hAnsi="宋体"/>
                <w:color w:val="000000" w:themeColor="text1"/>
                <w:szCs w:val="21"/>
                <w14:textFill>
                  <w14:solidFill>
                    <w14:schemeClr w14:val="tx1"/>
                  </w14:solidFill>
                </w14:textFill>
              </w:rPr>
              <w:t>0.5</w:t>
            </w:r>
            <w:r>
              <w:rPr>
                <w:rFonts w:hint="eastAsia" w:ascii="宋体" w:hAnsi="宋体"/>
                <w:color w:val="000000" w:themeColor="text1"/>
                <w:szCs w:val="21"/>
                <w14:textFill>
                  <w14:solidFill>
                    <w14:schemeClr w14:val="tx1"/>
                  </w14:solidFill>
                </w14:textFill>
              </w:rPr>
              <w:t>分，全部满足的得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w:t>
            </w:r>
          </w:p>
          <w:p w14:paraId="35842354">
            <w:pPr>
              <w:pStyle w:val="9"/>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上述第</w:t>
            </w:r>
            <w:r>
              <w:rPr>
                <w:rFonts w:hint="eastAsia" w:ascii="宋体" w:hAnsi="宋体" w:cs="宋体"/>
                <w:color w:val="000000" w:themeColor="text1"/>
                <w:szCs w:val="21"/>
                <w14:textFill>
                  <w14:solidFill>
                    <w14:schemeClr w14:val="tx1"/>
                  </w14:solidFill>
                </w14:textFill>
              </w:rPr>
              <w:t>③</w:t>
            </w:r>
            <w:r>
              <w:rPr>
                <w:rFonts w:hint="eastAsia" w:ascii="宋体" w:hAnsi="宋体"/>
                <w:color w:val="000000" w:themeColor="text1"/>
                <w:szCs w:val="21"/>
                <w14:textFill>
                  <w14:solidFill>
                    <w14:schemeClr w14:val="tx1"/>
                  </w14:solidFill>
                </w14:textFill>
              </w:rPr>
              <w:t>评审因素满足一项评审标准的得</w:t>
            </w:r>
            <w:r>
              <w:rPr>
                <w:rFonts w:ascii="宋体" w:hAnsi="宋体"/>
                <w:color w:val="000000" w:themeColor="text1"/>
                <w:szCs w:val="21"/>
                <w14:textFill>
                  <w14:solidFill>
                    <w14:schemeClr w14:val="tx1"/>
                  </w14:solidFill>
                </w14:textFill>
              </w:rPr>
              <w:t>0.75</w:t>
            </w:r>
            <w:r>
              <w:rPr>
                <w:rFonts w:hint="eastAsia" w:ascii="宋体" w:hAnsi="宋体"/>
                <w:color w:val="000000" w:themeColor="text1"/>
                <w:szCs w:val="21"/>
                <w14:textFill>
                  <w14:solidFill>
                    <w14:schemeClr w14:val="tx1"/>
                  </w14:solidFill>
                </w14:textFill>
              </w:rPr>
              <w:t>分，全部满足的得</w:t>
            </w:r>
            <w:r>
              <w:rPr>
                <w:rFonts w:ascii="宋体" w:hAnsi="宋体"/>
                <w:color w:val="000000" w:themeColor="text1"/>
                <w:szCs w:val="21"/>
                <w14:textFill>
                  <w14:solidFill>
                    <w14:schemeClr w14:val="tx1"/>
                  </w14:solidFill>
                </w14:textFill>
              </w:rPr>
              <w:t>1.5</w:t>
            </w:r>
            <w:r>
              <w:rPr>
                <w:rFonts w:hint="eastAsia" w:ascii="宋体" w:hAnsi="宋体"/>
                <w:color w:val="000000" w:themeColor="text1"/>
                <w:szCs w:val="21"/>
                <w14:textFill>
                  <w14:solidFill>
                    <w14:schemeClr w14:val="tx1"/>
                  </w14:solidFill>
                </w14:textFill>
              </w:rPr>
              <w:t>分。</w:t>
            </w:r>
          </w:p>
          <w:p w14:paraId="294C13A6">
            <w:pPr>
              <w:pStyle w:val="25"/>
              <w:spacing w:line="320" w:lineRule="exact"/>
              <w:ind w:left="0" w:firstLine="0"/>
              <w:rPr>
                <w:rFonts w:ascii="宋体" w:hAnsi="宋体" w:cs="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w:t>
            </w:r>
            <w:r>
              <w:rPr>
                <w:rFonts w:ascii="宋体" w:hAnsi="宋体"/>
                <w:color w:val="000000" w:themeColor="text1"/>
                <w:szCs w:val="21"/>
                <w14:textFill>
                  <w14:solidFill>
                    <w14:schemeClr w14:val="tx1"/>
                  </w14:solidFill>
                </w14:textFill>
              </w:rPr>
              <w:t>3</w:t>
            </w:r>
            <w:r>
              <w:rPr>
                <w:rFonts w:hint="eastAsia" w:ascii="宋体" w:hAnsi="宋体"/>
                <w:color w:val="000000" w:themeColor="text1"/>
                <w:szCs w:val="21"/>
                <w14:textFill>
                  <w14:solidFill>
                    <w14:schemeClr w14:val="tx1"/>
                  </w14:solidFill>
                </w14:textFill>
              </w:rPr>
              <w:t>项评审因素进行打分，此项满分</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w:t>
            </w:r>
          </w:p>
        </w:tc>
      </w:tr>
    </w:tbl>
    <w:p w14:paraId="61FC74F6">
      <w:pPr>
        <w:widowControl/>
        <w:jc w:val="left"/>
        <w:rPr>
          <w:b/>
          <w:bCs/>
        </w:rPr>
      </w:pPr>
    </w:p>
    <w:p w14:paraId="3796BC37">
      <w:pPr>
        <w:widowControl/>
        <w:jc w:val="left"/>
        <w:rPr>
          <w:b/>
          <w:bCs/>
        </w:rPr>
      </w:pPr>
      <w:r>
        <w:rPr>
          <w:b/>
          <w:bCs/>
        </w:rPr>
        <w:br w:type="page"/>
      </w:r>
    </w:p>
    <w:p w14:paraId="15274FB2">
      <w:pPr>
        <w:spacing w:line="276" w:lineRule="auto"/>
        <w:jc w:val="center"/>
        <w:outlineLvl w:val="0"/>
        <w:rPr>
          <w:rFonts w:ascii="黑体" w:hAnsi="黑体" w:eastAsia="黑体"/>
          <w:sz w:val="28"/>
          <w:szCs w:val="28"/>
        </w:rPr>
      </w:pPr>
      <w:bookmarkStart w:id="69" w:name="_Toc97815022"/>
      <w:bookmarkStart w:id="70" w:name="_Toc494721093"/>
      <w:bookmarkStart w:id="71" w:name="_Toc494665546"/>
      <w:bookmarkStart w:id="72" w:name="_Toc494702263"/>
      <w:bookmarkStart w:id="73" w:name="_Toc494665943"/>
      <w:bookmarkStart w:id="74" w:name="_Toc494745310"/>
      <w:bookmarkStart w:id="75" w:name="_Toc494664993"/>
      <w:r>
        <w:rPr>
          <w:rFonts w:hint="eastAsia" w:ascii="黑体" w:hAnsi="黑体" w:eastAsia="黑体"/>
          <w:sz w:val="28"/>
          <w:szCs w:val="28"/>
        </w:rPr>
        <w:t>第六章 合同书格式</w:t>
      </w:r>
      <w:bookmarkEnd w:id="69"/>
      <w:bookmarkEnd w:id="70"/>
      <w:bookmarkEnd w:id="71"/>
      <w:bookmarkEnd w:id="72"/>
      <w:bookmarkEnd w:id="73"/>
      <w:bookmarkEnd w:id="74"/>
      <w:bookmarkEnd w:id="75"/>
    </w:p>
    <w:p w14:paraId="5015D104">
      <w:pPr>
        <w:spacing w:line="276" w:lineRule="auto"/>
        <w:ind w:firstLine="420" w:firstLineChars="200"/>
        <w:rPr>
          <w:rFonts w:ascii="宋体" w:hAnsi="宋体"/>
          <w:szCs w:val="21"/>
        </w:rPr>
      </w:pPr>
    </w:p>
    <w:p w14:paraId="31368A71">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项目概况</w:t>
      </w:r>
    </w:p>
    <w:p w14:paraId="1469D982">
      <w:pPr>
        <w:adjustRightInd w:val="0"/>
        <w:snapToGrid w:val="0"/>
        <w:spacing w:line="360" w:lineRule="auto"/>
        <w:ind w:firstLine="420" w:firstLineChars="200"/>
        <w:rPr>
          <w:rStyle w:val="31"/>
          <w:rFonts w:ascii="宋体" w:hAnsi="宋体" w:cs="宋体"/>
          <w:iCs w:val="0"/>
          <w:szCs w:val="21"/>
          <w:u w:val="single"/>
        </w:rPr>
      </w:pPr>
      <w:r>
        <w:rPr>
          <w:rFonts w:hint="eastAsia" w:ascii="宋体" w:hAnsi="宋体" w:cs="宋体"/>
          <w:szCs w:val="21"/>
        </w:rPr>
        <w:t>1.1项目名称</w:t>
      </w:r>
      <w:r>
        <w:rPr>
          <w:rFonts w:hint="eastAsia" w:ascii="宋体" w:hAnsi="宋体" w:cs="宋体"/>
          <w:kern w:val="0"/>
          <w:szCs w:val="21"/>
        </w:rPr>
        <w:t>：</w:t>
      </w:r>
      <w:r>
        <w:rPr>
          <w:rFonts w:hint="eastAsia" w:ascii="宋体" w:hAnsi="宋体" w:cs="宋体"/>
          <w:szCs w:val="21"/>
          <w:u w:val="single"/>
        </w:rPr>
        <w:t>武汉理工大学***项目</w:t>
      </w:r>
    </w:p>
    <w:p w14:paraId="3BCA1C81">
      <w:pPr>
        <w:adjustRightInd w:val="0"/>
        <w:snapToGrid w:val="0"/>
        <w:spacing w:line="360" w:lineRule="auto"/>
        <w:ind w:firstLine="420" w:firstLineChars="200"/>
        <w:rPr>
          <w:rFonts w:ascii="宋体" w:hAnsi="宋体" w:cs="宋体"/>
          <w:szCs w:val="21"/>
        </w:rPr>
      </w:pPr>
      <w:r>
        <w:rPr>
          <w:rFonts w:hint="eastAsia" w:ascii="宋体" w:hAnsi="宋体" w:cs="宋体"/>
          <w:szCs w:val="21"/>
        </w:rPr>
        <w:t>1.2项目内容：</w:t>
      </w:r>
      <w:r>
        <w:rPr>
          <w:rFonts w:hint="eastAsia" w:ascii="宋体" w:hAnsi="宋体" w:cs="宋体"/>
          <w:szCs w:val="21"/>
          <w:u w:val="single"/>
        </w:rPr>
        <w:t>武汉理工大学******</w:t>
      </w:r>
      <w:r>
        <w:rPr>
          <w:rFonts w:hint="eastAsia" w:ascii="宋体" w:hAnsi="宋体" w:cs="宋体"/>
          <w:szCs w:val="21"/>
        </w:rPr>
        <w:t>的供货、安装、调试、验收及售后服务。</w:t>
      </w:r>
    </w:p>
    <w:p w14:paraId="53B45741">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1.3项目地点：</w:t>
      </w:r>
      <w:r>
        <w:rPr>
          <w:rFonts w:hint="eastAsia" w:ascii="宋体" w:hAnsi="宋体" w:cs="宋体"/>
          <w:szCs w:val="21"/>
          <w:u w:val="single"/>
        </w:rPr>
        <w:t>武汉理工大学**楼</w:t>
      </w:r>
    </w:p>
    <w:p w14:paraId="48844303">
      <w:pPr>
        <w:pStyle w:val="25"/>
        <w:ind w:left="0" w:firstLine="420" w:firstLineChars="200"/>
        <w:rPr>
          <w:rFonts w:ascii="宋体" w:hAnsi="宋体" w:cs="宋体"/>
          <w:szCs w:val="21"/>
        </w:rPr>
      </w:pPr>
      <w:r>
        <w:rPr>
          <w:rFonts w:hint="eastAsia" w:ascii="宋体" w:hAnsi="宋体" w:cs="宋体"/>
          <w:szCs w:val="21"/>
        </w:rPr>
        <w:t>1.4采购清单：</w:t>
      </w:r>
    </w:p>
    <w:tbl>
      <w:tblPr>
        <w:tblStyle w:val="26"/>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27C75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150BA13C">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7A3537C9">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66AA14AD">
            <w:pPr>
              <w:spacing w:line="276" w:lineRule="auto"/>
              <w:ind w:left="-48" w:leftChars="-23" w:right="-65" w:rightChars="-31"/>
              <w:jc w:val="center"/>
              <w:rPr>
                <w:rFonts w:ascii="宋体" w:hAnsi="宋体"/>
                <w:szCs w:val="21"/>
              </w:rPr>
            </w:pPr>
            <w:r>
              <w:rPr>
                <w:rFonts w:hint="eastAsia" w:ascii="宋体" w:hAnsi="宋体"/>
                <w:szCs w:val="21"/>
              </w:rPr>
              <w:t>品牌</w:t>
            </w:r>
          </w:p>
          <w:p w14:paraId="25E81807">
            <w:pPr>
              <w:spacing w:line="276" w:lineRule="auto"/>
              <w:ind w:left="-48" w:leftChars="-23" w:right="-65" w:rightChars="-31"/>
              <w:jc w:val="center"/>
              <w:rPr>
                <w:rFonts w:ascii="宋体" w:hAnsi="宋体" w:cs="宋体"/>
                <w:color w:val="0D0D0D"/>
                <w:kern w:val="0"/>
                <w:szCs w:val="21"/>
              </w:rPr>
            </w:pPr>
            <w:r>
              <w:rPr>
                <w:rFonts w:hint="eastAsia" w:ascii="宋体" w:hAnsi="宋体"/>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53EE7C97">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7F2E8199">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362EB522">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38E79838">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分项合计</w:t>
            </w:r>
          </w:p>
        </w:tc>
      </w:tr>
      <w:tr w14:paraId="1D69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69582B6">
            <w:pPr>
              <w:numPr>
                <w:ilvl w:val="0"/>
                <w:numId w:val="58"/>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50C43A90">
            <w:pPr>
              <w:tabs>
                <w:tab w:val="left" w:pos="0"/>
                <w:tab w:val="left" w:pos="56"/>
              </w:tabs>
              <w:adjustRightInd w:val="0"/>
              <w:snapToGrid w:val="0"/>
              <w:spacing w:line="276" w:lineRule="auto"/>
              <w:ind w:left="479" w:hanging="478" w:hangingChars="228"/>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30773DE">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FF4BF0D">
            <w:pPr>
              <w:spacing w:line="276" w:lineRule="auto"/>
              <w:ind w:left="-48" w:leftChars="-23" w:right="-375" w:rightChars="-179"/>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0B52206E">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68B2D31B">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2F59A706">
            <w:pPr>
              <w:spacing w:line="276" w:lineRule="auto"/>
              <w:ind w:left="-48" w:leftChars="-23" w:right="-65" w:rightChars="-31"/>
              <w:jc w:val="center"/>
              <w:rPr>
                <w:rFonts w:ascii="宋体" w:hAnsi="宋体" w:cs="宋体"/>
                <w:color w:val="0D0D0D"/>
                <w:kern w:val="0"/>
                <w:szCs w:val="21"/>
              </w:rPr>
            </w:pPr>
          </w:p>
        </w:tc>
      </w:tr>
      <w:tr w14:paraId="4AD69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EA622B8">
            <w:pPr>
              <w:numPr>
                <w:ilvl w:val="0"/>
                <w:numId w:val="58"/>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768EF237">
            <w:pPr>
              <w:tabs>
                <w:tab w:val="left" w:pos="0"/>
                <w:tab w:val="left" w:pos="56"/>
              </w:tabs>
              <w:adjustRightInd w:val="0"/>
              <w:snapToGrid w:val="0"/>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4EF0E1B">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1FD11D4">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4A1BAB3">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6B841FD8">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6C691DC">
            <w:pPr>
              <w:spacing w:line="276" w:lineRule="auto"/>
              <w:ind w:left="-48" w:leftChars="-23" w:right="-65" w:rightChars="-31"/>
              <w:jc w:val="center"/>
              <w:rPr>
                <w:rFonts w:ascii="宋体" w:hAnsi="宋体" w:cs="宋体"/>
                <w:color w:val="0D0D0D"/>
                <w:kern w:val="0"/>
                <w:szCs w:val="21"/>
              </w:rPr>
            </w:pPr>
          </w:p>
        </w:tc>
      </w:tr>
      <w:tr w14:paraId="1E53D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247031FE">
            <w:pPr>
              <w:tabs>
                <w:tab w:val="left" w:pos="82"/>
              </w:tabs>
              <w:adjustRightInd w:val="0"/>
              <w:snapToGrid w:val="0"/>
              <w:spacing w:line="276" w:lineRule="auto"/>
              <w:jc w:val="center"/>
              <w:rPr>
                <w:rFonts w:ascii="宋体" w:hAnsi="宋体"/>
                <w:szCs w:val="21"/>
              </w:rPr>
            </w:pPr>
            <w:r>
              <w:rPr>
                <w:rFonts w:hint="eastAsia" w:ascii="宋体" w:hAnsi="宋体"/>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7F3AA92C">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878FD44">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498CBFB">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14D63174">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7833FDBD">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D9A2A40">
            <w:pPr>
              <w:spacing w:line="276" w:lineRule="auto"/>
              <w:ind w:left="-48" w:leftChars="-23" w:right="-65" w:rightChars="-31"/>
              <w:jc w:val="center"/>
              <w:rPr>
                <w:rFonts w:ascii="宋体" w:hAnsi="宋体" w:cs="宋体"/>
                <w:color w:val="0D0D0D"/>
                <w:kern w:val="0"/>
                <w:szCs w:val="21"/>
              </w:rPr>
            </w:pPr>
          </w:p>
        </w:tc>
      </w:tr>
      <w:tr w14:paraId="2A23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25F822A">
            <w:pPr>
              <w:tabs>
                <w:tab w:val="left" w:pos="82"/>
              </w:tabs>
              <w:adjustRightInd w:val="0"/>
              <w:snapToGrid w:val="0"/>
              <w:spacing w:line="276" w:lineRule="auto"/>
              <w:jc w:val="center"/>
              <w:rPr>
                <w:rFonts w:ascii="宋体" w:hAnsi="宋体"/>
                <w:szCs w:val="21"/>
              </w:rPr>
            </w:pPr>
            <w:r>
              <w:rPr>
                <w:rFonts w:hint="eastAsia" w:ascii="宋体" w:hAnsi="宋体"/>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75114F22">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415CF4D">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3BE91DE">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00EEC3C6">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62D93967">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27C0048">
            <w:pPr>
              <w:spacing w:line="276" w:lineRule="auto"/>
              <w:ind w:left="-48" w:leftChars="-23" w:right="-65" w:rightChars="-31"/>
              <w:jc w:val="center"/>
              <w:rPr>
                <w:rFonts w:ascii="宋体" w:hAnsi="宋体" w:cs="宋体"/>
                <w:color w:val="0D0D0D"/>
                <w:kern w:val="0"/>
                <w:szCs w:val="21"/>
              </w:rPr>
            </w:pPr>
          </w:p>
        </w:tc>
      </w:tr>
      <w:tr w14:paraId="724B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3448DFF5">
            <w:pPr>
              <w:tabs>
                <w:tab w:val="left" w:pos="82"/>
              </w:tabs>
              <w:adjustRightInd w:val="0"/>
              <w:snapToGrid w:val="0"/>
              <w:spacing w:line="276" w:lineRule="auto"/>
              <w:jc w:val="center"/>
              <w:rPr>
                <w:rFonts w:ascii="宋体" w:hAnsi="宋体"/>
                <w:szCs w:val="21"/>
              </w:rPr>
            </w:pPr>
            <w:r>
              <w:rPr>
                <w:rFonts w:hint="eastAsia" w:ascii="宋体" w:hAnsi="宋体"/>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6AC481A2">
            <w:pPr>
              <w:spacing w:line="276" w:lineRule="auto"/>
              <w:ind w:left="-48" w:leftChars="-23" w:right="-65" w:rightChars="-31"/>
              <w:jc w:val="left"/>
              <w:rPr>
                <w:rFonts w:ascii="宋体" w:hAnsi="宋体" w:cs="宋体"/>
                <w:color w:val="0D0D0D"/>
                <w:kern w:val="0"/>
                <w:szCs w:val="21"/>
              </w:rPr>
            </w:pPr>
            <w:r>
              <w:rPr>
                <w:rFonts w:hint="eastAsia" w:ascii="宋体" w:hAnsi="宋体"/>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0FAE1692">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4A4961D">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591F9D6B">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2CE6E545">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30F641EA">
            <w:pPr>
              <w:spacing w:line="276" w:lineRule="auto"/>
              <w:ind w:left="-48" w:leftChars="-23" w:right="-65" w:rightChars="-31"/>
              <w:jc w:val="center"/>
              <w:rPr>
                <w:rFonts w:ascii="宋体" w:hAnsi="宋体" w:cs="宋体"/>
                <w:color w:val="0D0D0D"/>
                <w:kern w:val="0"/>
                <w:szCs w:val="21"/>
              </w:rPr>
            </w:pPr>
          </w:p>
        </w:tc>
      </w:tr>
      <w:tr w14:paraId="1D9D1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23514B7">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59689EB3">
            <w:pPr>
              <w:spacing w:line="276" w:lineRule="auto"/>
              <w:ind w:left="-48" w:leftChars="-23" w:right="-65" w:rightChars="-31"/>
              <w:jc w:val="left"/>
              <w:rPr>
                <w:rFonts w:ascii="宋体" w:hAnsi="宋体" w:cs="宋体"/>
                <w:color w:val="0D0D0D"/>
                <w:kern w:val="0"/>
                <w:szCs w:val="21"/>
              </w:rPr>
            </w:pPr>
          </w:p>
        </w:tc>
      </w:tr>
    </w:tbl>
    <w:sdt>
      <w:sdtPr>
        <w:rPr>
          <w:rFonts w:hint="eastAsia" w:ascii="宋体" w:hAnsi="宋体" w:cs="宋体"/>
          <w:szCs w:val="21"/>
        </w:rPr>
        <w:id w:val="-358896388"/>
        <w:placeholder>
          <w:docPart w:val="745E36F9D94240A7BF718239C8B3B097"/>
        </w:placeholder>
      </w:sdtPr>
      <w:sdtEndPr>
        <w:rPr>
          <w:rFonts w:hint="eastAsia" w:ascii="宋体" w:hAnsi="宋体" w:cs="宋体"/>
          <w:szCs w:val="21"/>
        </w:rPr>
      </w:sdtEndPr>
      <w:sdtContent>
        <w:p w14:paraId="2F063385">
          <w:pPr>
            <w:spacing w:line="360" w:lineRule="auto"/>
            <w:ind w:firstLine="420" w:firstLineChars="200"/>
            <w:rPr>
              <w:rFonts w:ascii="宋体" w:hAnsi="宋体" w:cs="宋体"/>
              <w:szCs w:val="21"/>
            </w:rPr>
          </w:pPr>
          <w:r>
            <w:rPr>
              <w:rFonts w:hint="eastAsia" w:ascii="宋体" w:hAnsi="宋体" w:cs="宋体"/>
              <w:szCs w:val="21"/>
            </w:rPr>
            <w:t>货物清单见附件x。（如有）</w:t>
          </w:r>
        </w:p>
      </w:sdtContent>
    </w:sdt>
    <w:p w14:paraId="1BF3365B">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交货时间及地点</w:t>
      </w:r>
    </w:p>
    <w:p w14:paraId="5C790E02">
      <w:pPr>
        <w:tabs>
          <w:tab w:val="left" w:pos="540"/>
        </w:tabs>
        <w:adjustRightInd w:val="0"/>
        <w:snapToGrid w:val="0"/>
        <w:spacing w:line="360" w:lineRule="auto"/>
        <w:ind w:left="14" w:leftChars="7" w:firstLine="420" w:firstLineChars="200"/>
        <w:rPr>
          <w:rFonts w:ascii="宋体" w:hAnsi="宋体" w:cs="宋体"/>
          <w:szCs w:val="21"/>
        </w:rPr>
      </w:pPr>
      <w:r>
        <w:rPr>
          <w:rFonts w:hint="eastAsia" w:ascii="宋体" w:hAnsi="宋体" w:cs="宋体"/>
          <w:szCs w:val="21"/>
        </w:rPr>
        <w:t>2.1交货时间：</w:t>
      </w:r>
      <w:r>
        <w:rPr>
          <w:rFonts w:hint="eastAsia" w:ascii="宋体" w:hAnsi="宋体" w:cs="宋体"/>
          <w:szCs w:val="21"/>
          <w:u w:val="single"/>
        </w:rPr>
        <w:t xml:space="preserve">      </w:t>
      </w:r>
      <w:r>
        <w:rPr>
          <w:rFonts w:hint="eastAsia" w:ascii="宋体" w:hAnsi="宋体" w:cs="宋体"/>
          <w:szCs w:val="21"/>
        </w:rPr>
        <w:t>。</w:t>
      </w:r>
    </w:p>
    <w:p w14:paraId="2B1B5179">
      <w:pPr>
        <w:tabs>
          <w:tab w:val="left" w:pos="540"/>
        </w:tabs>
        <w:adjustRightInd w:val="0"/>
        <w:snapToGrid w:val="0"/>
        <w:spacing w:line="360" w:lineRule="auto"/>
        <w:ind w:left="14" w:leftChars="7" w:firstLine="420" w:firstLineChars="200"/>
        <w:rPr>
          <w:rFonts w:ascii="宋体" w:hAnsi="宋体" w:cs="宋体"/>
          <w:szCs w:val="21"/>
        </w:rPr>
      </w:pPr>
      <w:r>
        <w:rPr>
          <w:rFonts w:hint="eastAsia" w:ascii="宋体" w:hAnsi="宋体" w:cs="宋体"/>
          <w:szCs w:val="21"/>
        </w:rPr>
        <w:t>2.2交货及安装地点：</w:t>
      </w:r>
      <w:r>
        <w:rPr>
          <w:rFonts w:hint="eastAsia" w:ascii="宋体" w:hAnsi="宋体" w:cs="宋体"/>
          <w:szCs w:val="21"/>
          <w:u w:val="single"/>
        </w:rPr>
        <w:t xml:space="preserve">      </w:t>
      </w:r>
      <w:r>
        <w:rPr>
          <w:rFonts w:hint="eastAsia" w:ascii="宋体" w:hAnsi="宋体" w:cs="宋体"/>
          <w:szCs w:val="21"/>
        </w:rPr>
        <w:t>。</w:t>
      </w:r>
    </w:p>
    <w:p w14:paraId="52115444">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报价说明及配置</w:t>
      </w:r>
    </w:p>
    <w:p w14:paraId="7DDA8F37">
      <w:pPr>
        <w:adjustRightInd w:val="0"/>
        <w:snapToGrid w:val="0"/>
        <w:spacing w:line="360" w:lineRule="auto"/>
        <w:ind w:firstLine="420" w:firstLineChars="200"/>
        <w:rPr>
          <w:rFonts w:ascii="宋体" w:hAnsi="宋体" w:cs="宋体"/>
          <w:szCs w:val="21"/>
        </w:rPr>
      </w:pPr>
      <w:r>
        <w:rPr>
          <w:rFonts w:hint="eastAsia" w:ascii="宋体" w:hAnsi="宋体" w:cs="宋体"/>
          <w:szCs w:val="21"/>
        </w:rPr>
        <w:t>3.1合同总价：人民币：</w:t>
      </w:r>
      <w:r>
        <w:rPr>
          <w:rFonts w:ascii="宋体" w:hAnsi="宋体" w:cs="Calibri"/>
          <w:szCs w:val="21"/>
        </w:rPr>
        <w:t>¥</w:t>
      </w:r>
      <w:r>
        <w:rPr>
          <w:rFonts w:hint="eastAsia" w:ascii="宋体" w:hAnsi="宋体" w:cs="宋体"/>
          <w:szCs w:val="21"/>
          <w:u w:val="single"/>
        </w:rPr>
        <w:t xml:space="preserve">       </w:t>
      </w:r>
      <w:r>
        <w:rPr>
          <w:rFonts w:hint="eastAsia" w:ascii="宋体" w:hAnsi="宋体" w:cs="宋体"/>
          <w:szCs w:val="21"/>
        </w:rPr>
        <w:t>元整（大写：</w:t>
      </w:r>
      <w:r>
        <w:rPr>
          <w:rFonts w:hint="eastAsia" w:ascii="宋体" w:hAnsi="宋体" w:cs="宋体"/>
          <w:szCs w:val="21"/>
          <w:u w:val="single"/>
        </w:rPr>
        <w:t xml:space="preserve">         </w:t>
      </w:r>
      <w:r>
        <w:rPr>
          <w:rFonts w:hint="eastAsia" w:ascii="宋体" w:hAnsi="宋体" w:cs="宋体"/>
          <w:szCs w:val="21"/>
        </w:rPr>
        <w:t>整）。</w:t>
      </w:r>
    </w:p>
    <w:p w14:paraId="44B51B01">
      <w:pPr>
        <w:adjustRightInd w:val="0"/>
        <w:snapToGrid w:val="0"/>
        <w:spacing w:line="360" w:lineRule="auto"/>
        <w:ind w:firstLine="420" w:firstLineChars="200"/>
        <w:rPr>
          <w:rFonts w:ascii="宋体" w:hAnsi="宋体" w:cs="宋体"/>
          <w:szCs w:val="21"/>
        </w:rPr>
      </w:pPr>
      <w:r>
        <w:rPr>
          <w:rFonts w:hint="eastAsia" w:ascii="宋体" w:hAnsi="宋体" w:cs="宋体"/>
          <w:szCs w:val="21"/>
        </w:rPr>
        <w:t>3.2合同总价为竣工验收交付价，包含货物及配件的购置和安装、调试、运输、质保期售后服务。</w:t>
      </w:r>
    </w:p>
    <w:p w14:paraId="72D9D019">
      <w:pPr>
        <w:adjustRightInd w:val="0"/>
        <w:snapToGrid w:val="0"/>
        <w:spacing w:line="360" w:lineRule="auto"/>
        <w:ind w:firstLine="420" w:firstLineChars="200"/>
        <w:rPr>
          <w:rFonts w:ascii="宋体" w:hAnsi="宋体" w:cs="宋体"/>
          <w:szCs w:val="21"/>
        </w:rPr>
      </w:pPr>
      <w:r>
        <w:rPr>
          <w:rFonts w:hint="eastAsia" w:ascii="宋体" w:hAnsi="宋体" w:cs="宋体"/>
          <w:szCs w:val="21"/>
        </w:rPr>
        <w:t>3.3乙方须提供含税发票，提供产品质量检验报告。</w:t>
      </w:r>
    </w:p>
    <w:p w14:paraId="29114E03">
      <w:pPr>
        <w:adjustRightInd w:val="0"/>
        <w:snapToGrid w:val="0"/>
        <w:spacing w:line="360" w:lineRule="auto"/>
        <w:ind w:firstLine="420" w:firstLineChars="200"/>
        <w:rPr>
          <w:rFonts w:ascii="宋体" w:hAnsi="宋体" w:cs="宋体"/>
          <w:szCs w:val="21"/>
        </w:rPr>
      </w:pPr>
      <w:r>
        <w:rPr>
          <w:rFonts w:hint="eastAsia" w:ascii="宋体" w:hAnsi="宋体" w:cs="宋体"/>
          <w:szCs w:val="21"/>
        </w:rPr>
        <w:t>3.4配置：乙方遵照投标文件书及投标文件补充说明进行配置，对各项产品的深化设计要求经甲方认可后执行实施。配置清单如下</w:t>
      </w:r>
    </w:p>
    <w:p w14:paraId="17EA978B">
      <w:pPr>
        <w:adjustRightInd w:val="0"/>
        <w:snapToGrid w:val="0"/>
        <w:spacing w:line="360" w:lineRule="auto"/>
        <w:ind w:firstLine="420" w:firstLineChars="200"/>
        <w:rPr>
          <w:rFonts w:ascii="宋体" w:hAnsi="宋体" w:cs="宋体"/>
          <w:b/>
          <w:bCs/>
          <w:szCs w:val="21"/>
        </w:rPr>
      </w:pPr>
      <w:r>
        <w:rPr>
          <w:rFonts w:hint="eastAsia" w:ascii="宋体" w:hAnsi="宋体" w:cs="宋体"/>
          <w:b/>
          <w:bCs/>
          <w:szCs w:val="21"/>
        </w:rPr>
        <w:t>注：本项目为交钥匙工程，以上报价为包干价，包含***设备、辅材、运输、安装、质保、售后等所有费用。</w:t>
      </w:r>
    </w:p>
    <w:p w14:paraId="1DC469CB">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付款方式</w:t>
      </w:r>
    </w:p>
    <w:p w14:paraId="4445A11E">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（1）若学校财务部门无资金支付要求，则按下列原则支付：</w:t>
      </w:r>
    </w:p>
    <w:p w14:paraId="3E42E6BF">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合同签订后，招标人向中标人预付合同金额30%款项，设备发货前，招标人向中标人支付合同金额20%款项，设备安装、调试并经招标人验收合格后，招标人向中标人支付合同金额 50%款项。</w:t>
      </w:r>
    </w:p>
    <w:p w14:paraId="131B505D">
      <w:pPr>
        <w:adjustRightInd w:val="0"/>
        <w:snapToGri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（2）若学校财务部门有资金支付要求的，按相关要求执行。</w:t>
      </w:r>
    </w:p>
    <w:p w14:paraId="19E6BB6E">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安装</w:t>
      </w:r>
    </w:p>
    <w:p w14:paraId="43B134EA">
      <w:pPr>
        <w:adjustRightInd w:val="0"/>
        <w:snapToGrid w:val="0"/>
        <w:spacing w:line="360" w:lineRule="auto"/>
        <w:ind w:firstLine="420" w:firstLineChars="200"/>
        <w:rPr>
          <w:rFonts w:ascii="宋体" w:hAnsi="宋体" w:cs="宋体"/>
          <w:szCs w:val="21"/>
        </w:rPr>
      </w:pPr>
      <w:r>
        <w:rPr>
          <w:rFonts w:hint="eastAsia" w:ascii="宋体" w:hAnsi="宋体" w:cs="宋体"/>
          <w:szCs w:val="21"/>
        </w:rPr>
        <w:t>5.1乙方按照投标文件及补充说明组织本项目实施，服从甲方的安排协调，保证项目安装质量及施工进度，爱护学校公物，做好员工的健康检测，确保只有健康人员进入学校，确保与其它项目的整体联调。项目须在</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日前安装调试完成，乙方应做好员工的安全文明教育，采取必要的安全防范措施，对员工的人身安全负责。</w:t>
      </w:r>
    </w:p>
    <w:p w14:paraId="0047D991">
      <w:pPr>
        <w:adjustRightInd w:val="0"/>
        <w:snapToGrid w:val="0"/>
        <w:spacing w:line="360" w:lineRule="auto"/>
        <w:ind w:firstLine="420" w:firstLineChars="200"/>
        <w:rPr>
          <w:rFonts w:ascii="宋体" w:hAnsi="宋体" w:cs="宋体"/>
          <w:szCs w:val="21"/>
        </w:rPr>
      </w:pPr>
      <w:r>
        <w:rPr>
          <w:rFonts w:hint="eastAsia" w:ascii="宋体" w:hAnsi="宋体" w:cs="宋体"/>
          <w:szCs w:val="21"/>
        </w:rPr>
        <w:t>5.2甲方为交通车辆及人员通行提供方便。</w:t>
      </w:r>
    </w:p>
    <w:p w14:paraId="5F723A02">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履约验收</w:t>
      </w:r>
    </w:p>
    <w:p w14:paraId="3C28509F">
      <w:pPr>
        <w:adjustRightInd w:val="0"/>
        <w:snapToGrid w:val="0"/>
        <w:spacing w:line="360" w:lineRule="auto"/>
        <w:ind w:firstLine="420" w:firstLineChars="200"/>
        <w:rPr>
          <w:rFonts w:ascii="宋体" w:hAnsi="宋体" w:cs="宋体"/>
          <w:szCs w:val="21"/>
        </w:rPr>
      </w:pPr>
      <w:r>
        <w:rPr>
          <w:rFonts w:hint="eastAsia" w:ascii="宋体" w:hAnsi="宋体" w:cs="宋体"/>
          <w:szCs w:val="21"/>
        </w:rPr>
        <w:t>6.1合同货物运达交货地点后，甲方将对合同货物的包装外观、装运件数进行检验。</w:t>
      </w:r>
    </w:p>
    <w:p w14:paraId="71A9A938">
      <w:pPr>
        <w:adjustRightInd w:val="0"/>
        <w:snapToGrid w:val="0"/>
        <w:spacing w:line="360" w:lineRule="auto"/>
        <w:ind w:firstLine="420" w:firstLineChars="200"/>
        <w:rPr>
          <w:rFonts w:ascii="宋体" w:hAnsi="宋体" w:cs="宋体"/>
          <w:szCs w:val="21"/>
        </w:rPr>
      </w:pPr>
      <w:r>
        <w:rPr>
          <w:rFonts w:hint="eastAsia" w:ascii="宋体" w:hAnsi="宋体" w:cs="宋体"/>
          <w:szCs w:val="21"/>
        </w:rPr>
        <w:t>6.2合同货物在安装前，甲方会同乙方按照投标文件及补充说明进行开箱检验。</w:t>
      </w:r>
    </w:p>
    <w:p w14:paraId="14CDB1CC">
      <w:pPr>
        <w:adjustRightInd w:val="0"/>
        <w:snapToGrid w:val="0"/>
        <w:spacing w:line="360" w:lineRule="auto"/>
        <w:ind w:firstLine="420" w:firstLineChars="200"/>
        <w:rPr>
          <w:rFonts w:ascii="宋体" w:hAnsi="宋体" w:cs="宋体"/>
          <w:szCs w:val="21"/>
        </w:rPr>
      </w:pPr>
      <w:r>
        <w:rPr>
          <w:rFonts w:hint="eastAsia" w:ascii="宋体" w:hAnsi="宋体" w:cs="宋体"/>
          <w:szCs w:val="21"/>
        </w:rPr>
        <w:t>6.3乙方货物安装完成后，甲方依据招标文件的技术要求和指标组织完成项目验收。</w:t>
      </w:r>
    </w:p>
    <w:p w14:paraId="322A9AAE">
      <w:pPr>
        <w:adjustRightInd w:val="0"/>
        <w:snapToGrid w:val="0"/>
        <w:spacing w:line="360" w:lineRule="auto"/>
        <w:ind w:firstLine="420" w:firstLineChars="200"/>
        <w:rPr>
          <w:rFonts w:ascii="宋体" w:hAnsi="宋体" w:cs="宋体"/>
          <w:szCs w:val="21"/>
        </w:rPr>
      </w:pPr>
      <w:r>
        <w:rPr>
          <w:rFonts w:hint="eastAsia" w:ascii="宋体" w:hAnsi="宋体" w:cs="宋体"/>
          <w:szCs w:val="21"/>
        </w:rPr>
        <w:t>6.4验收方式：甲方遵照投标文件设备清单及补充说明进行验收并签字。</w:t>
      </w:r>
    </w:p>
    <w:p w14:paraId="277CC833">
      <w:pPr>
        <w:pStyle w:val="25"/>
        <w:ind w:left="0" w:firstLine="420" w:firstLineChars="200"/>
        <w:rPr>
          <w:rFonts w:ascii="宋体" w:hAnsi="宋体"/>
          <w:szCs w:val="21"/>
        </w:rPr>
      </w:pPr>
      <w:r>
        <w:rPr>
          <w:rFonts w:hint="eastAsia" w:ascii="宋体" w:hAnsi="宋体" w:cs="宋体"/>
          <w:szCs w:val="21"/>
        </w:rPr>
        <w:t>6</w:t>
      </w:r>
      <w:r>
        <w:rPr>
          <w:rFonts w:ascii="宋体" w:hAnsi="宋体" w:cs="宋体"/>
          <w:szCs w:val="21"/>
        </w:rPr>
        <w:t>.5</w:t>
      </w:r>
      <w:r>
        <w:rPr>
          <w:rFonts w:hint="eastAsia" w:ascii="宋体" w:hAnsi="宋体" w:cs="宋体"/>
          <w:szCs w:val="21"/>
        </w:rPr>
        <w:t>验收其他要求：</w:t>
      </w:r>
      <w:r>
        <w:rPr>
          <w:rFonts w:hint="eastAsia" w:ascii="宋体" w:hAnsi="宋体" w:cs="宋体"/>
          <w:szCs w:val="21"/>
          <w:u w:val="single"/>
        </w:rPr>
        <w:t xml:space="preserve"> </w:t>
      </w:r>
      <w:r>
        <w:rPr>
          <w:rFonts w:ascii="宋体" w:hAnsi="宋体" w:cs="宋体"/>
          <w:szCs w:val="21"/>
          <w:u w:val="single"/>
        </w:rPr>
        <w:t xml:space="preserve">                                      </w:t>
      </w:r>
    </w:p>
    <w:p w14:paraId="79190ED6">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质量保证及售后服务、培训</w:t>
      </w:r>
    </w:p>
    <w:p w14:paraId="515B1E6E">
      <w:pPr>
        <w:adjustRightInd w:val="0"/>
        <w:snapToGrid w:val="0"/>
        <w:spacing w:line="360" w:lineRule="auto"/>
        <w:ind w:firstLine="420" w:firstLineChars="200"/>
        <w:rPr>
          <w:rFonts w:ascii="宋体" w:hAnsi="宋体" w:cs="宋体"/>
          <w:szCs w:val="21"/>
        </w:rPr>
      </w:pPr>
      <w:r>
        <w:rPr>
          <w:rFonts w:hint="eastAsia" w:ascii="宋体" w:hAnsi="宋体" w:cs="宋体"/>
          <w:szCs w:val="21"/>
        </w:rPr>
        <w:t>7.1乙方提供的合同货物应保证质量，乙方遵照合同、投标文件及补充说明的质量保证与售后服务承诺执行。项目质量保证期：自验收合格之日起</w:t>
      </w:r>
      <w:r>
        <w:rPr>
          <w:rFonts w:hint="eastAsia" w:ascii="宋体" w:hAnsi="宋体" w:cs="宋体"/>
          <w:szCs w:val="21"/>
          <w:u w:val="single"/>
        </w:rPr>
        <w:t xml:space="preserve">     </w:t>
      </w:r>
      <w:r>
        <w:rPr>
          <w:rFonts w:hint="eastAsia" w:ascii="宋体" w:hAnsi="宋体" w:cs="宋体"/>
          <w:szCs w:val="21"/>
        </w:rPr>
        <w:t>年（人为损坏除外）。质保期内，在非人为因素情况下，一切维修换件保养费用和备品备件均由乙方提供。</w:t>
      </w:r>
    </w:p>
    <w:p w14:paraId="2FAB3103">
      <w:pPr>
        <w:adjustRightInd w:val="0"/>
        <w:snapToGrid w:val="0"/>
        <w:spacing w:line="360" w:lineRule="auto"/>
        <w:ind w:firstLine="420" w:firstLineChars="200"/>
        <w:rPr>
          <w:rFonts w:ascii="宋体" w:hAnsi="宋体" w:cs="宋体"/>
          <w:szCs w:val="21"/>
        </w:rPr>
      </w:pPr>
      <w:r>
        <w:rPr>
          <w:rFonts w:hint="eastAsia" w:ascii="宋体" w:hAnsi="宋体" w:cs="宋体"/>
          <w:szCs w:val="21"/>
        </w:rPr>
        <w:t xml:space="preserve">7.2质保期满后，乙方提供终身技术支持、维修服务，按照成本收取售后费用。 </w:t>
      </w:r>
    </w:p>
    <w:p w14:paraId="55840BC4">
      <w:pPr>
        <w:adjustRightInd w:val="0"/>
        <w:snapToGrid w:val="0"/>
        <w:spacing w:line="360" w:lineRule="auto"/>
        <w:ind w:firstLine="420" w:firstLineChars="200"/>
        <w:rPr>
          <w:rFonts w:ascii="宋体" w:hAnsi="宋体" w:cs="宋体"/>
          <w:szCs w:val="21"/>
        </w:rPr>
      </w:pPr>
      <w:r>
        <w:rPr>
          <w:rFonts w:hint="eastAsia" w:ascii="宋体" w:hAnsi="宋体" w:cs="宋体"/>
          <w:szCs w:val="21"/>
        </w:rPr>
        <w:t>7.3乙方售后服务电话，负责人员：</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027-*******</w:t>
      </w:r>
      <w:r>
        <w:rPr>
          <w:rFonts w:hint="eastAsia" w:ascii="宋体" w:hAnsi="宋体" w:cs="宋体"/>
          <w:szCs w:val="21"/>
        </w:rPr>
        <w:t>，手机：</w:t>
      </w:r>
      <w:r>
        <w:rPr>
          <w:rFonts w:hint="eastAsia" w:ascii="宋体" w:hAnsi="宋体" w:cs="宋体"/>
          <w:szCs w:val="21"/>
          <w:u w:val="single"/>
        </w:rPr>
        <w:t xml:space="preserve">    </w:t>
      </w:r>
    </w:p>
    <w:p w14:paraId="45C44993">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违约责任</w:t>
      </w:r>
    </w:p>
    <w:p w14:paraId="16477169">
      <w:pPr>
        <w:adjustRightInd w:val="0"/>
        <w:snapToGrid w:val="0"/>
        <w:spacing w:line="360" w:lineRule="auto"/>
        <w:ind w:firstLine="420" w:firstLineChars="200"/>
        <w:rPr>
          <w:rFonts w:ascii="宋体" w:hAnsi="宋体" w:cs="宋体"/>
          <w:szCs w:val="21"/>
        </w:rPr>
      </w:pPr>
      <w:r>
        <w:rPr>
          <w:rFonts w:hint="eastAsia" w:ascii="宋体" w:hAnsi="宋体" w:cs="宋体"/>
          <w:szCs w:val="21"/>
        </w:rPr>
        <w:t>8.1乙方不能交货的或提供假冒伪劣产品的，应退还已预付的合同总额的</w:t>
      </w:r>
      <w:r>
        <w:rPr>
          <w:rFonts w:hint="eastAsia" w:ascii="宋体" w:hAnsi="宋体" w:cs="宋体"/>
          <w:szCs w:val="21"/>
          <w:u w:val="single"/>
        </w:rPr>
        <w:t xml:space="preserve">  </w:t>
      </w:r>
      <w:r>
        <w:rPr>
          <w:rFonts w:hint="eastAsia" w:ascii="宋体" w:hAnsi="宋体" w:cs="宋体"/>
          <w:szCs w:val="21"/>
        </w:rPr>
        <w:t>%，并向甲方偿付合同金额的</w:t>
      </w:r>
      <w:r>
        <w:rPr>
          <w:rFonts w:hint="eastAsia" w:ascii="宋体" w:hAnsi="宋体" w:cs="宋体"/>
          <w:szCs w:val="21"/>
          <w:u w:val="single"/>
        </w:rPr>
        <w:t xml:space="preserve">  </w:t>
      </w:r>
      <w:r>
        <w:rPr>
          <w:rFonts w:hint="eastAsia" w:ascii="宋体" w:hAnsi="宋体" w:cs="宋体"/>
          <w:szCs w:val="21"/>
        </w:rPr>
        <w:t>%作为赔偿金。</w:t>
      </w:r>
    </w:p>
    <w:p w14:paraId="4DD676ED">
      <w:pPr>
        <w:adjustRightInd w:val="0"/>
        <w:snapToGrid w:val="0"/>
        <w:spacing w:line="360" w:lineRule="auto"/>
        <w:ind w:firstLine="420" w:firstLineChars="200"/>
        <w:rPr>
          <w:rFonts w:ascii="宋体" w:hAnsi="宋体" w:cs="宋体"/>
          <w:szCs w:val="21"/>
        </w:rPr>
      </w:pPr>
      <w:r>
        <w:rPr>
          <w:rFonts w:hint="eastAsia" w:ascii="宋体" w:hAnsi="宋体" w:cs="宋体"/>
          <w:szCs w:val="21"/>
        </w:rPr>
        <w:t>8.2乙方逾期交货的，每逾期一日向甲方支付合同金额的</w:t>
      </w:r>
      <w:r>
        <w:rPr>
          <w:rFonts w:hint="eastAsia" w:ascii="宋体" w:hAnsi="宋体" w:cs="宋体"/>
          <w:szCs w:val="21"/>
          <w:u w:val="single"/>
        </w:rPr>
        <w:t xml:space="preserve">        </w:t>
      </w:r>
      <w:r>
        <w:rPr>
          <w:rFonts w:hint="eastAsia" w:ascii="宋体" w:hAnsi="宋体" w:cs="宋体"/>
          <w:szCs w:val="21"/>
        </w:rPr>
        <w:t>作为违约金。</w:t>
      </w:r>
    </w:p>
    <w:p w14:paraId="379D3B43">
      <w:pPr>
        <w:adjustRightInd w:val="0"/>
        <w:snapToGrid w:val="0"/>
        <w:spacing w:line="360" w:lineRule="auto"/>
        <w:ind w:firstLine="420" w:firstLineChars="200"/>
        <w:rPr>
          <w:rFonts w:ascii="宋体" w:hAnsi="宋体" w:cs="宋体"/>
          <w:szCs w:val="21"/>
        </w:rPr>
      </w:pPr>
      <w:r>
        <w:rPr>
          <w:rFonts w:hint="eastAsia" w:ascii="宋体" w:hAnsi="宋体" w:cs="宋体"/>
          <w:szCs w:val="21"/>
        </w:rPr>
        <w:t>8.3任何一方因不可抗力不能履行合同的，免除承担相应责任。</w:t>
      </w:r>
    </w:p>
    <w:p w14:paraId="25F75906">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特别约定</w:t>
      </w:r>
    </w:p>
    <w:p w14:paraId="1D1F134C">
      <w:pPr>
        <w:adjustRightInd w:val="0"/>
        <w:snapToGrid w:val="0"/>
        <w:spacing w:line="360" w:lineRule="auto"/>
        <w:ind w:firstLine="420" w:firstLineChars="200"/>
        <w:rPr>
          <w:rFonts w:ascii="宋体" w:hAnsi="宋体" w:cs="宋体"/>
          <w:szCs w:val="21"/>
        </w:rPr>
      </w:pPr>
      <w:r>
        <w:rPr>
          <w:rFonts w:hint="eastAsia" w:ascii="宋体" w:hAnsi="宋体" w:cs="宋体"/>
          <w:szCs w:val="21"/>
        </w:rPr>
        <w:t>9.1签订合同前，乙方须根据甲方要求出具《中标厂商承诺书》，对工期、产品质量、产品工艺等方面做出承诺。</w:t>
      </w:r>
    </w:p>
    <w:p w14:paraId="4C341576">
      <w:pPr>
        <w:adjustRightInd w:val="0"/>
        <w:snapToGrid w:val="0"/>
        <w:spacing w:line="360" w:lineRule="auto"/>
        <w:ind w:firstLine="420" w:firstLineChars="200"/>
        <w:rPr>
          <w:rFonts w:ascii="宋体" w:hAnsi="宋体" w:cs="宋体"/>
          <w:szCs w:val="21"/>
        </w:rPr>
      </w:pPr>
      <w:r>
        <w:rPr>
          <w:rFonts w:hint="eastAsia" w:ascii="宋体" w:hAnsi="宋体" w:cs="宋体"/>
          <w:szCs w:val="21"/>
        </w:rPr>
        <w:t>9.2若乙方向甲方提供的产品为定制型产品，本合同生效后，除不可抗力外，双方不得以任何理由单方解除合同。</w:t>
      </w:r>
    </w:p>
    <w:p w14:paraId="05283B51">
      <w:pPr>
        <w:adjustRightInd w:val="0"/>
        <w:snapToGrid w:val="0"/>
        <w:spacing w:line="360" w:lineRule="auto"/>
        <w:ind w:firstLine="420" w:firstLineChars="200"/>
        <w:rPr>
          <w:rFonts w:ascii="宋体" w:hAnsi="宋体" w:cs="宋体"/>
          <w:szCs w:val="21"/>
        </w:rPr>
      </w:pPr>
      <w:r>
        <w:rPr>
          <w:rFonts w:hint="eastAsia" w:ascii="宋体" w:hAnsi="宋体" w:cs="宋体"/>
          <w:szCs w:val="21"/>
        </w:rPr>
        <w:t>9.3若乙方因提供虚假材料谋取中标、成交，或因招标质疑、投诉引起的中标厂家变更，则此合同无效，由此引起的双方损失由乙方全部承担，甲方不负任何责任。</w:t>
      </w:r>
    </w:p>
    <w:p w14:paraId="73785808">
      <w:pPr>
        <w:adjustRightInd w:val="0"/>
        <w:snapToGrid w:val="0"/>
        <w:spacing w:line="360" w:lineRule="auto"/>
        <w:ind w:firstLine="420" w:firstLineChars="200"/>
        <w:rPr>
          <w:rFonts w:ascii="宋体" w:hAnsi="宋体" w:cs="宋体"/>
          <w:szCs w:val="21"/>
        </w:rPr>
      </w:pPr>
      <w:r>
        <w:rPr>
          <w:rFonts w:hint="eastAsia" w:ascii="宋体" w:hAnsi="宋体" w:cs="宋体"/>
          <w:szCs w:val="21"/>
        </w:rPr>
        <w:t>9.4乙方对向甲方供应的产品需拥有自主知识产权(包括但不限于专利权、商标权或商业秘密等)或获得了权利人的许可，保证向甲方提供的产品不侵犯任何人的知识产权，当甲方因乙方供应的产品侵权遭受他人索赔或行政处罚等维权措施的，乙方应全力组织协调应对，并赔偿甲方的损失 (包括不限于因停产停售造成的损失、律师费、差旅费、赔偿金、罚款等)。</w:t>
      </w:r>
    </w:p>
    <w:p w14:paraId="6AD6214A">
      <w:pPr>
        <w:adjustRightInd w:val="0"/>
        <w:snapToGrid w:val="0"/>
        <w:spacing w:line="360" w:lineRule="auto"/>
        <w:ind w:firstLine="420" w:firstLineChars="200"/>
        <w:rPr>
          <w:rFonts w:ascii="宋体" w:hAnsi="宋体" w:cs="宋体"/>
          <w:szCs w:val="21"/>
        </w:rPr>
      </w:pPr>
      <w:r>
        <w:rPr>
          <w:rFonts w:hint="eastAsia" w:ascii="宋体" w:hAnsi="宋体" w:cs="宋体"/>
          <w:szCs w:val="21"/>
        </w:rPr>
        <w:t>甲方拥有本合同标的软件或其它产品的永久使用权。在未经授权的情况下，乙方销售给甲方的软件等产品仅限于甲方自用（包括甲方的各级分支机构及参控股公司），否则乙方将追究甲方法律责任及违约责任。</w:t>
      </w:r>
    </w:p>
    <w:p w14:paraId="33C813C9">
      <w:pPr>
        <w:adjustRightInd w:val="0"/>
        <w:snapToGrid w:val="0"/>
        <w:spacing w:line="360" w:lineRule="auto"/>
        <w:ind w:firstLine="420" w:firstLineChars="200"/>
        <w:rPr>
          <w:rFonts w:ascii="宋体" w:hAnsi="宋体" w:cs="宋体"/>
          <w:szCs w:val="21"/>
        </w:rPr>
      </w:pPr>
      <w:r>
        <w:rPr>
          <w:rFonts w:hint="eastAsia" w:ascii="宋体" w:hAnsi="宋体" w:cs="宋体"/>
          <w:szCs w:val="21"/>
        </w:rPr>
        <w:t>乙方承诺乙方拥有合同标的软件或其它产品的全部知识产权，若乙方向甲方出售的产品存在知识产权纠纷，甲方不承担任何连带责任。</w:t>
      </w:r>
    </w:p>
    <w:p w14:paraId="1DABE242">
      <w:pPr>
        <w:adjustRightInd w:val="0"/>
        <w:snapToGrid w:val="0"/>
        <w:spacing w:line="360" w:lineRule="auto"/>
        <w:ind w:firstLine="420" w:firstLineChars="200"/>
        <w:rPr>
          <w:rFonts w:ascii="宋体" w:hAnsi="宋体" w:cs="宋体"/>
          <w:szCs w:val="21"/>
        </w:rPr>
      </w:pPr>
      <w:r>
        <w:rPr>
          <w:rFonts w:hint="eastAsia" w:ascii="宋体" w:hAnsi="宋体" w:cs="宋体"/>
          <w:szCs w:val="21"/>
        </w:rPr>
        <w:t>乙方保证本合同项下软件等产品或其授予甲方的权利不会侵犯任何第三人的版权、专利权或商标权等知识产权或其他权利，不违反任何第三方的信息专有权，也没有其他针对乙方拥有本产品权利的未决诉讼。甲方行使乙方所授予的权利不会侵犯任何第三人的合法权利。</w:t>
      </w:r>
    </w:p>
    <w:p w14:paraId="6613C874">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争议解决</w:t>
      </w:r>
    </w:p>
    <w:p w14:paraId="1FFDF91D">
      <w:pPr>
        <w:adjustRightInd w:val="0"/>
        <w:snapToGrid w:val="0"/>
        <w:spacing w:line="360" w:lineRule="auto"/>
        <w:ind w:firstLine="420" w:firstLineChars="200"/>
        <w:rPr>
          <w:rFonts w:ascii="宋体" w:hAnsi="宋体" w:cs="宋体"/>
          <w:szCs w:val="21"/>
        </w:rPr>
      </w:pPr>
      <w:r>
        <w:rPr>
          <w:rFonts w:hint="eastAsia" w:ascii="宋体" w:hAnsi="宋体" w:cs="宋体"/>
          <w:szCs w:val="21"/>
        </w:rPr>
        <w:t>凡因本合同引起或与本合同有关的任何争议，由双方友好协商解决。协商不成，可向合同签订所在地（武汉理工大学马房山校区西院）人民法院提起诉讼。</w:t>
      </w:r>
    </w:p>
    <w:p w14:paraId="6D4A8162">
      <w:pPr>
        <w:widowControl/>
        <w:numPr>
          <w:ilvl w:val="0"/>
          <w:numId w:val="57"/>
        </w:numPr>
        <w:adjustRightInd w:val="0"/>
        <w:snapToGrid w:val="0"/>
        <w:spacing w:line="360" w:lineRule="auto"/>
        <w:jc w:val="left"/>
        <w:rPr>
          <w:rFonts w:ascii="宋体" w:hAnsi="宋体" w:cs="宋体"/>
          <w:b/>
          <w:bCs/>
          <w:kern w:val="0"/>
          <w:szCs w:val="21"/>
        </w:rPr>
      </w:pPr>
      <w:r>
        <w:rPr>
          <w:rFonts w:hint="eastAsia" w:ascii="宋体" w:hAnsi="宋体" w:cs="宋体"/>
          <w:b/>
          <w:bCs/>
          <w:kern w:val="0"/>
          <w:szCs w:val="21"/>
        </w:rPr>
        <w:t>其他</w:t>
      </w:r>
    </w:p>
    <w:p w14:paraId="5E52811D">
      <w:pPr>
        <w:adjustRightInd w:val="0"/>
        <w:snapToGrid w:val="0"/>
        <w:spacing w:line="360" w:lineRule="auto"/>
        <w:ind w:firstLine="420" w:firstLineChars="200"/>
        <w:rPr>
          <w:rFonts w:ascii="宋体" w:hAnsi="宋体" w:cs="宋体"/>
          <w:szCs w:val="21"/>
        </w:rPr>
      </w:pPr>
      <w:r>
        <w:rPr>
          <w:rFonts w:hint="eastAsia" w:ascii="宋体" w:hAnsi="宋体" w:cs="宋体"/>
          <w:szCs w:val="21"/>
        </w:rPr>
        <w:t>本合同含本合同附表经甲乙双方签字盖章后生效。合同文本一式六份，甲方五份，乙方一份。</w:t>
      </w:r>
    </w:p>
    <w:p w14:paraId="1E3020C3">
      <w:pPr>
        <w:adjustRightInd w:val="0"/>
        <w:snapToGrid w:val="0"/>
        <w:spacing w:line="360" w:lineRule="auto"/>
        <w:ind w:firstLine="420" w:firstLineChars="200"/>
        <w:rPr>
          <w:rFonts w:ascii="宋体" w:hAnsi="宋体" w:cs="宋体"/>
          <w:szCs w:val="21"/>
        </w:rPr>
      </w:pPr>
      <w:r>
        <w:rPr>
          <w:rFonts w:hint="eastAsia" w:ascii="宋体" w:hAnsi="宋体" w:cs="宋体"/>
          <w:szCs w:val="21"/>
        </w:rPr>
        <w:t>附件：产品详细清单及技术参数，产品检验检测报告，项目交货、安装、调试和验收方案，安全文明施工承诺书，产品售后服务方案（包括但不限于质保期年限、质保期内外服务细则、响应时间、售后服务联系人及联系方式、制造商供货及售后服务承诺函）</w:t>
      </w:r>
    </w:p>
    <w:p w14:paraId="3765898B">
      <w:pPr>
        <w:adjustRightInd w:val="0"/>
        <w:snapToGrid w:val="0"/>
        <w:spacing w:line="360" w:lineRule="auto"/>
        <w:ind w:firstLine="420" w:firstLineChars="200"/>
        <w:rPr>
          <w:rFonts w:ascii="宋体" w:hAnsi="宋体" w:cs="宋体"/>
          <w:b/>
          <w:szCs w:val="21"/>
        </w:rPr>
      </w:pPr>
      <w:r>
        <w:rPr>
          <w:rFonts w:hint="eastAsia" w:ascii="宋体" w:hAnsi="宋体" w:cs="宋体"/>
          <w:b/>
          <w:szCs w:val="21"/>
        </w:rPr>
        <w:t>十二、 补充条款</w:t>
      </w:r>
    </w:p>
    <w:p w14:paraId="4D5A75E2">
      <w:pPr>
        <w:adjustRightInd w:val="0"/>
        <w:snapToGrid w:val="0"/>
        <w:spacing w:line="360" w:lineRule="auto"/>
        <w:ind w:firstLine="420" w:firstLineChars="200"/>
        <w:rPr>
          <w:rFonts w:ascii="宋体" w:hAnsi="宋体" w:cs="宋体"/>
          <w:szCs w:val="21"/>
        </w:rPr>
      </w:pPr>
      <w:r>
        <w:rPr>
          <w:rFonts w:hint="eastAsia" w:ascii="宋体" w:hAnsi="宋体" w:cs="宋体"/>
          <w:szCs w:val="21"/>
        </w:rPr>
        <w:t>可根据实际需求合法合规补充条款。</w:t>
      </w:r>
    </w:p>
    <w:p w14:paraId="22693785">
      <w:pPr>
        <w:adjustRightInd w:val="0"/>
        <w:snapToGrid w:val="0"/>
        <w:spacing w:line="360" w:lineRule="auto"/>
        <w:ind w:firstLine="420" w:firstLineChars="200"/>
        <w:rPr>
          <w:rFonts w:ascii="宋体" w:hAnsi="宋体" w:cs="宋体"/>
          <w:szCs w:val="21"/>
        </w:rPr>
      </w:pPr>
      <w:r>
        <w:rPr>
          <w:rFonts w:hint="eastAsia" w:ascii="宋体" w:hAnsi="宋体" w:cs="宋体"/>
          <w:szCs w:val="21"/>
        </w:rPr>
        <w:t>所有合同条款不得对招标文件、投标文件的内容进行更改。</w:t>
      </w:r>
    </w:p>
    <w:p w14:paraId="3983A9AE">
      <w:pPr>
        <w:adjustRightInd w:val="0"/>
        <w:snapToGrid w:val="0"/>
        <w:spacing w:line="360" w:lineRule="auto"/>
        <w:ind w:firstLine="420" w:firstLineChars="200"/>
        <w:rPr>
          <w:rFonts w:ascii="宋体" w:hAnsi="宋体" w:cs="宋体"/>
          <w:szCs w:val="21"/>
        </w:rPr>
      </w:pPr>
    </w:p>
    <w:p w14:paraId="0B11532D">
      <w:pPr>
        <w:pStyle w:val="50"/>
        <w:tabs>
          <w:tab w:val="left" w:pos="4140"/>
        </w:tabs>
        <w:snapToGrid w:val="0"/>
        <w:spacing w:line="360" w:lineRule="auto"/>
        <w:rPr>
          <w:rFonts w:ascii="宋体" w:hAnsi="宋体" w:eastAsia="宋体" w:cs="宋体"/>
          <w:b/>
          <w:kern w:val="2"/>
          <w:sz w:val="21"/>
          <w:szCs w:val="21"/>
        </w:rPr>
      </w:pPr>
      <w:r>
        <w:rPr>
          <w:rFonts w:hint="eastAsia" w:ascii="宋体" w:hAnsi="宋体" w:eastAsia="宋体" w:cs="宋体"/>
          <w:b/>
          <w:bCs/>
          <w:kern w:val="2"/>
          <w:sz w:val="21"/>
          <w:szCs w:val="21"/>
        </w:rPr>
        <w:t>甲方</w:t>
      </w:r>
      <w:r>
        <w:rPr>
          <w:rFonts w:hint="eastAsia" w:ascii="宋体" w:hAnsi="宋体" w:eastAsia="宋体" w:cs="宋体"/>
          <w:kern w:val="2"/>
          <w:sz w:val="21"/>
          <w:szCs w:val="21"/>
        </w:rPr>
        <w:t>：</w:t>
      </w:r>
      <w:r>
        <w:rPr>
          <w:rFonts w:hint="eastAsia" w:ascii="宋体" w:hAnsi="宋体" w:eastAsia="宋体" w:cs="宋体"/>
          <w:b/>
          <w:kern w:val="2"/>
          <w:sz w:val="21"/>
          <w:szCs w:val="21"/>
          <w:u w:val="single"/>
        </w:rPr>
        <w:t>武汉理工大学</w:t>
      </w:r>
      <w:r>
        <w:rPr>
          <w:rStyle w:val="74"/>
          <w:rFonts w:hint="eastAsia" w:ascii="宋体" w:hAnsi="宋体" w:eastAsia="宋体" w:cs="宋体"/>
          <w:b/>
          <w:sz w:val="21"/>
          <w:szCs w:val="21"/>
        </w:rPr>
        <w:t xml:space="preserve">                        </w:t>
      </w:r>
      <w:r>
        <w:rPr>
          <w:rFonts w:hint="eastAsia" w:ascii="宋体" w:hAnsi="宋体" w:eastAsia="宋体" w:cs="宋体"/>
          <w:b/>
          <w:bCs/>
          <w:kern w:val="2"/>
          <w:sz w:val="21"/>
          <w:szCs w:val="21"/>
        </w:rPr>
        <w:t>乙方</w:t>
      </w:r>
      <w:r>
        <w:rPr>
          <w:rFonts w:hint="eastAsia" w:ascii="宋体" w:hAnsi="宋体" w:eastAsia="宋体" w:cs="宋体"/>
          <w:kern w:val="2"/>
          <w:sz w:val="21"/>
          <w:szCs w:val="21"/>
        </w:rPr>
        <w:t>：</w:t>
      </w:r>
    </w:p>
    <w:p w14:paraId="32B0AC75">
      <w:pPr>
        <w:adjustRightInd w:val="0"/>
        <w:snapToGrid w:val="0"/>
        <w:spacing w:line="360" w:lineRule="auto"/>
        <w:ind w:firstLine="945" w:firstLineChars="450"/>
        <w:rPr>
          <w:rFonts w:ascii="宋体" w:hAnsi="宋体" w:cs="宋体"/>
          <w:szCs w:val="21"/>
        </w:rPr>
      </w:pPr>
      <w:r>
        <w:rPr>
          <w:rFonts w:hint="eastAsia" w:ascii="宋体" w:hAnsi="宋体" w:cs="宋体"/>
          <w:szCs w:val="21"/>
        </w:rPr>
        <w:t>（盖章）                            （盖章）</w:t>
      </w:r>
    </w:p>
    <w:p w14:paraId="3ED4C671">
      <w:pPr>
        <w:adjustRightInd w:val="0"/>
        <w:snapToGrid w:val="0"/>
        <w:spacing w:line="360" w:lineRule="auto"/>
        <w:rPr>
          <w:rFonts w:ascii="宋体" w:hAnsi="宋体" w:cs="宋体"/>
          <w:szCs w:val="21"/>
        </w:rPr>
      </w:pPr>
      <w:r>
        <w:rPr>
          <w:rFonts w:hint="eastAsia" w:ascii="宋体" w:hAnsi="宋体" w:cs="宋体"/>
          <w:b/>
          <w:bCs/>
          <w:szCs w:val="21"/>
        </w:rPr>
        <w:t>授权代表</w:t>
      </w:r>
      <w:r>
        <w:rPr>
          <w:rFonts w:hint="eastAsia" w:ascii="宋体" w:hAnsi="宋体" w:cs="宋体"/>
          <w:szCs w:val="21"/>
        </w:rPr>
        <w:t xml:space="preserve">（签字）：                         </w:t>
      </w:r>
      <w:r>
        <w:rPr>
          <w:rFonts w:hint="eastAsia" w:ascii="宋体" w:hAnsi="宋体" w:cs="宋体"/>
          <w:b/>
          <w:szCs w:val="21"/>
        </w:rPr>
        <w:t>授权</w:t>
      </w:r>
      <w:r>
        <w:rPr>
          <w:rFonts w:hint="eastAsia" w:ascii="宋体" w:hAnsi="宋体" w:cs="宋体"/>
          <w:b/>
          <w:bCs/>
          <w:szCs w:val="21"/>
        </w:rPr>
        <w:t>代表</w:t>
      </w:r>
      <w:r>
        <w:rPr>
          <w:rFonts w:hint="eastAsia" w:ascii="宋体" w:hAnsi="宋体" w:cs="宋体"/>
          <w:szCs w:val="21"/>
        </w:rPr>
        <w:t>（签字）：</w:t>
      </w:r>
    </w:p>
    <w:p w14:paraId="03CDB0E6">
      <w:pPr>
        <w:pStyle w:val="50"/>
        <w:snapToGrid w:val="0"/>
        <w:spacing w:line="360" w:lineRule="auto"/>
        <w:rPr>
          <w:rFonts w:ascii="宋体" w:hAnsi="宋体" w:eastAsia="宋体" w:cs="宋体"/>
          <w:sz w:val="21"/>
          <w:szCs w:val="21"/>
        </w:rPr>
      </w:pPr>
      <w:r>
        <w:rPr>
          <w:rFonts w:hint="eastAsia" w:ascii="宋体" w:hAnsi="宋体" w:eastAsia="宋体" w:cs="宋体"/>
          <w:sz w:val="21"/>
          <w:szCs w:val="21"/>
        </w:rPr>
        <w:t>地址：武汉市洪山区珞狮路122号             地址：</w:t>
      </w:r>
    </w:p>
    <w:p w14:paraId="050824DA">
      <w:pPr>
        <w:adjustRightInd w:val="0"/>
        <w:snapToGrid w:val="0"/>
        <w:spacing w:line="360" w:lineRule="auto"/>
        <w:ind w:left="5040" w:hanging="5040" w:hangingChars="2400"/>
        <w:rPr>
          <w:rFonts w:ascii="宋体" w:hAnsi="宋体" w:cs="宋体"/>
          <w:szCs w:val="21"/>
        </w:rPr>
      </w:pPr>
      <w:r>
        <w:rPr>
          <w:rFonts w:hint="eastAsia" w:ascii="宋体" w:hAnsi="宋体" w:cs="宋体"/>
          <w:szCs w:val="21"/>
        </w:rPr>
        <w:t>开户行：工行洪山支行                       开户行：</w:t>
      </w:r>
    </w:p>
    <w:p w14:paraId="247A62A3">
      <w:pPr>
        <w:adjustRightInd w:val="0"/>
        <w:snapToGrid w:val="0"/>
        <w:spacing w:line="360" w:lineRule="auto"/>
        <w:rPr>
          <w:rFonts w:ascii="宋体" w:hAnsi="宋体" w:cs="宋体"/>
          <w:szCs w:val="21"/>
        </w:rPr>
      </w:pPr>
      <w:r>
        <w:rPr>
          <w:rFonts w:hint="eastAsia" w:ascii="宋体" w:hAnsi="宋体" w:cs="宋体"/>
          <w:szCs w:val="21"/>
        </w:rPr>
        <w:t>账号：3202 0067 0900 0475 962              账  号：</w:t>
      </w:r>
    </w:p>
    <w:p w14:paraId="0626DDD6">
      <w:pPr>
        <w:adjustRightInd w:val="0"/>
        <w:snapToGrid w:val="0"/>
        <w:spacing w:line="360" w:lineRule="auto"/>
        <w:rPr>
          <w:rFonts w:ascii="宋体" w:hAnsi="宋体" w:cs="宋体"/>
          <w:szCs w:val="21"/>
        </w:rPr>
      </w:pPr>
      <w:r>
        <w:rPr>
          <w:rFonts w:hint="eastAsia" w:ascii="宋体" w:hAnsi="宋体" w:cs="宋体"/>
          <w:szCs w:val="21"/>
        </w:rPr>
        <w:t>电话：027-*******                          电  话：</w:t>
      </w:r>
    </w:p>
    <w:p w14:paraId="1C190D52">
      <w:pPr>
        <w:adjustRightInd w:val="0"/>
        <w:snapToGrid w:val="0"/>
        <w:spacing w:line="360" w:lineRule="auto"/>
        <w:rPr>
          <w:rFonts w:ascii="宋体" w:hAnsi="宋体" w:cs="宋体"/>
          <w:szCs w:val="21"/>
        </w:rPr>
      </w:pPr>
      <w:r>
        <w:rPr>
          <w:rFonts w:hint="eastAsia" w:ascii="宋体" w:hAnsi="宋体" w:cs="宋体"/>
          <w:szCs w:val="21"/>
        </w:rPr>
        <w:t>传真：027-*******                          传  真：</w:t>
      </w:r>
    </w:p>
    <w:p w14:paraId="0820CD92">
      <w:pPr>
        <w:spacing w:line="360" w:lineRule="auto"/>
        <w:ind w:firstLine="428" w:firstLineChars="204"/>
        <w:contextualSpacing/>
        <w:jc w:val="left"/>
        <w:rPr>
          <w:rFonts w:ascii="宋体" w:hAnsi="宋体"/>
          <w:kern w:val="0"/>
          <w:szCs w:val="21"/>
        </w:rPr>
      </w:pPr>
      <w:r>
        <w:rPr>
          <w:rFonts w:hint="eastAsia" w:ascii="宋体" w:hAnsi="宋体" w:cs="宋体"/>
          <w:szCs w:val="21"/>
        </w:rPr>
        <w:t>年   月   日                              年   月   日</w:t>
      </w:r>
    </w:p>
    <w:p w14:paraId="3BD58907">
      <w:pPr>
        <w:spacing w:line="360" w:lineRule="auto"/>
        <w:ind w:firstLine="420" w:firstLineChars="200"/>
        <w:contextualSpacing/>
        <w:jc w:val="left"/>
        <w:rPr>
          <w:rFonts w:ascii="宋体" w:hAnsi="宋体"/>
          <w:kern w:val="0"/>
          <w:szCs w:val="21"/>
        </w:rPr>
      </w:pPr>
    </w:p>
    <w:p w14:paraId="09F69A74">
      <w:pPr>
        <w:spacing w:line="276" w:lineRule="auto"/>
        <w:jc w:val="center"/>
        <w:rPr>
          <w:kern w:val="0"/>
          <w:szCs w:val="21"/>
        </w:rPr>
      </w:pPr>
    </w:p>
    <w:p w14:paraId="548FFD80">
      <w:pPr>
        <w:rPr>
          <w:rFonts w:ascii="新宋体" w:hAnsi="新宋体" w:eastAsia="新宋体"/>
          <w:b/>
          <w:sz w:val="72"/>
          <w:szCs w:val="52"/>
        </w:rPr>
      </w:pPr>
      <w:r>
        <w:rPr>
          <w:kern w:val="0"/>
          <w:szCs w:val="21"/>
        </w:rPr>
        <w:br w:type="page"/>
      </w:r>
    </w:p>
    <w:p w14:paraId="32FCFB88">
      <w:pPr>
        <w:spacing w:line="276" w:lineRule="auto"/>
        <w:jc w:val="center"/>
        <w:rPr>
          <w:rFonts w:ascii="黑体" w:hAnsi="黑体" w:eastAsia="黑体"/>
          <w:b/>
          <w:szCs w:val="21"/>
        </w:rPr>
      </w:pPr>
      <w:bookmarkStart w:id="76" w:name="_Toc494745311"/>
      <w:bookmarkStart w:id="77" w:name="_Toc494664994"/>
      <w:bookmarkStart w:id="78" w:name="_Toc494702264"/>
      <w:bookmarkStart w:id="79" w:name="_Toc494665944"/>
      <w:bookmarkStart w:id="80" w:name="_Toc494665547"/>
      <w:bookmarkStart w:id="81" w:name="_Toc494721094"/>
    </w:p>
    <w:p w14:paraId="2E4A56B1">
      <w:pPr>
        <w:spacing w:line="276" w:lineRule="auto"/>
        <w:jc w:val="center"/>
        <w:outlineLvl w:val="0"/>
        <w:rPr>
          <w:rFonts w:ascii="黑体" w:hAnsi="黑体" w:eastAsia="黑体"/>
          <w:sz w:val="28"/>
          <w:szCs w:val="28"/>
        </w:rPr>
      </w:pPr>
      <w:bookmarkStart w:id="82" w:name="_Toc97815023"/>
      <w:r>
        <w:rPr>
          <w:rFonts w:hint="eastAsia" w:ascii="黑体" w:hAnsi="黑体" w:eastAsia="黑体"/>
          <w:sz w:val="28"/>
          <w:szCs w:val="28"/>
        </w:rPr>
        <w:t>第七章 投标文件格式</w:t>
      </w:r>
      <w:bookmarkEnd w:id="76"/>
      <w:bookmarkEnd w:id="77"/>
      <w:bookmarkEnd w:id="78"/>
      <w:bookmarkEnd w:id="79"/>
      <w:bookmarkEnd w:id="80"/>
      <w:bookmarkEnd w:id="81"/>
      <w:bookmarkEnd w:id="82"/>
    </w:p>
    <w:p w14:paraId="74EC864F">
      <w:pPr>
        <w:spacing w:after="780" w:afterLines="250" w:line="276" w:lineRule="auto"/>
        <w:jc w:val="center"/>
        <w:rPr>
          <w:rFonts w:ascii="黑体" w:hAnsi="黑体" w:eastAsia="黑体"/>
          <w:b/>
          <w:sz w:val="72"/>
          <w:szCs w:val="72"/>
        </w:rPr>
      </w:pPr>
    </w:p>
    <w:p w14:paraId="30E985E0">
      <w:pPr>
        <w:spacing w:after="780" w:afterLines="250" w:line="276" w:lineRule="auto"/>
        <w:jc w:val="center"/>
        <w:rPr>
          <w:rFonts w:ascii="黑体" w:hAnsi="黑体" w:eastAsia="黑体"/>
          <w:b/>
          <w:sz w:val="72"/>
          <w:szCs w:val="72"/>
        </w:rPr>
      </w:pPr>
      <w:r>
        <w:rPr>
          <w:rFonts w:hint="eastAsia" w:ascii="黑体" w:hAnsi="黑体" w:eastAsia="黑体"/>
          <w:b/>
          <w:sz w:val="72"/>
          <w:szCs w:val="72"/>
        </w:rPr>
        <w:t>政 府 采 购 项 目</w:t>
      </w:r>
    </w:p>
    <w:p w14:paraId="09C1C1EA">
      <w:pPr>
        <w:spacing w:after="624" w:afterLines="200" w:line="276" w:lineRule="auto"/>
        <w:jc w:val="center"/>
        <w:rPr>
          <w:rFonts w:ascii="黑体" w:hAnsi="黑体" w:eastAsia="黑体"/>
          <w:b/>
          <w:sz w:val="72"/>
          <w:szCs w:val="72"/>
        </w:rPr>
      </w:pPr>
      <w:r>
        <w:rPr>
          <w:rFonts w:hint="eastAsia" w:ascii="黑体" w:hAnsi="黑体" w:eastAsia="黑体"/>
          <w:b/>
          <w:sz w:val="72"/>
          <w:szCs w:val="72"/>
        </w:rPr>
        <w:t>投 标 文 件</w:t>
      </w:r>
    </w:p>
    <w:p w14:paraId="6938D1D2">
      <w:pPr>
        <w:rPr>
          <w:szCs w:val="24"/>
          <w:lang w:val="zh-CN"/>
        </w:rPr>
      </w:pPr>
    </w:p>
    <w:p w14:paraId="43D65EBF">
      <w:pPr>
        <w:spacing w:line="276" w:lineRule="auto"/>
        <w:ind w:left="1967" w:leftChars="619" w:right="1299" w:rightChars="619" w:hanging="668" w:hangingChars="209"/>
        <w:rPr>
          <w:rFonts w:ascii="宋体" w:hAnsi="宋体"/>
          <w:bCs/>
          <w:sz w:val="32"/>
          <w:szCs w:val="32"/>
        </w:rPr>
      </w:pPr>
      <w:r>
        <w:rPr>
          <w:rFonts w:hint="eastAsia" w:ascii="宋体" w:hAnsi="宋体"/>
          <w:b/>
          <w:bCs/>
          <w:sz w:val="32"/>
          <w:szCs w:val="32"/>
        </w:rPr>
        <w:t>项目编号：</w:t>
      </w:r>
    </w:p>
    <w:p w14:paraId="11FDB016">
      <w:pPr>
        <w:spacing w:line="276" w:lineRule="auto"/>
        <w:ind w:left="1967" w:leftChars="619" w:right="1299" w:rightChars="619" w:hanging="668" w:hangingChars="209"/>
        <w:rPr>
          <w:rFonts w:ascii="宋体" w:hAnsi="宋体"/>
          <w:bCs/>
          <w:sz w:val="32"/>
          <w:szCs w:val="32"/>
          <w:lang w:val="zh-CN"/>
        </w:rPr>
      </w:pPr>
      <w:r>
        <w:rPr>
          <w:rFonts w:hint="eastAsia" w:ascii="宋体" w:hAnsi="宋体"/>
          <w:b/>
          <w:bCs/>
          <w:sz w:val="32"/>
          <w:szCs w:val="32"/>
        </w:rPr>
        <w:t>项目名称：</w:t>
      </w:r>
    </w:p>
    <w:p w14:paraId="4C5908A5">
      <w:pPr>
        <w:spacing w:line="276" w:lineRule="auto"/>
        <w:ind w:left="1967" w:leftChars="619" w:right="1299" w:rightChars="619" w:hanging="668" w:hangingChars="209"/>
        <w:rPr>
          <w:rFonts w:ascii="宋体" w:hAnsi="宋体"/>
          <w:szCs w:val="21"/>
        </w:rPr>
      </w:pPr>
      <w:r>
        <w:rPr>
          <w:rFonts w:hint="eastAsia" w:ascii="宋体" w:hAnsi="宋体"/>
          <w:b/>
          <w:bCs/>
          <w:sz w:val="32"/>
          <w:szCs w:val="32"/>
        </w:rPr>
        <w:t>包    号：</w:t>
      </w:r>
    </w:p>
    <w:p w14:paraId="0EAD74D1">
      <w:pPr>
        <w:spacing w:after="1560" w:afterLines="500" w:line="276" w:lineRule="auto"/>
        <w:ind w:left="1606" w:leftChars="271" w:right="569" w:rightChars="271" w:hanging="1037" w:hangingChars="494"/>
        <w:jc w:val="center"/>
        <w:rPr>
          <w:rFonts w:ascii="宋体" w:hAnsi="宋体"/>
          <w:szCs w:val="21"/>
        </w:rPr>
      </w:pPr>
    </w:p>
    <w:p w14:paraId="2F67255B">
      <w:pPr>
        <w:spacing w:line="276" w:lineRule="auto"/>
        <w:ind w:left="1971" w:leftChars="613" w:right="1287" w:rightChars="613" w:hanging="684" w:hangingChars="214"/>
        <w:rPr>
          <w:rFonts w:ascii="宋体" w:hAnsi="宋体"/>
          <w:b/>
          <w:bCs/>
          <w:sz w:val="32"/>
          <w:szCs w:val="32"/>
        </w:rPr>
      </w:pPr>
      <w:r>
        <w:rPr>
          <w:rFonts w:hint="eastAsia" w:ascii="宋体" w:hAnsi="宋体"/>
          <w:b/>
          <w:bCs/>
          <w:sz w:val="32"/>
          <w:szCs w:val="32"/>
        </w:rPr>
        <w:t>投标人（公章）：</w:t>
      </w:r>
    </w:p>
    <w:p w14:paraId="2310ED13">
      <w:pPr>
        <w:spacing w:line="276" w:lineRule="auto"/>
        <w:ind w:left="1971" w:leftChars="613" w:right="1287" w:rightChars="613" w:hanging="684" w:hangingChars="214"/>
        <w:rPr>
          <w:rFonts w:ascii="宋体" w:hAnsi="宋体"/>
          <w:b/>
          <w:bCs/>
          <w:sz w:val="32"/>
          <w:szCs w:val="32"/>
        </w:rPr>
      </w:pPr>
    </w:p>
    <w:p w14:paraId="5B63C3A6">
      <w:pPr>
        <w:spacing w:before="312" w:beforeLines="100" w:after="312" w:afterLines="100" w:line="276" w:lineRule="auto"/>
        <w:ind w:left="2540" w:leftChars="466" w:right="466" w:hanging="1562" w:hangingChars="355"/>
        <w:jc w:val="center"/>
        <w:rPr>
          <w:rFonts w:ascii="宋体" w:hAnsi="宋体"/>
          <w:b/>
          <w:bCs/>
          <w:sz w:val="44"/>
          <w:szCs w:val="44"/>
        </w:rPr>
      </w:pPr>
    </w:p>
    <w:p w14:paraId="1D5597AA">
      <w:pPr>
        <w:spacing w:line="276" w:lineRule="auto"/>
        <w:jc w:val="center"/>
        <w:rPr>
          <w:rFonts w:ascii="宋体" w:hAnsi="宋体"/>
          <w:b/>
          <w:sz w:val="44"/>
          <w:szCs w:val="44"/>
        </w:rPr>
      </w:pPr>
      <w:r>
        <w:rPr>
          <w:rFonts w:hint="eastAsia" w:ascii="宋体" w:hAnsi="宋体"/>
          <w:b/>
          <w:bCs/>
          <w:sz w:val="44"/>
          <w:szCs w:val="44"/>
        </w:rPr>
        <w:t>年</w:t>
      </w:r>
      <w:r>
        <w:rPr>
          <w:rFonts w:hint="eastAsia" w:ascii="宋体" w:hAnsi="宋体"/>
          <w:b/>
          <w:sz w:val="44"/>
          <w:szCs w:val="44"/>
        </w:rPr>
        <w:t xml:space="preserve">   月    日</w:t>
      </w:r>
    </w:p>
    <w:p w14:paraId="77A81EDC">
      <w:pPr>
        <w:spacing w:line="276" w:lineRule="auto"/>
        <w:jc w:val="center"/>
        <w:outlineLvl w:val="2"/>
        <w:rPr>
          <w:szCs w:val="21"/>
        </w:rPr>
      </w:pPr>
      <w:r>
        <w:rPr>
          <w:rFonts w:hint="eastAsia" w:ascii="宋体" w:hAnsi="宋体"/>
          <w:b/>
          <w:sz w:val="44"/>
          <w:szCs w:val="44"/>
        </w:rPr>
        <w:br w:type="page"/>
      </w:r>
      <w:r>
        <w:rPr>
          <w:rFonts w:hint="eastAsia"/>
          <w:szCs w:val="21"/>
        </w:rPr>
        <w:t>目录</w:t>
      </w:r>
    </w:p>
    <w:p w14:paraId="07B4D06B">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资格审查对照表</w:t>
      </w:r>
    </w:p>
    <w:p w14:paraId="3EAC3AF7">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符合性审查对照表</w:t>
      </w:r>
    </w:p>
    <w:p w14:paraId="705EE201">
      <w:pPr>
        <w:tabs>
          <w:tab w:val="left" w:pos="709"/>
        </w:tabs>
        <w:spacing w:line="276" w:lineRule="auto"/>
        <w:ind w:firstLine="420" w:firstLineChars="200"/>
        <w:rPr>
          <w:rFonts w:ascii="宋体" w:hAnsi="宋体" w:cs="Courier New"/>
          <w:color w:val="0D0D0D"/>
          <w:szCs w:val="21"/>
        </w:rPr>
      </w:pPr>
      <w:r>
        <w:rPr>
          <w:rFonts w:hint="eastAsia" w:ascii="宋体" w:hAnsi="宋体" w:cs="Courier New"/>
          <w:color w:val="0D0D0D"/>
          <w:szCs w:val="21"/>
        </w:rPr>
        <w:t>技术、服务及商务评议对照表</w:t>
      </w:r>
    </w:p>
    <w:p w14:paraId="03113D1F">
      <w:pPr>
        <w:tabs>
          <w:tab w:val="left" w:pos="1134"/>
        </w:tabs>
        <w:spacing w:line="276" w:lineRule="auto"/>
        <w:ind w:firstLine="420" w:firstLineChars="200"/>
        <w:rPr>
          <w:rFonts w:ascii="宋体" w:hAnsi="宋体" w:cs="Courier New"/>
          <w:color w:val="0D0D0D"/>
          <w:szCs w:val="21"/>
        </w:rPr>
      </w:pPr>
      <w:r>
        <w:rPr>
          <w:rFonts w:hint="eastAsia" w:ascii="宋体" w:hAnsi="宋体" w:cs="Courier New"/>
          <w:szCs w:val="21"/>
        </w:rPr>
        <w:t>技术、服务及商务要求响应、偏离说明表</w:t>
      </w:r>
      <w:r>
        <w:rPr>
          <w:rFonts w:hint="eastAsia" w:ascii="宋体" w:hAnsi="宋体" w:cs="Courier New"/>
          <w:b/>
          <w:color w:val="00B050"/>
          <w:szCs w:val="21"/>
        </w:rPr>
        <w:t>【编制</w:t>
      </w:r>
      <w:r>
        <w:rPr>
          <w:rFonts w:ascii="宋体" w:hAnsi="宋体" w:cs="Courier New"/>
          <w:b/>
          <w:color w:val="00B050"/>
          <w:szCs w:val="21"/>
        </w:rPr>
        <w:t>人员自定</w:t>
      </w:r>
      <w:r>
        <w:rPr>
          <w:rFonts w:hint="eastAsia" w:ascii="宋体" w:hAnsi="宋体" w:cs="Courier New"/>
          <w:b/>
          <w:color w:val="00B050"/>
          <w:szCs w:val="21"/>
        </w:rPr>
        <w:t>是否</w:t>
      </w:r>
      <w:r>
        <w:rPr>
          <w:rFonts w:ascii="宋体" w:hAnsi="宋体" w:cs="Courier New"/>
          <w:b/>
          <w:color w:val="00B050"/>
          <w:szCs w:val="21"/>
        </w:rPr>
        <w:t>需要】</w:t>
      </w:r>
    </w:p>
    <w:p w14:paraId="4762925F">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投标书</w:t>
      </w:r>
    </w:p>
    <w:p w14:paraId="2B9624A0">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报价一览表</w:t>
      </w:r>
    </w:p>
    <w:p w14:paraId="3A07DE00">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报价明细表</w:t>
      </w:r>
    </w:p>
    <w:p w14:paraId="5ADC719A">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报价范围以外的备品备件、耗材</w:t>
      </w:r>
      <w:r>
        <w:rPr>
          <w:rFonts w:ascii="宋体" w:hAnsi="宋体" w:cs="Courier New"/>
          <w:color w:val="0D0D0D"/>
          <w:szCs w:val="21"/>
        </w:rPr>
        <w:t>/服务价格表</w:t>
      </w:r>
      <w:r>
        <w:rPr>
          <w:rFonts w:hint="eastAsia" w:ascii="宋体" w:hAnsi="宋体" w:cs="Courier New"/>
          <w:b/>
          <w:color w:val="00B050"/>
          <w:szCs w:val="21"/>
        </w:rPr>
        <w:t>（如有</w:t>
      </w:r>
      <w:r>
        <w:rPr>
          <w:rFonts w:ascii="宋体" w:hAnsi="宋体" w:cs="Courier New"/>
          <w:b/>
          <w:color w:val="00B050"/>
          <w:szCs w:val="21"/>
        </w:rPr>
        <w:t>）</w:t>
      </w:r>
    </w:p>
    <w:p w14:paraId="55FF0559">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交纳投标保证金的银行凭证</w:t>
      </w:r>
      <w:r>
        <w:rPr>
          <w:rFonts w:hint="eastAsia" w:ascii="宋体" w:hAnsi="宋体" w:cs="Courier New"/>
          <w:b/>
          <w:color w:val="00B050"/>
          <w:szCs w:val="21"/>
        </w:rPr>
        <w:t>（如需</w:t>
      </w:r>
      <w:r>
        <w:rPr>
          <w:rFonts w:ascii="宋体" w:hAnsi="宋体" w:cs="Courier New"/>
          <w:b/>
          <w:color w:val="00B050"/>
          <w:szCs w:val="21"/>
        </w:rPr>
        <w:t>）</w:t>
      </w:r>
    </w:p>
    <w:p w14:paraId="337D1075">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法定代表人身份证明书</w:t>
      </w:r>
    </w:p>
    <w:p w14:paraId="5FED2C46">
      <w:pPr>
        <w:numPr>
          <w:ilvl w:val="0"/>
          <w:numId w:val="59"/>
        </w:numPr>
        <w:tabs>
          <w:tab w:val="left" w:pos="851"/>
        </w:tabs>
        <w:spacing w:line="276" w:lineRule="auto"/>
        <w:ind w:left="709" w:hanging="289"/>
        <w:rPr>
          <w:rFonts w:ascii="宋体" w:hAnsi="宋体" w:cs="Courier New"/>
          <w:color w:val="000000"/>
          <w:szCs w:val="21"/>
        </w:rPr>
      </w:pPr>
      <w:r>
        <w:rPr>
          <w:rFonts w:hint="eastAsia" w:ascii="宋体" w:hAnsi="宋体" w:cs="Courier New"/>
          <w:color w:val="000000"/>
          <w:szCs w:val="21"/>
        </w:rPr>
        <w:t>法定代表人授权委托书</w:t>
      </w:r>
    </w:p>
    <w:p w14:paraId="28C8561E">
      <w:pPr>
        <w:numPr>
          <w:ilvl w:val="0"/>
          <w:numId w:val="59"/>
        </w:numPr>
        <w:tabs>
          <w:tab w:val="left" w:pos="709"/>
        </w:tabs>
        <w:spacing w:line="276" w:lineRule="auto"/>
        <w:rPr>
          <w:rFonts w:ascii="宋体" w:hAnsi="宋体" w:cs="Courier New"/>
          <w:color w:val="000000"/>
          <w:szCs w:val="21"/>
        </w:rPr>
      </w:pPr>
      <w:r>
        <w:rPr>
          <w:rFonts w:hint="eastAsia" w:ascii="宋体" w:hAnsi="宋体" w:cs="Courier New"/>
          <w:color w:val="000000"/>
          <w:szCs w:val="21"/>
        </w:rPr>
        <w:t>资格证明材料</w:t>
      </w:r>
    </w:p>
    <w:p w14:paraId="289C8AD3">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节能环保产品清单及证明材料</w:t>
      </w:r>
      <w:r>
        <w:rPr>
          <w:rFonts w:hint="eastAsia" w:ascii="宋体" w:hAnsi="宋体" w:cs="Courier New"/>
          <w:b/>
          <w:color w:val="00B050"/>
          <w:szCs w:val="21"/>
        </w:rPr>
        <w:t>（如需</w:t>
      </w:r>
      <w:r>
        <w:rPr>
          <w:rFonts w:ascii="宋体" w:hAnsi="宋体" w:cs="Courier New"/>
          <w:b/>
          <w:color w:val="00B050"/>
          <w:szCs w:val="21"/>
        </w:rPr>
        <w:t>）</w:t>
      </w:r>
    </w:p>
    <w:p w14:paraId="188696E6">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制造厂家授权书/售后</w:t>
      </w:r>
      <w:r>
        <w:rPr>
          <w:rFonts w:ascii="宋体" w:hAnsi="宋体" w:cs="Courier New"/>
          <w:color w:val="0D0D0D"/>
          <w:szCs w:val="21"/>
        </w:rPr>
        <w:t>服务承诺函</w:t>
      </w:r>
      <w:r>
        <w:rPr>
          <w:rFonts w:hint="eastAsia" w:ascii="宋体" w:hAnsi="宋体" w:cs="Courier New"/>
          <w:b/>
          <w:color w:val="00B050"/>
          <w:szCs w:val="21"/>
        </w:rPr>
        <w:t>（如需</w:t>
      </w:r>
      <w:r>
        <w:rPr>
          <w:rFonts w:ascii="宋体" w:hAnsi="宋体" w:cs="Courier New"/>
          <w:b/>
          <w:color w:val="00B050"/>
          <w:szCs w:val="21"/>
        </w:rPr>
        <w:t>）</w:t>
      </w:r>
    </w:p>
    <w:p w14:paraId="7E57ABA6">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项目负责人、技术负责人简历表及证明材料</w:t>
      </w:r>
      <w:r>
        <w:rPr>
          <w:rFonts w:hint="eastAsia" w:ascii="宋体" w:hAnsi="宋体" w:cs="Courier New"/>
          <w:b/>
          <w:color w:val="00B050"/>
          <w:szCs w:val="21"/>
        </w:rPr>
        <w:t>（如需</w:t>
      </w:r>
      <w:r>
        <w:rPr>
          <w:rFonts w:ascii="宋体" w:hAnsi="宋体" w:cs="Courier New"/>
          <w:b/>
          <w:color w:val="00B050"/>
          <w:szCs w:val="21"/>
        </w:rPr>
        <w:t>）</w:t>
      </w:r>
    </w:p>
    <w:p w14:paraId="0461050E">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项目组成员一览表及证明材料</w:t>
      </w:r>
      <w:r>
        <w:rPr>
          <w:rFonts w:hint="eastAsia" w:ascii="宋体" w:hAnsi="宋体" w:cs="Courier New"/>
          <w:b/>
          <w:color w:val="00B050"/>
          <w:szCs w:val="21"/>
        </w:rPr>
        <w:t>（如需</w:t>
      </w:r>
      <w:r>
        <w:rPr>
          <w:rFonts w:ascii="宋体" w:hAnsi="宋体" w:cs="Courier New"/>
          <w:b/>
          <w:color w:val="00B050"/>
          <w:szCs w:val="21"/>
        </w:rPr>
        <w:t>）</w:t>
      </w:r>
    </w:p>
    <w:p w14:paraId="190BA668">
      <w:pPr>
        <w:numPr>
          <w:ilvl w:val="0"/>
          <w:numId w:val="59"/>
        </w:numPr>
        <w:tabs>
          <w:tab w:val="left" w:pos="851"/>
        </w:tabs>
        <w:spacing w:line="276" w:lineRule="auto"/>
        <w:ind w:left="709" w:hanging="289"/>
        <w:rPr>
          <w:rFonts w:ascii="宋体" w:hAnsi="宋体" w:cs="Courier New"/>
          <w:color w:val="0D0D0D"/>
          <w:szCs w:val="21"/>
        </w:rPr>
      </w:pPr>
      <w:r>
        <w:rPr>
          <w:rFonts w:hint="eastAsia" w:ascii="宋体" w:hAnsi="宋体" w:cs="Courier New"/>
          <w:color w:val="0D0D0D"/>
          <w:szCs w:val="21"/>
        </w:rPr>
        <w:t>类似项目业绩表及证明材料</w:t>
      </w:r>
      <w:r>
        <w:rPr>
          <w:rFonts w:hint="eastAsia" w:ascii="宋体" w:hAnsi="宋体" w:cs="Courier New"/>
          <w:b/>
          <w:color w:val="00B050"/>
          <w:szCs w:val="21"/>
        </w:rPr>
        <w:t>（如需</w:t>
      </w:r>
      <w:r>
        <w:rPr>
          <w:rFonts w:ascii="宋体" w:hAnsi="宋体" w:cs="Courier New"/>
          <w:b/>
          <w:color w:val="00B050"/>
          <w:szCs w:val="21"/>
        </w:rPr>
        <w:t>）</w:t>
      </w:r>
    </w:p>
    <w:p w14:paraId="6EFB9FB9">
      <w:pPr>
        <w:numPr>
          <w:ilvl w:val="0"/>
          <w:numId w:val="59"/>
        </w:numPr>
        <w:tabs>
          <w:tab w:val="left" w:pos="1134"/>
        </w:tabs>
        <w:spacing w:line="276" w:lineRule="auto"/>
        <w:rPr>
          <w:rFonts w:ascii="宋体" w:hAnsi="宋体" w:cs="Courier New"/>
          <w:color w:val="0D0D0D"/>
          <w:szCs w:val="21"/>
        </w:rPr>
      </w:pPr>
      <w:r>
        <w:rPr>
          <w:rFonts w:ascii="宋体" w:hAnsi="宋体" w:cs="Courier New"/>
          <w:color w:val="0D0D0D"/>
          <w:szCs w:val="21"/>
        </w:rPr>
        <w:t>技术、服务</w:t>
      </w:r>
      <w:r>
        <w:rPr>
          <w:rFonts w:hint="eastAsia" w:ascii="宋体" w:hAnsi="宋体" w:cs="Courier New"/>
          <w:color w:val="0D0D0D"/>
          <w:szCs w:val="21"/>
        </w:rPr>
        <w:t>及</w:t>
      </w:r>
      <w:r>
        <w:rPr>
          <w:rFonts w:ascii="宋体" w:hAnsi="宋体" w:cs="Courier New"/>
          <w:color w:val="0D0D0D"/>
          <w:szCs w:val="21"/>
        </w:rPr>
        <w:t>商务文件</w:t>
      </w:r>
    </w:p>
    <w:p w14:paraId="462B6209">
      <w:pPr>
        <w:tabs>
          <w:tab w:val="left" w:pos="709"/>
        </w:tabs>
        <w:spacing w:line="276" w:lineRule="auto"/>
        <w:rPr>
          <w:rFonts w:ascii="宋体" w:hAnsi="宋体" w:cs="Courier New"/>
          <w:color w:val="0D0D0D"/>
          <w:szCs w:val="21"/>
        </w:rPr>
      </w:pPr>
    </w:p>
    <w:p w14:paraId="095CC76B">
      <w:pPr>
        <w:tabs>
          <w:tab w:val="left" w:pos="709"/>
        </w:tabs>
        <w:spacing w:line="276" w:lineRule="auto"/>
        <w:rPr>
          <w:rFonts w:ascii="宋体" w:hAnsi="宋体" w:cs="Courier New"/>
          <w:color w:val="0D0D0D"/>
          <w:szCs w:val="21"/>
        </w:rPr>
      </w:pPr>
    </w:p>
    <w:p w14:paraId="475B06AC">
      <w:pPr>
        <w:tabs>
          <w:tab w:val="left" w:pos="851"/>
        </w:tabs>
        <w:spacing w:line="276" w:lineRule="auto"/>
        <w:rPr>
          <w:rFonts w:ascii="宋体" w:hAnsi="宋体" w:cs="Courier New"/>
          <w:color w:val="0D0D0D"/>
          <w:szCs w:val="21"/>
        </w:rPr>
      </w:pPr>
      <w:r>
        <w:rPr>
          <w:rFonts w:hint="eastAsia" w:ascii="宋体" w:hAnsi="宋体" w:cs="Courier New"/>
          <w:color w:val="0D0D0D"/>
          <w:szCs w:val="21"/>
        </w:rPr>
        <w:t>注：</w:t>
      </w:r>
    </w:p>
    <w:p w14:paraId="0A1BD42C">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1、根据参考格式要求自行编写，应目录清晰、内容详尽、易于理解。</w:t>
      </w:r>
    </w:p>
    <w:p w14:paraId="68A74DBC">
      <w:pPr>
        <w:tabs>
          <w:tab w:val="left" w:pos="851"/>
        </w:tabs>
        <w:spacing w:line="276" w:lineRule="auto"/>
        <w:ind w:left="210" w:leftChars="100"/>
        <w:rPr>
          <w:rFonts w:ascii="宋体" w:hAnsi="宋体" w:cs="Courier New"/>
          <w:color w:val="0D0D0D"/>
          <w:szCs w:val="21"/>
        </w:rPr>
      </w:pPr>
      <w:r>
        <w:rPr>
          <w:rFonts w:hint="eastAsia" w:ascii="宋体" w:hAnsi="宋体" w:cs="Courier New"/>
          <w:color w:val="0D0D0D"/>
          <w:szCs w:val="21"/>
        </w:rPr>
        <w:t>2、未限定格式的由投标人根据实际情况自行编制。</w:t>
      </w:r>
    </w:p>
    <w:p w14:paraId="755E1683">
      <w:pPr>
        <w:widowControl/>
        <w:jc w:val="left"/>
        <w:rPr>
          <w:rFonts w:ascii="宋体" w:hAnsi="宋体" w:cs="Courier New"/>
          <w:color w:val="0D0D0D"/>
          <w:szCs w:val="21"/>
        </w:rPr>
      </w:pPr>
      <w:r>
        <w:rPr>
          <w:rFonts w:ascii="宋体" w:hAnsi="宋体" w:cs="Courier New"/>
          <w:color w:val="0D0D0D"/>
          <w:szCs w:val="21"/>
        </w:rPr>
        <w:br w:type="page"/>
      </w:r>
    </w:p>
    <w:p w14:paraId="35928B0A">
      <w:pPr>
        <w:spacing w:line="276" w:lineRule="auto"/>
        <w:jc w:val="center"/>
        <w:rPr>
          <w:b/>
          <w:szCs w:val="21"/>
        </w:rPr>
      </w:pPr>
      <w:r>
        <w:rPr>
          <w:rFonts w:hint="eastAsia"/>
          <w:b/>
          <w:szCs w:val="21"/>
        </w:rPr>
        <w:t>资格审查对照表</w:t>
      </w:r>
    </w:p>
    <w:p w14:paraId="51ECC464">
      <w:pPr>
        <w:spacing w:line="276" w:lineRule="auto"/>
        <w:jc w:val="left"/>
        <w:rPr>
          <w:rFonts w:hAnsi="宋体"/>
          <w:szCs w:val="21"/>
        </w:rPr>
      </w:pPr>
      <w:r>
        <w:rPr>
          <w:rFonts w:hint="eastAsia" w:hAnsi="宋体"/>
          <w:szCs w:val="21"/>
        </w:rPr>
        <w:t>投标人：</w:t>
      </w:r>
    </w:p>
    <w:p w14:paraId="03370E4B">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14:paraId="2A12C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722BFE2D">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1CC307A0">
            <w:pPr>
              <w:spacing w:line="276" w:lineRule="auto"/>
              <w:jc w:val="center"/>
              <w:rPr>
                <w:rFonts w:ascii="宋体" w:hAnsi="宋体" w:cs="仿宋_GB2312"/>
                <w:szCs w:val="21"/>
              </w:rPr>
            </w:pPr>
            <w:r>
              <w:rPr>
                <w:rFonts w:hint="eastAsia" w:ascii="宋体" w:hAnsi="宋体" w:cs="仿宋_GB2312"/>
                <w:szCs w:val="21"/>
              </w:rPr>
              <w:t>资格</w:t>
            </w:r>
            <w:r>
              <w:rPr>
                <w:rFonts w:hint="eastAsia" w:ascii="宋体" w:hAnsi="宋体" w:cs="Corbel"/>
                <w:szCs w:val="21"/>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14:paraId="010858AD">
            <w:pPr>
              <w:spacing w:line="276" w:lineRule="auto"/>
              <w:jc w:val="center"/>
              <w:rPr>
                <w:rFonts w:ascii="宋体" w:hAnsi="宋体" w:cs="仿宋_GB2312"/>
                <w:szCs w:val="21"/>
              </w:rPr>
            </w:pPr>
            <w:r>
              <w:rPr>
                <w:rFonts w:hint="eastAsia" w:ascii="宋体" w:hAnsi="宋体" w:cs="仿宋_GB2312"/>
                <w:szCs w:val="21"/>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14:paraId="383E8644">
            <w:pPr>
              <w:spacing w:line="276" w:lineRule="auto"/>
              <w:jc w:val="center"/>
              <w:rPr>
                <w:rFonts w:ascii="宋体" w:hAnsi="宋体" w:cs="仿宋_GB2312"/>
                <w:szCs w:val="21"/>
              </w:rPr>
            </w:pPr>
            <w:r>
              <w:rPr>
                <w:rFonts w:hint="eastAsia" w:ascii="宋体" w:hAnsi="宋体" w:cs="仿宋_GB2312"/>
                <w:szCs w:val="21"/>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14:paraId="51B1B8FE">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3FBC1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DB05892">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614298CD">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52ECE06A">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646A2A95">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57F07B6E">
            <w:pPr>
              <w:spacing w:line="276" w:lineRule="auto"/>
              <w:jc w:val="center"/>
              <w:rPr>
                <w:rFonts w:ascii="宋体" w:hAnsi="宋体" w:cs="仿宋_GB2312"/>
                <w:szCs w:val="21"/>
              </w:rPr>
            </w:pPr>
          </w:p>
        </w:tc>
      </w:tr>
      <w:tr w14:paraId="53953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2E63D7DE">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475D1A78">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59CD379F">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0DBBA49">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78864F18">
            <w:pPr>
              <w:spacing w:line="276" w:lineRule="auto"/>
              <w:jc w:val="center"/>
              <w:rPr>
                <w:rFonts w:ascii="宋体" w:hAnsi="宋体" w:cs="仿宋_GB2312"/>
                <w:szCs w:val="21"/>
              </w:rPr>
            </w:pPr>
          </w:p>
        </w:tc>
      </w:tr>
      <w:tr w14:paraId="0005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1F77C68A">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51085561">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47C03B63">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4B313F1">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5510C942">
            <w:pPr>
              <w:spacing w:line="276" w:lineRule="auto"/>
              <w:jc w:val="center"/>
              <w:rPr>
                <w:rFonts w:ascii="宋体" w:hAnsi="宋体" w:cs="仿宋_GB2312"/>
                <w:szCs w:val="21"/>
              </w:rPr>
            </w:pPr>
          </w:p>
        </w:tc>
      </w:tr>
      <w:tr w14:paraId="7526D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B4E5838">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079B5A61">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6DE6EA37">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4EB43BE9">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736B4444">
            <w:pPr>
              <w:spacing w:line="276" w:lineRule="auto"/>
              <w:jc w:val="center"/>
              <w:rPr>
                <w:rFonts w:ascii="宋体" w:hAnsi="宋体" w:cs="仿宋_GB2312"/>
                <w:szCs w:val="21"/>
              </w:rPr>
            </w:pPr>
          </w:p>
        </w:tc>
      </w:tr>
      <w:tr w14:paraId="3758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D232CE4">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797E0A41">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735C6150">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3A0E2416">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4B8B3ABB">
            <w:pPr>
              <w:spacing w:line="276" w:lineRule="auto"/>
              <w:jc w:val="center"/>
              <w:rPr>
                <w:rFonts w:ascii="宋体" w:hAnsi="宋体" w:cs="仿宋_GB2312"/>
                <w:szCs w:val="21"/>
              </w:rPr>
            </w:pPr>
          </w:p>
        </w:tc>
      </w:tr>
      <w:tr w14:paraId="0F70C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A0F2CCC">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63368731">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3DED5105">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44A0E13">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380ABFE7">
            <w:pPr>
              <w:spacing w:line="276" w:lineRule="auto"/>
              <w:jc w:val="center"/>
              <w:rPr>
                <w:rFonts w:ascii="宋体" w:hAnsi="宋体" w:cs="仿宋_GB2312"/>
                <w:szCs w:val="21"/>
              </w:rPr>
            </w:pPr>
          </w:p>
        </w:tc>
      </w:tr>
      <w:tr w14:paraId="0129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3CDA0F4">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32A49F63">
            <w:pPr>
              <w:spacing w:line="276" w:lineRule="auto"/>
              <w:jc w:val="center"/>
              <w:rPr>
                <w:rFonts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14:paraId="70835E6C">
            <w:pPr>
              <w:spacing w:line="276" w:lineRule="auto"/>
              <w:jc w:val="center"/>
              <w:rPr>
                <w:rFonts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7ACA3DAE">
            <w:pPr>
              <w:spacing w:line="276" w:lineRule="auto"/>
              <w:jc w:val="center"/>
              <w:rPr>
                <w:rFonts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14:paraId="3BAD4482">
            <w:pPr>
              <w:spacing w:line="276" w:lineRule="auto"/>
              <w:jc w:val="center"/>
              <w:rPr>
                <w:rFonts w:ascii="宋体" w:hAnsi="宋体" w:cs="仿宋_GB2312"/>
                <w:szCs w:val="21"/>
              </w:rPr>
            </w:pPr>
          </w:p>
        </w:tc>
      </w:tr>
    </w:tbl>
    <w:p w14:paraId="4140CA2A">
      <w:pPr>
        <w:spacing w:line="276" w:lineRule="auto"/>
        <w:ind w:left="955" w:hanging="955" w:hangingChars="455"/>
        <w:jc w:val="left"/>
        <w:rPr>
          <w:rFonts w:ascii="宋体" w:hAnsi="宋体"/>
          <w:b/>
          <w:szCs w:val="21"/>
        </w:rPr>
      </w:pPr>
      <w:r>
        <w:rPr>
          <w:rFonts w:hint="eastAsia" w:ascii="宋体" w:hAnsi="宋体"/>
          <w:szCs w:val="21"/>
        </w:rPr>
        <w:t>说明</w:t>
      </w:r>
      <w:r>
        <w:rPr>
          <w:rFonts w:hint="eastAsia" w:ascii="宋体" w:hAnsi="宋体" w:cs="Corbel"/>
          <w:szCs w:val="21"/>
        </w:rPr>
        <w:t>：1</w:t>
      </w:r>
      <w:r>
        <w:rPr>
          <w:rFonts w:hint="eastAsia" w:ascii="宋体" w:hAnsi="宋体"/>
          <w:szCs w:val="21"/>
        </w:rPr>
        <w:t>．</w:t>
      </w:r>
      <w:r>
        <w:rPr>
          <w:rFonts w:hint="eastAsia" w:ascii="宋体" w:hAnsi="宋体" w:cs="Corbel"/>
          <w:szCs w:val="21"/>
        </w:rPr>
        <w:t>投标人应按招标文件第四章中“资格审查表”逐项说明是否满足要求，如有偏离,投标人应详细说明。</w:t>
      </w:r>
    </w:p>
    <w:p w14:paraId="6D987975">
      <w:pPr>
        <w:spacing w:line="276" w:lineRule="auto"/>
        <w:ind w:left="216"/>
        <w:jc w:val="left"/>
        <w:rPr>
          <w:rFonts w:ascii="宋体" w:hAnsi="宋体"/>
          <w:szCs w:val="21"/>
        </w:rPr>
      </w:pPr>
      <w:r>
        <w:rPr>
          <w:rFonts w:hint="eastAsia" w:ascii="宋体" w:hAnsi="宋体"/>
          <w:szCs w:val="21"/>
        </w:rPr>
        <w:t>2.相关证明材料对应的页码填写到上表“对应页码”中。</w:t>
      </w:r>
    </w:p>
    <w:p w14:paraId="0D787EC2">
      <w:pPr>
        <w:spacing w:line="276" w:lineRule="auto"/>
        <w:ind w:left="216"/>
        <w:jc w:val="left"/>
        <w:rPr>
          <w:rFonts w:ascii="宋体" w:hAnsi="宋体"/>
          <w:szCs w:val="21"/>
        </w:rPr>
      </w:pPr>
      <w:r>
        <w:rPr>
          <w:rFonts w:hint="eastAsia" w:ascii="宋体" w:hAnsi="宋体"/>
          <w:szCs w:val="21"/>
        </w:rPr>
        <w:t>3.</w:t>
      </w:r>
      <w:r>
        <w:rPr>
          <w:rFonts w:hint="eastAsia"/>
        </w:rPr>
        <w:t>未按照要求详细完整填写此表的后果由投标人自行承担</w:t>
      </w:r>
      <w:r>
        <w:rPr>
          <w:rFonts w:hint="eastAsia" w:ascii="宋体" w:hAnsi="宋体"/>
          <w:szCs w:val="21"/>
        </w:rPr>
        <w:t>。</w:t>
      </w:r>
    </w:p>
    <w:p w14:paraId="62A398B0">
      <w:pPr>
        <w:spacing w:before="100" w:beforeAutospacing="1" w:after="100" w:afterAutospacing="1" w:line="276" w:lineRule="auto"/>
        <w:ind w:firstLine="3334" w:firstLineChars="1588"/>
        <w:rPr>
          <w:rFonts w:ascii="宋体" w:hAnsi="宋体"/>
          <w:b/>
          <w:bCs/>
          <w:szCs w:val="21"/>
          <w:lang w:val="zh-CN"/>
        </w:rPr>
      </w:pPr>
    </w:p>
    <w:p w14:paraId="39258B54">
      <w:pPr>
        <w:spacing w:before="100" w:beforeAutospacing="1" w:after="100" w:afterAutospacing="1" w:line="276" w:lineRule="auto"/>
        <w:ind w:firstLine="2902" w:firstLineChars="1382"/>
        <w:jc w:val="right"/>
        <w:rPr>
          <w:rFonts w:hAnsi="宋体"/>
          <w:bCs/>
          <w:szCs w:val="21"/>
          <w:u w:val="single"/>
        </w:rPr>
      </w:pPr>
      <w:r>
        <w:rPr>
          <w:rFonts w:hint="eastAsia" w:hAnsi="宋体"/>
          <w:bCs/>
          <w:szCs w:val="21"/>
        </w:rPr>
        <w:t>投标人名称（公章）：</w:t>
      </w:r>
    </w:p>
    <w:p w14:paraId="705EE4DD">
      <w:pPr>
        <w:spacing w:line="276" w:lineRule="auto"/>
        <w:ind w:firstLine="2940" w:firstLineChars="1400"/>
        <w:jc w:val="right"/>
        <w:rPr>
          <w:szCs w:val="21"/>
        </w:rPr>
      </w:pPr>
      <w:r>
        <w:rPr>
          <w:rFonts w:hint="eastAsia" w:ascii="宋体" w:hAnsi="宋体"/>
          <w:bCs/>
          <w:szCs w:val="21"/>
          <w:lang w:val="zh-CN"/>
        </w:rPr>
        <w:t>日期</w:t>
      </w:r>
      <w:r>
        <w:rPr>
          <w:rFonts w:hint="eastAsia" w:hAnsi="宋体"/>
          <w:bCs/>
          <w:szCs w:val="21"/>
        </w:rPr>
        <w:t xml:space="preserve">： </w:t>
      </w:r>
      <w:r>
        <w:rPr>
          <w:rFonts w:hint="eastAsia" w:ascii="宋体" w:hAnsi="宋体"/>
          <w:szCs w:val="21"/>
        </w:rPr>
        <w:t>年 月 日</w:t>
      </w:r>
    </w:p>
    <w:p w14:paraId="037ED9D7">
      <w:pPr>
        <w:widowControl/>
        <w:jc w:val="left"/>
        <w:rPr>
          <w:kern w:val="0"/>
          <w:szCs w:val="21"/>
        </w:rPr>
      </w:pPr>
      <w:r>
        <w:rPr>
          <w:kern w:val="0"/>
          <w:szCs w:val="21"/>
        </w:rPr>
        <w:br w:type="page"/>
      </w:r>
    </w:p>
    <w:p w14:paraId="3477C1C8">
      <w:pPr>
        <w:spacing w:line="276" w:lineRule="auto"/>
        <w:jc w:val="center"/>
        <w:rPr>
          <w:b/>
          <w:szCs w:val="21"/>
        </w:rPr>
      </w:pPr>
      <w:r>
        <w:rPr>
          <w:rFonts w:hint="eastAsia"/>
          <w:b/>
          <w:szCs w:val="21"/>
        </w:rPr>
        <w:t>符合性审查对照表</w:t>
      </w:r>
    </w:p>
    <w:p w14:paraId="7151E3BB">
      <w:pPr>
        <w:spacing w:line="276" w:lineRule="auto"/>
        <w:jc w:val="left"/>
        <w:rPr>
          <w:rFonts w:hAnsi="宋体"/>
          <w:szCs w:val="21"/>
        </w:rPr>
      </w:pPr>
      <w:r>
        <w:rPr>
          <w:rFonts w:hint="eastAsia" w:hAnsi="宋体"/>
          <w:szCs w:val="21"/>
        </w:rPr>
        <w:t>投标人：</w:t>
      </w:r>
    </w:p>
    <w:p w14:paraId="6D9A611C">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14:paraId="7E98E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14:paraId="568C69D4">
            <w:pPr>
              <w:spacing w:line="276" w:lineRule="auto"/>
              <w:jc w:val="center"/>
              <w:rPr>
                <w:rFonts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14:paraId="63C4D131">
            <w:pPr>
              <w:spacing w:line="276" w:lineRule="auto"/>
              <w:jc w:val="center"/>
              <w:rPr>
                <w:rFonts w:ascii="宋体" w:hAnsi="宋体" w:cs="仿宋_GB2312"/>
                <w:szCs w:val="21"/>
              </w:rPr>
            </w:pPr>
            <w:r>
              <w:rPr>
                <w:rFonts w:hint="eastAsia" w:ascii="宋体" w:hAnsi="宋体" w:cs="Corbel"/>
                <w:szCs w:val="21"/>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14:paraId="109A2337">
            <w:pPr>
              <w:spacing w:line="276" w:lineRule="auto"/>
              <w:jc w:val="center"/>
              <w:rPr>
                <w:rFonts w:ascii="宋体" w:hAnsi="宋体" w:cs="仿宋_GB2312"/>
                <w:szCs w:val="21"/>
              </w:rPr>
            </w:pPr>
            <w:r>
              <w:rPr>
                <w:rFonts w:hint="eastAsia" w:ascii="宋体" w:hAnsi="宋体" w:cs="仿宋_GB2312"/>
                <w:szCs w:val="21"/>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14:paraId="0445A35D">
            <w:pPr>
              <w:spacing w:line="276" w:lineRule="auto"/>
              <w:jc w:val="center"/>
              <w:rPr>
                <w:rFonts w:ascii="宋体" w:hAnsi="宋体" w:cs="仿宋_GB2312"/>
                <w:szCs w:val="21"/>
              </w:rPr>
            </w:pPr>
            <w:r>
              <w:rPr>
                <w:rFonts w:hint="eastAsia" w:ascii="宋体" w:hAnsi="宋体" w:cs="仿宋_GB2312"/>
                <w:szCs w:val="21"/>
              </w:rPr>
              <w:t>偏离说明</w:t>
            </w:r>
          </w:p>
        </w:tc>
      </w:tr>
      <w:tr w14:paraId="4211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B7B112C">
            <w:pPr>
              <w:spacing w:line="276" w:lineRule="auto"/>
              <w:jc w:val="center"/>
              <w:rPr>
                <w:rFonts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14:paraId="4B4EA02C">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2639400">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1317992">
            <w:pPr>
              <w:spacing w:line="276" w:lineRule="auto"/>
              <w:jc w:val="center"/>
              <w:rPr>
                <w:rFonts w:ascii="宋体" w:hAnsi="宋体" w:cs="仿宋_GB2312"/>
                <w:szCs w:val="21"/>
              </w:rPr>
            </w:pPr>
          </w:p>
        </w:tc>
      </w:tr>
      <w:tr w14:paraId="1B64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409A029A">
            <w:pPr>
              <w:spacing w:line="276" w:lineRule="auto"/>
              <w:jc w:val="center"/>
              <w:rPr>
                <w:rFonts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14:paraId="6F62A6A8">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36A07DA2">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46007A68">
            <w:pPr>
              <w:spacing w:line="276" w:lineRule="auto"/>
              <w:jc w:val="center"/>
              <w:rPr>
                <w:rFonts w:ascii="宋体" w:hAnsi="宋体" w:cs="仿宋_GB2312"/>
                <w:szCs w:val="21"/>
              </w:rPr>
            </w:pPr>
          </w:p>
        </w:tc>
      </w:tr>
      <w:tr w14:paraId="759E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1DAF428">
            <w:pPr>
              <w:spacing w:line="276" w:lineRule="auto"/>
              <w:jc w:val="center"/>
              <w:rPr>
                <w:rFonts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14:paraId="47D54AB1">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5C9F4FED">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6CA2FF4">
            <w:pPr>
              <w:spacing w:line="276" w:lineRule="auto"/>
              <w:jc w:val="center"/>
              <w:rPr>
                <w:rFonts w:ascii="宋体" w:hAnsi="宋体" w:cs="仿宋_GB2312"/>
                <w:szCs w:val="21"/>
              </w:rPr>
            </w:pPr>
          </w:p>
        </w:tc>
      </w:tr>
      <w:tr w14:paraId="7EDC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61EC480B">
            <w:pPr>
              <w:spacing w:line="276" w:lineRule="auto"/>
              <w:jc w:val="center"/>
              <w:rPr>
                <w:rFonts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14:paraId="4094C44F">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63BDD46">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61A48059">
            <w:pPr>
              <w:spacing w:line="276" w:lineRule="auto"/>
              <w:jc w:val="center"/>
              <w:rPr>
                <w:rFonts w:ascii="宋体" w:hAnsi="宋体" w:cs="仿宋_GB2312"/>
                <w:szCs w:val="21"/>
              </w:rPr>
            </w:pPr>
          </w:p>
        </w:tc>
      </w:tr>
      <w:tr w14:paraId="5802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5B81EA0">
            <w:pPr>
              <w:spacing w:line="276" w:lineRule="auto"/>
              <w:jc w:val="center"/>
              <w:rPr>
                <w:rFonts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14:paraId="337BCEA5">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FB366C9">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107AF481">
            <w:pPr>
              <w:spacing w:line="276" w:lineRule="auto"/>
              <w:jc w:val="center"/>
              <w:rPr>
                <w:rFonts w:ascii="宋体" w:hAnsi="宋体" w:cs="仿宋_GB2312"/>
                <w:szCs w:val="21"/>
              </w:rPr>
            </w:pPr>
          </w:p>
        </w:tc>
      </w:tr>
      <w:tr w14:paraId="411F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7B3E0464">
            <w:pPr>
              <w:spacing w:line="276" w:lineRule="auto"/>
              <w:jc w:val="center"/>
              <w:rPr>
                <w:rFonts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14:paraId="153B7C39">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6194EFB">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3F7B678">
            <w:pPr>
              <w:spacing w:line="276" w:lineRule="auto"/>
              <w:jc w:val="center"/>
              <w:rPr>
                <w:rFonts w:ascii="宋体" w:hAnsi="宋体" w:cs="仿宋_GB2312"/>
                <w:szCs w:val="21"/>
              </w:rPr>
            </w:pPr>
          </w:p>
        </w:tc>
      </w:tr>
      <w:tr w14:paraId="2DC5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14:paraId="02717380">
            <w:pPr>
              <w:spacing w:line="276" w:lineRule="auto"/>
              <w:jc w:val="center"/>
              <w:rPr>
                <w:rFonts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14:paraId="55689FAF">
            <w:pPr>
              <w:spacing w:line="276" w:lineRule="auto"/>
              <w:jc w:val="center"/>
              <w:rPr>
                <w:rFonts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14:paraId="29C2E088">
            <w:pPr>
              <w:spacing w:line="276" w:lineRule="auto"/>
              <w:jc w:val="center"/>
              <w:rPr>
                <w:rFonts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14:paraId="342C97BA">
            <w:pPr>
              <w:spacing w:line="276" w:lineRule="auto"/>
              <w:jc w:val="center"/>
              <w:rPr>
                <w:rFonts w:ascii="宋体" w:hAnsi="宋体" w:cs="仿宋_GB2312"/>
                <w:szCs w:val="21"/>
              </w:rPr>
            </w:pPr>
          </w:p>
        </w:tc>
      </w:tr>
    </w:tbl>
    <w:p w14:paraId="0B8B837B">
      <w:pPr>
        <w:spacing w:line="276" w:lineRule="auto"/>
        <w:ind w:left="952" w:leftChars="135" w:hanging="669" w:hangingChars="319"/>
        <w:jc w:val="left"/>
        <w:rPr>
          <w:rFonts w:ascii="宋体" w:hAnsi="宋体"/>
          <w:szCs w:val="21"/>
        </w:rPr>
      </w:pPr>
      <w:r>
        <w:rPr>
          <w:rFonts w:hint="eastAsia" w:ascii="宋体" w:hAnsi="宋体"/>
          <w:szCs w:val="21"/>
        </w:rPr>
        <w:t>说明</w:t>
      </w:r>
      <w:r>
        <w:rPr>
          <w:rFonts w:hint="eastAsia" w:ascii="宋体" w:hAnsi="宋体" w:cs="Corbel"/>
          <w:szCs w:val="21"/>
        </w:rPr>
        <w:t>：投标人应按招标文件第五章中“符合性审查表”逐项说明是否满足要求，如有偏离,投标人应详细说明。未按照要求详细完整填写此表</w:t>
      </w:r>
      <w:r>
        <w:rPr>
          <w:rFonts w:hint="eastAsia" w:ascii="宋体" w:hAnsi="宋体"/>
          <w:szCs w:val="21"/>
        </w:rPr>
        <w:t>的后果由投标人自行承担。</w:t>
      </w:r>
    </w:p>
    <w:p w14:paraId="023FC24E">
      <w:pPr>
        <w:spacing w:line="276" w:lineRule="auto"/>
        <w:ind w:left="1017" w:leftChars="339" w:hanging="306" w:hangingChars="146"/>
        <w:jc w:val="left"/>
        <w:rPr>
          <w:rFonts w:ascii="宋体" w:hAnsi="宋体"/>
          <w:b/>
          <w:szCs w:val="21"/>
        </w:rPr>
      </w:pPr>
    </w:p>
    <w:p w14:paraId="630DDBC9">
      <w:pPr>
        <w:spacing w:line="276" w:lineRule="auto"/>
        <w:ind w:left="959" w:hanging="955" w:hangingChars="455"/>
        <w:jc w:val="left"/>
        <w:rPr>
          <w:rFonts w:ascii="宋体" w:hAnsi="宋体"/>
          <w:b/>
          <w:szCs w:val="21"/>
        </w:rPr>
      </w:pPr>
    </w:p>
    <w:p w14:paraId="25B5A9BB">
      <w:pPr>
        <w:spacing w:before="100" w:beforeAutospacing="1" w:after="100" w:afterAutospacing="1" w:line="276" w:lineRule="auto"/>
        <w:ind w:firstLine="3334" w:firstLineChars="1588"/>
        <w:rPr>
          <w:rFonts w:ascii="宋体" w:hAnsi="宋体"/>
          <w:b/>
          <w:bCs/>
          <w:szCs w:val="21"/>
          <w:lang w:val="zh-CN"/>
        </w:rPr>
      </w:pPr>
    </w:p>
    <w:p w14:paraId="453D3124">
      <w:pPr>
        <w:spacing w:before="100" w:beforeAutospacing="1" w:after="100" w:afterAutospacing="1" w:line="276" w:lineRule="auto"/>
        <w:ind w:firstLine="2902" w:firstLineChars="1382"/>
        <w:jc w:val="right"/>
        <w:rPr>
          <w:rFonts w:hAnsi="宋体"/>
          <w:bCs/>
          <w:szCs w:val="21"/>
          <w:u w:val="single"/>
        </w:rPr>
      </w:pPr>
      <w:r>
        <w:rPr>
          <w:rFonts w:hint="eastAsia" w:hAnsi="宋体"/>
          <w:bCs/>
          <w:szCs w:val="21"/>
        </w:rPr>
        <w:t>投标人名称（公章）：</w:t>
      </w:r>
    </w:p>
    <w:p w14:paraId="5793137C">
      <w:pPr>
        <w:spacing w:line="276" w:lineRule="auto"/>
        <w:ind w:firstLine="2940" w:firstLineChars="1400"/>
        <w:jc w:val="right"/>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405F5AFB">
      <w:pPr>
        <w:ind w:firstLine="420"/>
        <w:rPr>
          <w:kern w:val="0"/>
          <w:szCs w:val="21"/>
        </w:rPr>
      </w:pPr>
      <w:r>
        <w:rPr>
          <w:kern w:val="0"/>
          <w:szCs w:val="21"/>
        </w:rPr>
        <w:br w:type="page"/>
      </w:r>
    </w:p>
    <w:p w14:paraId="25322E58">
      <w:pPr>
        <w:spacing w:line="276" w:lineRule="auto"/>
        <w:jc w:val="center"/>
        <w:rPr>
          <w:b/>
          <w:szCs w:val="21"/>
        </w:rPr>
      </w:pPr>
      <w:r>
        <w:rPr>
          <w:rFonts w:hint="eastAsia"/>
          <w:b/>
          <w:szCs w:val="21"/>
        </w:rPr>
        <w:t>技术、服务及商务评议对照表</w:t>
      </w:r>
    </w:p>
    <w:p w14:paraId="1128B3AC">
      <w:pPr>
        <w:spacing w:line="276" w:lineRule="auto"/>
        <w:jc w:val="left"/>
        <w:rPr>
          <w:rFonts w:hAnsi="宋体"/>
          <w:szCs w:val="21"/>
        </w:rPr>
      </w:pPr>
      <w:r>
        <w:rPr>
          <w:rFonts w:hint="eastAsia" w:hAnsi="宋体"/>
          <w:szCs w:val="21"/>
        </w:rPr>
        <w:t>投标人：</w:t>
      </w:r>
    </w:p>
    <w:p w14:paraId="61818ED2">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14:paraId="640D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14:paraId="4250F71D">
            <w:pPr>
              <w:spacing w:line="276" w:lineRule="auto"/>
              <w:jc w:val="center"/>
              <w:rPr>
                <w:rFonts w:ascii="宋体" w:hAnsi="宋体" w:cs="仿宋_GB2312"/>
                <w:szCs w:val="21"/>
              </w:rPr>
            </w:pPr>
            <w:r>
              <w:rPr>
                <w:rFonts w:hint="eastAsia" w:ascii="宋体" w:hAnsi="宋体" w:cs="仿宋_GB2312"/>
                <w:szCs w:val="21"/>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14:paraId="3724F1CC">
            <w:pPr>
              <w:spacing w:line="276" w:lineRule="auto"/>
              <w:jc w:val="center"/>
              <w:rPr>
                <w:rFonts w:ascii="宋体" w:hAnsi="宋体" w:cs="仿宋_GB2312"/>
                <w:szCs w:val="21"/>
              </w:rPr>
            </w:pPr>
            <w:r>
              <w:rPr>
                <w:rFonts w:hint="eastAsia" w:ascii="宋体" w:hAnsi="宋体" w:cs="仿宋_GB2312"/>
                <w:szCs w:val="21"/>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14:paraId="1F5CE5EB">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14:paraId="49ED34CC">
            <w:pPr>
              <w:spacing w:line="276" w:lineRule="auto"/>
              <w:jc w:val="center"/>
              <w:rPr>
                <w:rFonts w:ascii="宋体" w:hAnsi="宋体" w:cs="仿宋_GB2312"/>
                <w:szCs w:val="21"/>
              </w:rPr>
            </w:pPr>
            <w:r>
              <w:rPr>
                <w:rFonts w:hint="eastAsia" w:ascii="宋体" w:hAnsi="宋体" w:cs="仿宋_GB2312"/>
                <w:szCs w:val="21"/>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14:paraId="2C0F5A71">
            <w:pPr>
              <w:spacing w:line="276" w:lineRule="auto"/>
              <w:jc w:val="center"/>
              <w:rPr>
                <w:rFonts w:ascii="宋体" w:hAnsi="宋体" w:cs="仿宋_GB2312"/>
                <w:szCs w:val="21"/>
              </w:rPr>
            </w:pPr>
            <w:r>
              <w:rPr>
                <w:rFonts w:hint="eastAsia" w:ascii="宋体" w:hAnsi="宋体" w:cs="仿宋_GB2312"/>
                <w:szCs w:val="21"/>
              </w:rPr>
              <w:t>对应</w:t>
            </w:r>
            <w:r>
              <w:rPr>
                <w:rFonts w:ascii="宋体" w:hAnsi="宋体" w:cs="仿宋_GB2312"/>
                <w:szCs w:val="21"/>
              </w:rPr>
              <w:t>页码</w:t>
            </w:r>
          </w:p>
        </w:tc>
      </w:tr>
      <w:tr w14:paraId="21F0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6FAFA25B">
            <w:pPr>
              <w:spacing w:line="276" w:lineRule="auto"/>
              <w:jc w:val="center"/>
              <w:rPr>
                <w:rFonts w:ascii="宋体" w:hAnsi="宋体" w:cs="仿宋_GB2312"/>
                <w:szCs w:val="21"/>
              </w:rPr>
            </w:pPr>
            <w:r>
              <w:rPr>
                <w:rFonts w:hint="eastAsia" w:ascii="宋体" w:hAnsi="宋体" w:cs="仿宋_GB2312"/>
                <w:szCs w:val="21"/>
              </w:rPr>
              <w:t>1</w:t>
            </w:r>
          </w:p>
        </w:tc>
        <w:tc>
          <w:tcPr>
            <w:tcW w:w="2767" w:type="dxa"/>
            <w:tcBorders>
              <w:top w:val="single" w:color="auto" w:sz="4" w:space="0"/>
              <w:left w:val="single" w:color="auto" w:sz="4" w:space="0"/>
              <w:bottom w:val="single" w:color="auto" w:sz="4" w:space="0"/>
              <w:right w:val="single" w:color="auto" w:sz="4" w:space="0"/>
            </w:tcBorders>
            <w:vAlign w:val="center"/>
          </w:tcPr>
          <w:p w14:paraId="3FF47FBC">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21D520BF">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085603E0">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66DF5C99">
            <w:pPr>
              <w:spacing w:line="276" w:lineRule="auto"/>
              <w:jc w:val="center"/>
              <w:rPr>
                <w:rFonts w:ascii="宋体" w:hAnsi="宋体" w:cs="仿宋_GB2312"/>
                <w:szCs w:val="21"/>
              </w:rPr>
            </w:pPr>
          </w:p>
        </w:tc>
      </w:tr>
      <w:tr w14:paraId="7D37B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A69BFF2">
            <w:pPr>
              <w:spacing w:line="276" w:lineRule="auto"/>
              <w:jc w:val="center"/>
              <w:rPr>
                <w:rFonts w:ascii="宋体" w:hAnsi="宋体" w:cs="仿宋_GB2312"/>
                <w:szCs w:val="21"/>
              </w:rPr>
            </w:pPr>
            <w:r>
              <w:rPr>
                <w:rFonts w:hint="eastAsia" w:ascii="宋体" w:hAnsi="宋体" w:cs="仿宋_GB2312"/>
                <w:szCs w:val="21"/>
              </w:rPr>
              <w:t>2</w:t>
            </w:r>
          </w:p>
        </w:tc>
        <w:tc>
          <w:tcPr>
            <w:tcW w:w="2767" w:type="dxa"/>
            <w:tcBorders>
              <w:top w:val="single" w:color="auto" w:sz="4" w:space="0"/>
              <w:left w:val="single" w:color="auto" w:sz="4" w:space="0"/>
              <w:bottom w:val="single" w:color="auto" w:sz="4" w:space="0"/>
              <w:right w:val="single" w:color="auto" w:sz="4" w:space="0"/>
            </w:tcBorders>
            <w:vAlign w:val="center"/>
          </w:tcPr>
          <w:p w14:paraId="65F578E2">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152B6B5E">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3DC2B2E4">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7155A214">
            <w:pPr>
              <w:spacing w:line="276" w:lineRule="auto"/>
              <w:jc w:val="center"/>
              <w:rPr>
                <w:rFonts w:ascii="宋体" w:hAnsi="宋体" w:cs="仿宋_GB2312"/>
                <w:szCs w:val="21"/>
              </w:rPr>
            </w:pPr>
          </w:p>
        </w:tc>
      </w:tr>
      <w:tr w14:paraId="2482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5E6E72A7">
            <w:pPr>
              <w:spacing w:line="276" w:lineRule="auto"/>
              <w:jc w:val="center"/>
              <w:rPr>
                <w:rFonts w:ascii="宋体" w:hAnsi="宋体" w:cs="仿宋_GB2312"/>
                <w:szCs w:val="21"/>
              </w:rPr>
            </w:pPr>
            <w:r>
              <w:rPr>
                <w:rFonts w:hint="eastAsia" w:ascii="宋体" w:hAnsi="宋体" w:cs="仿宋_GB2312"/>
                <w:szCs w:val="21"/>
              </w:rPr>
              <w:t>3</w:t>
            </w:r>
          </w:p>
        </w:tc>
        <w:tc>
          <w:tcPr>
            <w:tcW w:w="2767" w:type="dxa"/>
            <w:tcBorders>
              <w:top w:val="single" w:color="auto" w:sz="4" w:space="0"/>
              <w:left w:val="single" w:color="auto" w:sz="4" w:space="0"/>
              <w:bottom w:val="single" w:color="auto" w:sz="4" w:space="0"/>
              <w:right w:val="single" w:color="auto" w:sz="4" w:space="0"/>
            </w:tcBorders>
            <w:vAlign w:val="center"/>
          </w:tcPr>
          <w:p w14:paraId="4E315AB1">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567112F7">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4AF15F54">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28E2EBF0">
            <w:pPr>
              <w:spacing w:line="276" w:lineRule="auto"/>
              <w:jc w:val="center"/>
              <w:rPr>
                <w:rFonts w:ascii="宋体" w:hAnsi="宋体" w:cs="仿宋_GB2312"/>
                <w:szCs w:val="21"/>
              </w:rPr>
            </w:pPr>
          </w:p>
        </w:tc>
      </w:tr>
      <w:tr w14:paraId="7A89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059DB26">
            <w:pPr>
              <w:spacing w:line="276" w:lineRule="auto"/>
              <w:jc w:val="center"/>
              <w:rPr>
                <w:rFonts w:ascii="宋体" w:hAnsi="宋体" w:cs="仿宋_GB2312"/>
                <w:szCs w:val="21"/>
              </w:rPr>
            </w:pPr>
            <w:r>
              <w:rPr>
                <w:rFonts w:hint="eastAsia" w:ascii="宋体" w:hAnsi="宋体" w:cs="仿宋_GB2312"/>
                <w:szCs w:val="21"/>
              </w:rPr>
              <w:t>4</w:t>
            </w:r>
          </w:p>
        </w:tc>
        <w:tc>
          <w:tcPr>
            <w:tcW w:w="2767" w:type="dxa"/>
            <w:tcBorders>
              <w:top w:val="single" w:color="auto" w:sz="4" w:space="0"/>
              <w:left w:val="single" w:color="auto" w:sz="4" w:space="0"/>
              <w:bottom w:val="single" w:color="auto" w:sz="4" w:space="0"/>
              <w:right w:val="single" w:color="auto" w:sz="4" w:space="0"/>
            </w:tcBorders>
            <w:vAlign w:val="center"/>
          </w:tcPr>
          <w:p w14:paraId="0239104F">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62334F75">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657C3483">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68F783D8">
            <w:pPr>
              <w:spacing w:line="276" w:lineRule="auto"/>
              <w:jc w:val="center"/>
              <w:rPr>
                <w:rFonts w:ascii="宋体" w:hAnsi="宋体" w:cs="仿宋_GB2312"/>
                <w:szCs w:val="21"/>
              </w:rPr>
            </w:pPr>
          </w:p>
        </w:tc>
      </w:tr>
      <w:tr w14:paraId="2811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1441B71B">
            <w:pPr>
              <w:spacing w:line="276" w:lineRule="auto"/>
              <w:jc w:val="center"/>
              <w:rPr>
                <w:rFonts w:ascii="宋体" w:hAnsi="宋体" w:cs="仿宋_GB2312"/>
                <w:szCs w:val="21"/>
              </w:rPr>
            </w:pPr>
            <w:r>
              <w:rPr>
                <w:rFonts w:hint="eastAsia" w:ascii="宋体" w:hAnsi="宋体" w:cs="仿宋_GB2312"/>
                <w:szCs w:val="21"/>
              </w:rPr>
              <w:t>5</w:t>
            </w:r>
          </w:p>
        </w:tc>
        <w:tc>
          <w:tcPr>
            <w:tcW w:w="2767" w:type="dxa"/>
            <w:tcBorders>
              <w:top w:val="single" w:color="auto" w:sz="4" w:space="0"/>
              <w:left w:val="single" w:color="auto" w:sz="4" w:space="0"/>
              <w:bottom w:val="single" w:color="auto" w:sz="4" w:space="0"/>
              <w:right w:val="single" w:color="auto" w:sz="4" w:space="0"/>
            </w:tcBorders>
            <w:vAlign w:val="center"/>
          </w:tcPr>
          <w:p w14:paraId="381A4B5E">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63CA36B4">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5FA18443">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525BD542">
            <w:pPr>
              <w:spacing w:line="276" w:lineRule="auto"/>
              <w:jc w:val="center"/>
              <w:rPr>
                <w:rFonts w:ascii="宋体" w:hAnsi="宋体" w:cs="仿宋_GB2312"/>
                <w:szCs w:val="21"/>
              </w:rPr>
            </w:pPr>
          </w:p>
        </w:tc>
      </w:tr>
      <w:tr w14:paraId="78CB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2231D42">
            <w:pPr>
              <w:spacing w:line="276" w:lineRule="auto"/>
              <w:jc w:val="center"/>
              <w:rPr>
                <w:rFonts w:ascii="宋体" w:hAnsi="宋体" w:cs="仿宋_GB2312"/>
                <w:szCs w:val="21"/>
              </w:rPr>
            </w:pPr>
            <w:r>
              <w:rPr>
                <w:rFonts w:hint="eastAsia" w:ascii="宋体" w:hAnsi="宋体" w:cs="仿宋_GB2312"/>
                <w:szCs w:val="21"/>
              </w:rPr>
              <w:t>6</w:t>
            </w:r>
          </w:p>
        </w:tc>
        <w:tc>
          <w:tcPr>
            <w:tcW w:w="2767" w:type="dxa"/>
            <w:tcBorders>
              <w:top w:val="single" w:color="auto" w:sz="4" w:space="0"/>
              <w:left w:val="single" w:color="auto" w:sz="4" w:space="0"/>
              <w:bottom w:val="single" w:color="auto" w:sz="4" w:space="0"/>
              <w:right w:val="single" w:color="auto" w:sz="4" w:space="0"/>
            </w:tcBorders>
            <w:vAlign w:val="center"/>
          </w:tcPr>
          <w:p w14:paraId="08262C98">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3B897EDD">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24D4AE3E">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0E2D3EB8">
            <w:pPr>
              <w:spacing w:line="276" w:lineRule="auto"/>
              <w:jc w:val="center"/>
              <w:rPr>
                <w:rFonts w:ascii="宋体" w:hAnsi="宋体" w:cs="仿宋_GB2312"/>
                <w:szCs w:val="21"/>
              </w:rPr>
            </w:pPr>
          </w:p>
        </w:tc>
      </w:tr>
      <w:tr w14:paraId="6473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14:paraId="3C0B873D">
            <w:pPr>
              <w:spacing w:line="276" w:lineRule="auto"/>
              <w:jc w:val="center"/>
              <w:rPr>
                <w:rFonts w:ascii="宋体" w:hAnsi="宋体" w:cs="仿宋_GB2312"/>
                <w:szCs w:val="21"/>
              </w:rPr>
            </w:pPr>
            <w:r>
              <w:rPr>
                <w:rFonts w:hint="eastAsia" w:ascii="宋体" w:hAnsi="宋体" w:cs="仿宋_GB2312"/>
                <w:szCs w:val="21"/>
              </w:rPr>
              <w:t>…</w:t>
            </w:r>
          </w:p>
        </w:tc>
        <w:tc>
          <w:tcPr>
            <w:tcW w:w="2767" w:type="dxa"/>
            <w:tcBorders>
              <w:top w:val="single" w:color="auto" w:sz="4" w:space="0"/>
              <w:left w:val="single" w:color="auto" w:sz="4" w:space="0"/>
              <w:bottom w:val="single" w:color="auto" w:sz="4" w:space="0"/>
              <w:right w:val="single" w:color="auto" w:sz="4" w:space="0"/>
            </w:tcBorders>
            <w:vAlign w:val="center"/>
          </w:tcPr>
          <w:p w14:paraId="21500C99">
            <w:pPr>
              <w:spacing w:line="276" w:lineRule="auto"/>
              <w:jc w:val="center"/>
              <w:rPr>
                <w:rFonts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14:paraId="17001078">
            <w:pPr>
              <w:spacing w:line="276" w:lineRule="auto"/>
              <w:jc w:val="center"/>
              <w:rPr>
                <w:rFonts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14:paraId="7884789F">
            <w:pPr>
              <w:spacing w:line="276" w:lineRule="auto"/>
              <w:jc w:val="center"/>
              <w:rPr>
                <w:rFonts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14:paraId="0D147256">
            <w:pPr>
              <w:spacing w:line="276" w:lineRule="auto"/>
              <w:jc w:val="center"/>
              <w:rPr>
                <w:rFonts w:ascii="宋体" w:hAnsi="宋体" w:cs="仿宋_GB2312"/>
                <w:szCs w:val="21"/>
              </w:rPr>
            </w:pPr>
          </w:p>
        </w:tc>
      </w:tr>
    </w:tbl>
    <w:p w14:paraId="2C3CD584">
      <w:pPr>
        <w:spacing w:line="276" w:lineRule="auto"/>
        <w:ind w:left="955" w:hanging="955" w:hangingChars="455"/>
        <w:jc w:val="left"/>
        <w:rPr>
          <w:rFonts w:ascii="宋体" w:hAnsi="宋体"/>
          <w:szCs w:val="21"/>
        </w:rPr>
      </w:pPr>
      <w:r>
        <w:rPr>
          <w:rFonts w:hint="eastAsia" w:ascii="宋体" w:hAnsi="宋体"/>
          <w:szCs w:val="21"/>
        </w:rPr>
        <w:t>说明</w:t>
      </w:r>
      <w:r>
        <w:rPr>
          <w:rFonts w:hint="eastAsia" w:ascii="宋体" w:hAnsi="宋体" w:cs="Corbel"/>
          <w:szCs w:val="21"/>
        </w:rPr>
        <w:t>：1．投标人应按招标文件第五章中“评审因素及评分标准”条款逐项说明是否满足要求，如有偏离,投标人应详细说明。未按照要求填写此表或仅注明“符合”、“满足”的，</w:t>
      </w:r>
      <w:r>
        <w:rPr>
          <w:rFonts w:hint="eastAsia" w:ascii="宋体" w:hAnsi="宋体"/>
          <w:szCs w:val="21"/>
        </w:rPr>
        <w:t>导致的后果由投标人自行承担。</w:t>
      </w:r>
    </w:p>
    <w:p w14:paraId="34D7F0A9">
      <w:pPr>
        <w:spacing w:line="276" w:lineRule="auto"/>
        <w:jc w:val="left"/>
        <w:rPr>
          <w:rFonts w:ascii="宋体" w:hAnsi="宋体"/>
          <w:szCs w:val="21"/>
        </w:rPr>
      </w:pPr>
      <w:r>
        <w:rPr>
          <w:rFonts w:hint="eastAsia" w:ascii="宋体" w:hAnsi="宋体"/>
          <w:szCs w:val="21"/>
        </w:rPr>
        <w:t xml:space="preserve">      2. 相关证明材料对应的页码填写到上表“对应页码”中。</w:t>
      </w:r>
    </w:p>
    <w:p w14:paraId="5B3856B7">
      <w:pPr>
        <w:adjustRightInd w:val="0"/>
        <w:snapToGrid w:val="0"/>
        <w:spacing w:line="276" w:lineRule="auto"/>
        <w:ind w:left="751" w:leftChars="258" w:hanging="210" w:hangingChars="100"/>
        <w:rPr>
          <w:rFonts w:ascii="宋体" w:hAnsi="宋体" w:cs="Corbel"/>
          <w:szCs w:val="21"/>
        </w:rPr>
      </w:pPr>
    </w:p>
    <w:p w14:paraId="1B6383B9">
      <w:pPr>
        <w:adjustRightInd w:val="0"/>
        <w:snapToGrid w:val="0"/>
        <w:spacing w:line="276" w:lineRule="auto"/>
        <w:ind w:left="751" w:leftChars="258" w:hanging="210" w:hangingChars="100"/>
        <w:rPr>
          <w:rFonts w:ascii="宋体" w:hAnsi="宋体" w:cs="Corbel"/>
          <w:szCs w:val="21"/>
        </w:rPr>
      </w:pPr>
    </w:p>
    <w:p w14:paraId="53C1107F">
      <w:pPr>
        <w:spacing w:before="100" w:beforeAutospacing="1" w:after="100" w:afterAutospacing="1" w:line="276" w:lineRule="auto"/>
        <w:ind w:firstLine="2902" w:firstLineChars="1382"/>
        <w:jc w:val="right"/>
        <w:rPr>
          <w:rFonts w:hAnsi="宋体"/>
          <w:bCs/>
          <w:szCs w:val="21"/>
          <w:u w:val="single"/>
        </w:rPr>
      </w:pPr>
      <w:r>
        <w:rPr>
          <w:rFonts w:hint="eastAsia" w:hAnsi="宋体"/>
          <w:bCs/>
          <w:szCs w:val="21"/>
        </w:rPr>
        <w:t>投标人名称（公章）：</w:t>
      </w:r>
    </w:p>
    <w:p w14:paraId="30A2AC22">
      <w:pPr>
        <w:spacing w:before="100" w:beforeAutospacing="1" w:after="100" w:afterAutospacing="1" w:line="276" w:lineRule="auto"/>
        <w:ind w:firstLine="2902" w:firstLineChars="1382"/>
        <w:jc w:val="right"/>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年月日</w:t>
      </w:r>
    </w:p>
    <w:p w14:paraId="6BB25F94">
      <w:pPr>
        <w:rPr>
          <w:rFonts w:ascii="宋体" w:hAnsi="宋体"/>
          <w:szCs w:val="21"/>
        </w:rPr>
      </w:pPr>
    </w:p>
    <w:p w14:paraId="350998B1">
      <w:pPr>
        <w:widowControl/>
        <w:jc w:val="left"/>
        <w:rPr>
          <w:rFonts w:ascii="宋体" w:hAnsi="宋体" w:cs="Courier New"/>
          <w:color w:val="0D0D0D"/>
          <w:szCs w:val="21"/>
        </w:rPr>
      </w:pPr>
    </w:p>
    <w:p w14:paraId="4C3395BE">
      <w:pPr>
        <w:widowControl/>
        <w:jc w:val="left"/>
        <w:rPr>
          <w:rFonts w:ascii="宋体" w:hAnsi="宋体" w:cs="Courier New"/>
          <w:color w:val="0D0D0D"/>
          <w:szCs w:val="21"/>
        </w:rPr>
      </w:pPr>
    </w:p>
    <w:p w14:paraId="720472E3">
      <w:pPr>
        <w:widowControl/>
        <w:jc w:val="left"/>
        <w:rPr>
          <w:rFonts w:ascii="宋体" w:hAnsi="宋体" w:cs="Courier New"/>
          <w:color w:val="0D0D0D"/>
          <w:szCs w:val="21"/>
        </w:rPr>
      </w:pPr>
      <w:r>
        <w:rPr>
          <w:rFonts w:ascii="宋体" w:hAnsi="宋体" w:cs="Courier New"/>
          <w:color w:val="0D0D0D"/>
          <w:szCs w:val="21"/>
        </w:rPr>
        <w:br w:type="page"/>
      </w:r>
    </w:p>
    <w:p w14:paraId="2FB858A4">
      <w:pPr>
        <w:widowControl/>
        <w:jc w:val="center"/>
        <w:rPr>
          <w:rFonts w:ascii="宋体" w:hAnsi="宋体"/>
          <w:b/>
          <w:szCs w:val="21"/>
        </w:rPr>
      </w:pPr>
      <w:r>
        <w:rPr>
          <w:rFonts w:hint="eastAsia" w:ascii="宋体" w:hAnsi="宋体" w:cs="Courier New"/>
          <w:b/>
          <w:color w:val="0D0D0D"/>
          <w:szCs w:val="21"/>
        </w:rPr>
        <w:t>技术、</w:t>
      </w:r>
      <w:r>
        <w:rPr>
          <w:rFonts w:hint="eastAsia" w:ascii="宋体" w:hAnsi="宋体"/>
          <w:b/>
          <w:szCs w:val="21"/>
        </w:rPr>
        <w:t>服务及商务要求响应、偏离说明表</w:t>
      </w:r>
    </w:p>
    <w:p w14:paraId="4E2D4DE4">
      <w:pPr>
        <w:spacing w:line="276" w:lineRule="auto"/>
        <w:ind w:left="420"/>
        <w:jc w:val="left"/>
        <w:rPr>
          <w:rFonts w:hAnsi="宋体"/>
          <w:szCs w:val="21"/>
        </w:rPr>
      </w:pPr>
    </w:p>
    <w:p w14:paraId="3B11F427">
      <w:pPr>
        <w:spacing w:line="276" w:lineRule="auto"/>
        <w:ind w:left="420"/>
        <w:jc w:val="left"/>
        <w:rPr>
          <w:rFonts w:hAnsi="宋体"/>
          <w:szCs w:val="21"/>
        </w:rPr>
      </w:pPr>
      <w:r>
        <w:rPr>
          <w:rFonts w:hint="eastAsia" w:hAnsi="宋体"/>
          <w:szCs w:val="21"/>
        </w:rPr>
        <w:t>投标人：</w:t>
      </w:r>
    </w:p>
    <w:p w14:paraId="3AD04B38">
      <w:pPr>
        <w:spacing w:line="276" w:lineRule="auto"/>
        <w:ind w:left="420"/>
        <w:jc w:val="left"/>
        <w:rPr>
          <w:rFonts w:hAnsi="宋体"/>
          <w:b/>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14:paraId="3D22C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14:paraId="63E26F05">
            <w:pPr>
              <w:spacing w:line="276" w:lineRule="auto"/>
              <w:jc w:val="center"/>
              <w:rPr>
                <w:rFonts w:ascii="宋体" w:hAnsi="宋体" w:cs="仿宋_GB2312"/>
                <w:szCs w:val="21"/>
              </w:rPr>
            </w:pPr>
            <w:r>
              <w:rPr>
                <w:rFonts w:hint="eastAsia" w:ascii="宋体" w:hAnsi="宋体" w:cs="仿宋_GB2312"/>
                <w:szCs w:val="21"/>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14:paraId="00C9FE31">
            <w:pPr>
              <w:spacing w:line="276" w:lineRule="auto"/>
              <w:jc w:val="center"/>
              <w:rPr>
                <w:rFonts w:ascii="宋体" w:hAnsi="宋体" w:cs="仿宋_GB2312"/>
                <w:szCs w:val="21"/>
              </w:rPr>
            </w:pPr>
            <w:r>
              <w:rPr>
                <w:rFonts w:hint="eastAsia" w:ascii="宋体" w:hAnsi="宋体" w:cs="仿宋_GB2312"/>
                <w:szCs w:val="21"/>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14:paraId="60295C70">
            <w:pPr>
              <w:spacing w:line="276" w:lineRule="auto"/>
              <w:jc w:val="center"/>
              <w:rPr>
                <w:rFonts w:ascii="宋体" w:hAnsi="宋体" w:cs="仿宋_GB2312"/>
                <w:szCs w:val="21"/>
              </w:rPr>
            </w:pPr>
            <w:r>
              <w:rPr>
                <w:rFonts w:hint="eastAsia" w:ascii="宋体" w:hAnsi="宋体" w:cs="仿宋_GB2312"/>
                <w:szCs w:val="21"/>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14:paraId="2DCC2F33">
            <w:pPr>
              <w:spacing w:line="276" w:lineRule="auto"/>
              <w:jc w:val="center"/>
              <w:rPr>
                <w:rFonts w:ascii="宋体" w:hAnsi="宋体" w:cs="仿宋_GB2312"/>
                <w:szCs w:val="21"/>
              </w:rPr>
            </w:pPr>
            <w:r>
              <w:rPr>
                <w:rFonts w:hint="eastAsia" w:ascii="宋体" w:hAnsi="宋体" w:cs="仿宋_GB2312"/>
                <w:szCs w:val="21"/>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14:paraId="0D3B75CC">
            <w:pPr>
              <w:spacing w:line="276" w:lineRule="auto"/>
              <w:jc w:val="center"/>
              <w:rPr>
                <w:rFonts w:ascii="宋体" w:hAnsi="宋体" w:cs="仿宋_GB2312"/>
                <w:szCs w:val="21"/>
              </w:rPr>
            </w:pPr>
            <w:r>
              <w:rPr>
                <w:rFonts w:hint="eastAsia" w:ascii="宋体" w:hAnsi="宋体" w:cs="仿宋_GB2312"/>
                <w:szCs w:val="21"/>
              </w:rPr>
              <w:t>对应页码</w:t>
            </w:r>
          </w:p>
        </w:tc>
      </w:tr>
      <w:tr w14:paraId="28268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9D5DDE9">
            <w:pPr>
              <w:spacing w:line="276" w:lineRule="auto"/>
              <w:jc w:val="center"/>
              <w:rPr>
                <w:rFonts w:ascii="宋体" w:hAnsi="宋体" w:cs="仿宋_GB2312"/>
                <w:szCs w:val="21"/>
              </w:rPr>
            </w:pPr>
            <w:r>
              <w:rPr>
                <w:rFonts w:hint="eastAsia" w:ascii="宋体" w:hAnsi="宋体" w:cs="仿宋_GB2312"/>
                <w:szCs w:val="21"/>
              </w:rPr>
              <w:t>1</w:t>
            </w:r>
          </w:p>
        </w:tc>
        <w:tc>
          <w:tcPr>
            <w:tcW w:w="3031" w:type="dxa"/>
            <w:tcBorders>
              <w:top w:val="single" w:color="auto" w:sz="4" w:space="0"/>
              <w:left w:val="single" w:color="auto" w:sz="4" w:space="0"/>
              <w:bottom w:val="single" w:color="auto" w:sz="4" w:space="0"/>
              <w:right w:val="single" w:color="auto" w:sz="4" w:space="0"/>
            </w:tcBorders>
            <w:vAlign w:val="center"/>
          </w:tcPr>
          <w:p w14:paraId="1CAF37D2">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08FD36A7">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75266374">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CC26195">
            <w:pPr>
              <w:spacing w:line="276" w:lineRule="auto"/>
              <w:jc w:val="center"/>
              <w:rPr>
                <w:rFonts w:ascii="宋体" w:hAnsi="宋体" w:cs="仿宋_GB2312"/>
                <w:szCs w:val="21"/>
              </w:rPr>
            </w:pPr>
          </w:p>
        </w:tc>
      </w:tr>
      <w:tr w14:paraId="6F44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94F0ACF">
            <w:pPr>
              <w:spacing w:line="276" w:lineRule="auto"/>
              <w:jc w:val="center"/>
              <w:rPr>
                <w:rFonts w:ascii="宋体" w:hAnsi="宋体" w:cs="仿宋_GB2312"/>
                <w:szCs w:val="21"/>
              </w:rPr>
            </w:pPr>
            <w:r>
              <w:rPr>
                <w:rFonts w:hint="eastAsia" w:ascii="宋体" w:hAnsi="宋体" w:cs="仿宋_GB2312"/>
                <w:szCs w:val="21"/>
              </w:rPr>
              <w:t>2</w:t>
            </w:r>
          </w:p>
        </w:tc>
        <w:tc>
          <w:tcPr>
            <w:tcW w:w="3031" w:type="dxa"/>
            <w:tcBorders>
              <w:top w:val="single" w:color="auto" w:sz="4" w:space="0"/>
              <w:left w:val="single" w:color="auto" w:sz="4" w:space="0"/>
              <w:bottom w:val="single" w:color="auto" w:sz="4" w:space="0"/>
              <w:right w:val="single" w:color="auto" w:sz="4" w:space="0"/>
            </w:tcBorders>
            <w:vAlign w:val="center"/>
          </w:tcPr>
          <w:p w14:paraId="185E9A84">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005A8257">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2B46E28D">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96E15BC">
            <w:pPr>
              <w:spacing w:line="276" w:lineRule="auto"/>
              <w:jc w:val="center"/>
              <w:rPr>
                <w:rFonts w:ascii="宋体" w:hAnsi="宋体" w:cs="仿宋_GB2312"/>
                <w:szCs w:val="21"/>
              </w:rPr>
            </w:pPr>
          </w:p>
        </w:tc>
      </w:tr>
      <w:tr w14:paraId="40D6B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3C61869F">
            <w:pPr>
              <w:spacing w:line="276" w:lineRule="auto"/>
              <w:jc w:val="center"/>
              <w:rPr>
                <w:rFonts w:ascii="宋体" w:hAnsi="宋体" w:cs="仿宋_GB2312"/>
                <w:szCs w:val="21"/>
              </w:rPr>
            </w:pPr>
            <w:r>
              <w:rPr>
                <w:rFonts w:hint="eastAsia" w:ascii="宋体" w:hAnsi="宋体" w:cs="仿宋_GB2312"/>
                <w:szCs w:val="21"/>
              </w:rPr>
              <w:t>3</w:t>
            </w:r>
          </w:p>
        </w:tc>
        <w:tc>
          <w:tcPr>
            <w:tcW w:w="3031" w:type="dxa"/>
            <w:tcBorders>
              <w:top w:val="single" w:color="auto" w:sz="4" w:space="0"/>
              <w:left w:val="single" w:color="auto" w:sz="4" w:space="0"/>
              <w:bottom w:val="single" w:color="auto" w:sz="4" w:space="0"/>
              <w:right w:val="single" w:color="auto" w:sz="4" w:space="0"/>
            </w:tcBorders>
            <w:vAlign w:val="center"/>
          </w:tcPr>
          <w:p w14:paraId="047661E6">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4C9669C1">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4163E99B">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3105A6A4">
            <w:pPr>
              <w:spacing w:line="276" w:lineRule="auto"/>
              <w:jc w:val="center"/>
              <w:rPr>
                <w:rFonts w:ascii="宋体" w:hAnsi="宋体" w:cs="仿宋_GB2312"/>
                <w:szCs w:val="21"/>
              </w:rPr>
            </w:pPr>
          </w:p>
        </w:tc>
      </w:tr>
      <w:tr w14:paraId="606B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86DCEB8">
            <w:pPr>
              <w:spacing w:line="276" w:lineRule="auto"/>
              <w:jc w:val="center"/>
              <w:rPr>
                <w:rFonts w:ascii="宋体" w:hAnsi="宋体" w:cs="仿宋_GB2312"/>
                <w:szCs w:val="21"/>
              </w:rPr>
            </w:pPr>
            <w:r>
              <w:rPr>
                <w:rFonts w:hint="eastAsia" w:ascii="宋体" w:hAnsi="宋体" w:cs="仿宋_GB2312"/>
                <w:szCs w:val="21"/>
              </w:rPr>
              <w:t>4</w:t>
            </w:r>
          </w:p>
        </w:tc>
        <w:tc>
          <w:tcPr>
            <w:tcW w:w="3031" w:type="dxa"/>
            <w:tcBorders>
              <w:top w:val="single" w:color="auto" w:sz="4" w:space="0"/>
              <w:left w:val="single" w:color="auto" w:sz="4" w:space="0"/>
              <w:bottom w:val="single" w:color="auto" w:sz="4" w:space="0"/>
              <w:right w:val="single" w:color="auto" w:sz="4" w:space="0"/>
            </w:tcBorders>
            <w:vAlign w:val="center"/>
          </w:tcPr>
          <w:p w14:paraId="77A02742">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560EF494">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16C9B74C">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38996CE">
            <w:pPr>
              <w:spacing w:line="276" w:lineRule="auto"/>
              <w:jc w:val="center"/>
              <w:rPr>
                <w:rFonts w:ascii="宋体" w:hAnsi="宋体" w:cs="仿宋_GB2312"/>
                <w:szCs w:val="21"/>
              </w:rPr>
            </w:pPr>
          </w:p>
        </w:tc>
      </w:tr>
      <w:tr w14:paraId="32298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0D708D43">
            <w:pPr>
              <w:spacing w:line="276" w:lineRule="auto"/>
              <w:jc w:val="center"/>
              <w:rPr>
                <w:rFonts w:ascii="宋体" w:hAnsi="宋体" w:cs="仿宋_GB2312"/>
                <w:szCs w:val="21"/>
              </w:rPr>
            </w:pPr>
            <w:r>
              <w:rPr>
                <w:rFonts w:hint="eastAsia" w:ascii="宋体" w:hAnsi="宋体" w:cs="仿宋_GB2312"/>
                <w:szCs w:val="21"/>
              </w:rPr>
              <w:t>5</w:t>
            </w:r>
          </w:p>
        </w:tc>
        <w:tc>
          <w:tcPr>
            <w:tcW w:w="3031" w:type="dxa"/>
            <w:tcBorders>
              <w:top w:val="single" w:color="auto" w:sz="4" w:space="0"/>
              <w:left w:val="single" w:color="auto" w:sz="4" w:space="0"/>
              <w:bottom w:val="single" w:color="auto" w:sz="4" w:space="0"/>
              <w:right w:val="single" w:color="auto" w:sz="4" w:space="0"/>
            </w:tcBorders>
            <w:vAlign w:val="center"/>
          </w:tcPr>
          <w:p w14:paraId="31E802CE">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2CC06CE8">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D1ED27A">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27D7620">
            <w:pPr>
              <w:spacing w:line="276" w:lineRule="auto"/>
              <w:jc w:val="center"/>
              <w:rPr>
                <w:rFonts w:ascii="宋体" w:hAnsi="宋体" w:cs="仿宋_GB2312"/>
                <w:szCs w:val="21"/>
              </w:rPr>
            </w:pPr>
          </w:p>
        </w:tc>
      </w:tr>
      <w:tr w14:paraId="7A8B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7D54C185">
            <w:pPr>
              <w:spacing w:line="276" w:lineRule="auto"/>
              <w:jc w:val="center"/>
              <w:rPr>
                <w:rFonts w:ascii="宋体" w:hAnsi="宋体" w:cs="仿宋_GB2312"/>
                <w:szCs w:val="21"/>
              </w:rPr>
            </w:pPr>
            <w:r>
              <w:rPr>
                <w:rFonts w:hint="eastAsia" w:ascii="宋体" w:hAnsi="宋体" w:cs="仿宋_GB2312"/>
                <w:szCs w:val="21"/>
              </w:rPr>
              <w:t>6</w:t>
            </w:r>
          </w:p>
        </w:tc>
        <w:tc>
          <w:tcPr>
            <w:tcW w:w="3031" w:type="dxa"/>
            <w:tcBorders>
              <w:top w:val="single" w:color="auto" w:sz="4" w:space="0"/>
              <w:left w:val="single" w:color="auto" w:sz="4" w:space="0"/>
              <w:bottom w:val="single" w:color="auto" w:sz="4" w:space="0"/>
              <w:right w:val="single" w:color="auto" w:sz="4" w:space="0"/>
            </w:tcBorders>
            <w:vAlign w:val="center"/>
          </w:tcPr>
          <w:p w14:paraId="37910B5F">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526DFF52">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0E8D563">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5F4F26AE">
            <w:pPr>
              <w:spacing w:line="276" w:lineRule="auto"/>
              <w:jc w:val="center"/>
              <w:rPr>
                <w:rFonts w:ascii="宋体" w:hAnsi="宋体" w:cs="仿宋_GB2312"/>
                <w:szCs w:val="21"/>
              </w:rPr>
            </w:pPr>
          </w:p>
        </w:tc>
      </w:tr>
      <w:tr w14:paraId="1B1E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14:paraId="62539CB0">
            <w:pPr>
              <w:spacing w:line="276" w:lineRule="auto"/>
              <w:jc w:val="center"/>
              <w:rPr>
                <w:rFonts w:ascii="宋体" w:hAnsi="宋体" w:cs="仿宋_GB2312"/>
                <w:szCs w:val="21"/>
              </w:rPr>
            </w:pPr>
            <w:r>
              <w:rPr>
                <w:rFonts w:hint="eastAsia" w:ascii="宋体" w:hAnsi="宋体" w:cs="仿宋_GB2312"/>
                <w:szCs w:val="21"/>
              </w:rPr>
              <w:t>…</w:t>
            </w:r>
          </w:p>
        </w:tc>
        <w:tc>
          <w:tcPr>
            <w:tcW w:w="3031" w:type="dxa"/>
            <w:tcBorders>
              <w:top w:val="single" w:color="auto" w:sz="4" w:space="0"/>
              <w:left w:val="single" w:color="auto" w:sz="4" w:space="0"/>
              <w:bottom w:val="single" w:color="auto" w:sz="4" w:space="0"/>
              <w:right w:val="single" w:color="auto" w:sz="4" w:space="0"/>
            </w:tcBorders>
            <w:vAlign w:val="center"/>
          </w:tcPr>
          <w:p w14:paraId="3CAEFAE8">
            <w:pPr>
              <w:spacing w:line="276" w:lineRule="auto"/>
              <w:jc w:val="center"/>
              <w:rPr>
                <w:rFonts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14:paraId="1FDC707F">
            <w:pPr>
              <w:spacing w:line="276" w:lineRule="auto"/>
              <w:jc w:val="center"/>
              <w:rPr>
                <w:rFonts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14:paraId="66D48649">
            <w:pPr>
              <w:spacing w:line="276" w:lineRule="auto"/>
              <w:jc w:val="center"/>
              <w:rPr>
                <w:rFonts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14:paraId="023089AC">
            <w:pPr>
              <w:spacing w:line="276" w:lineRule="auto"/>
              <w:jc w:val="center"/>
              <w:rPr>
                <w:rFonts w:ascii="宋体" w:hAnsi="宋体" w:cs="仿宋_GB2312"/>
                <w:szCs w:val="21"/>
              </w:rPr>
            </w:pPr>
          </w:p>
        </w:tc>
      </w:tr>
    </w:tbl>
    <w:p w14:paraId="70EC85DA">
      <w:pPr>
        <w:spacing w:line="276" w:lineRule="auto"/>
        <w:ind w:left="1016" w:leftChars="203" w:hanging="590" w:hangingChars="281"/>
        <w:jc w:val="left"/>
        <w:rPr>
          <w:rFonts w:ascii="宋体" w:hAnsi="宋体"/>
          <w:szCs w:val="21"/>
        </w:rPr>
      </w:pPr>
      <w:r>
        <w:rPr>
          <w:rFonts w:hint="eastAsia" w:ascii="宋体" w:hAnsi="宋体" w:cs="Corbel"/>
          <w:szCs w:val="21"/>
        </w:rPr>
        <w:t>说明：投标人应对照招标文件第三章项目技术、服务及商务要求中条款逐项说明是否满足，并</w:t>
      </w:r>
      <w:r>
        <w:rPr>
          <w:rFonts w:ascii="宋体" w:hAnsi="宋体" w:cs="Corbel"/>
          <w:szCs w:val="21"/>
        </w:rPr>
        <w:t>注明证明材料对应页码。</w:t>
      </w:r>
      <w:r>
        <w:rPr>
          <w:rFonts w:hint="eastAsia" w:ascii="宋体" w:hAnsi="宋体" w:cs="Corbel"/>
          <w:szCs w:val="21"/>
        </w:rPr>
        <w:t>如有偏离应详细说明。特别对有具体参数要求的指标，投标人必须提供相应具体数值，未按照要求填写此表或仅注明“符合”、“满足”的，</w:t>
      </w:r>
      <w:r>
        <w:rPr>
          <w:rFonts w:hint="eastAsia" w:ascii="宋体" w:hAnsi="宋体"/>
          <w:szCs w:val="21"/>
        </w:rPr>
        <w:t>导致的后果由投标人自行承担。</w:t>
      </w:r>
    </w:p>
    <w:p w14:paraId="3CD7EB3D">
      <w:pPr>
        <w:spacing w:line="276" w:lineRule="auto"/>
        <w:ind w:left="955" w:hanging="955" w:hangingChars="455"/>
        <w:jc w:val="left"/>
        <w:rPr>
          <w:rFonts w:ascii="宋体" w:hAnsi="宋体"/>
          <w:szCs w:val="21"/>
        </w:rPr>
      </w:pPr>
    </w:p>
    <w:p w14:paraId="4268647E">
      <w:pPr>
        <w:spacing w:before="100" w:beforeAutospacing="1" w:after="100" w:afterAutospacing="1" w:line="276" w:lineRule="auto"/>
        <w:ind w:firstLine="2902" w:firstLineChars="1382"/>
        <w:rPr>
          <w:rFonts w:hAnsi="宋体"/>
          <w:bCs/>
          <w:szCs w:val="21"/>
        </w:rPr>
      </w:pPr>
    </w:p>
    <w:p w14:paraId="39E40DBD">
      <w:pPr>
        <w:spacing w:before="100" w:beforeAutospacing="1" w:after="100" w:afterAutospacing="1" w:line="276" w:lineRule="auto"/>
        <w:ind w:firstLine="2902" w:firstLineChars="1382"/>
        <w:jc w:val="right"/>
        <w:rPr>
          <w:rFonts w:hAnsi="宋体"/>
          <w:bCs/>
          <w:szCs w:val="21"/>
          <w:u w:val="single"/>
        </w:rPr>
      </w:pPr>
      <w:r>
        <w:rPr>
          <w:rFonts w:hint="eastAsia" w:hAnsi="宋体"/>
          <w:bCs/>
          <w:szCs w:val="21"/>
        </w:rPr>
        <w:t>投标人名称（公章）：</w:t>
      </w:r>
    </w:p>
    <w:p w14:paraId="7CEFEEF0">
      <w:pPr>
        <w:spacing w:before="100" w:beforeAutospacing="1" w:after="100" w:afterAutospacing="1" w:line="276" w:lineRule="auto"/>
        <w:ind w:firstLine="2902" w:firstLineChars="1382"/>
        <w:jc w:val="right"/>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1BAE60E1">
      <w:pPr>
        <w:widowControl/>
        <w:jc w:val="left"/>
        <w:rPr>
          <w:rFonts w:ascii="宋体" w:hAnsi="宋体" w:cs="Courier New"/>
          <w:color w:val="0D0D0D"/>
          <w:szCs w:val="21"/>
        </w:rPr>
      </w:pPr>
    </w:p>
    <w:p w14:paraId="0BC75C9A">
      <w:pPr>
        <w:widowControl/>
        <w:jc w:val="left"/>
        <w:rPr>
          <w:rFonts w:ascii="宋体" w:hAnsi="宋体" w:cs="Courier New"/>
          <w:color w:val="0D0D0D"/>
          <w:szCs w:val="21"/>
        </w:rPr>
      </w:pPr>
      <w:r>
        <w:rPr>
          <w:rFonts w:ascii="宋体" w:hAnsi="宋体" w:cs="Courier New"/>
          <w:color w:val="0D0D0D"/>
          <w:szCs w:val="21"/>
        </w:rPr>
        <w:br w:type="page"/>
      </w:r>
    </w:p>
    <w:p w14:paraId="7A3830A5">
      <w:pPr>
        <w:pStyle w:val="36"/>
        <w:numPr>
          <w:ilvl w:val="0"/>
          <w:numId w:val="60"/>
        </w:numPr>
        <w:spacing w:line="276" w:lineRule="auto"/>
        <w:ind w:firstLineChars="0"/>
        <w:outlineLvl w:val="2"/>
        <w:rPr>
          <w:szCs w:val="21"/>
        </w:rPr>
      </w:pPr>
      <w:r>
        <w:rPr>
          <w:rFonts w:hint="eastAsia"/>
          <w:szCs w:val="21"/>
        </w:rPr>
        <w:t>投标书</w:t>
      </w:r>
    </w:p>
    <w:p w14:paraId="58AF2CB1">
      <w:pPr>
        <w:spacing w:line="276" w:lineRule="auto"/>
        <w:jc w:val="center"/>
        <w:rPr>
          <w:rFonts w:ascii="宋体" w:hAnsi="宋体"/>
          <w:b/>
          <w:szCs w:val="21"/>
        </w:rPr>
      </w:pPr>
      <w:r>
        <w:rPr>
          <w:rFonts w:hint="eastAsia" w:ascii="宋体" w:hAnsi="宋体"/>
          <w:b/>
          <w:szCs w:val="21"/>
        </w:rPr>
        <w:t>投标书</w:t>
      </w:r>
    </w:p>
    <w:p w14:paraId="53525ACA">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1971E515">
      <w:pPr>
        <w:spacing w:line="360" w:lineRule="auto"/>
        <w:ind w:firstLine="420"/>
        <w:rPr>
          <w:rFonts w:ascii="宋体" w:hAnsi="宋体"/>
          <w:szCs w:val="21"/>
        </w:rPr>
      </w:pPr>
      <w:r>
        <w:rPr>
          <w:rFonts w:hint="eastAsia" w:ascii="宋体" w:hAnsi="宋体"/>
          <w:szCs w:val="21"/>
        </w:rPr>
        <w:t>依据贵方项目（</w:t>
      </w:r>
      <w:r>
        <w:rPr>
          <w:rFonts w:hint="eastAsia" w:ascii="宋体" w:hAnsi="宋体"/>
          <w:szCs w:val="21"/>
          <w:u w:val="single"/>
        </w:rPr>
        <w:t>项目编号/包号</w:t>
      </w:r>
      <w:r>
        <w:rPr>
          <w:rFonts w:hint="eastAsia" w:ascii="宋体" w:hAnsi="宋体"/>
          <w:szCs w:val="21"/>
        </w:rPr>
        <w:t>）招标的投标邀请，我方代表（姓名、职务）经正式授权并代表投标人（投标人名称）提交本投标文件。</w:t>
      </w:r>
    </w:p>
    <w:p w14:paraId="416E071C">
      <w:pPr>
        <w:spacing w:line="360" w:lineRule="auto"/>
        <w:ind w:firstLine="422"/>
        <w:rPr>
          <w:rFonts w:ascii="宋体" w:hAnsi="宋体"/>
          <w:b/>
          <w:kern w:val="0"/>
          <w:szCs w:val="21"/>
        </w:rPr>
      </w:pPr>
      <w:r>
        <w:rPr>
          <w:rFonts w:hint="eastAsia" w:ascii="宋体" w:hAnsi="宋体"/>
          <w:b/>
          <w:kern w:val="0"/>
          <w:szCs w:val="21"/>
        </w:rPr>
        <w:t>在此，我方宣布同意如下：</w:t>
      </w:r>
    </w:p>
    <w:p w14:paraId="351384A8">
      <w:pPr>
        <w:spacing w:line="360" w:lineRule="auto"/>
        <w:ind w:left="12" w:leftChars="6" w:firstLine="413" w:firstLineChars="197"/>
        <w:rPr>
          <w:rFonts w:ascii="宋体" w:hAnsi="宋体"/>
          <w:szCs w:val="21"/>
        </w:rPr>
      </w:pPr>
      <w:r>
        <w:rPr>
          <w:rFonts w:hint="eastAsia" w:ascii="宋体" w:hAnsi="宋体"/>
          <w:szCs w:val="21"/>
        </w:rPr>
        <w:t>1．《报价一览表》中规定的应提交和交付的（项目名称、项目编号/包号）货物（工程或服务）投标报价为（注明币种，并用大写和小写表述投标总价）；</w:t>
      </w:r>
    </w:p>
    <w:p w14:paraId="48D4DF72">
      <w:pPr>
        <w:spacing w:line="360" w:lineRule="auto"/>
        <w:ind w:left="12" w:leftChars="6" w:firstLine="413" w:firstLineChars="197"/>
        <w:rPr>
          <w:rFonts w:ascii="宋体" w:hAnsi="宋体"/>
          <w:szCs w:val="21"/>
        </w:rPr>
      </w:pPr>
      <w:r>
        <w:rPr>
          <w:rFonts w:hint="eastAsia" w:ascii="宋体" w:hAnsi="宋体"/>
          <w:szCs w:val="21"/>
        </w:rPr>
        <w:t>2．按招标文件的约定履行合同责任和义务；</w:t>
      </w:r>
    </w:p>
    <w:p w14:paraId="298CFE05">
      <w:pPr>
        <w:spacing w:line="360" w:lineRule="auto"/>
        <w:ind w:left="12" w:leftChars="6" w:firstLine="413" w:firstLineChars="197"/>
        <w:rPr>
          <w:rFonts w:ascii="宋体" w:hAnsi="宋体"/>
          <w:szCs w:val="21"/>
        </w:rPr>
      </w:pPr>
      <w:r>
        <w:rPr>
          <w:rFonts w:hint="eastAsia" w:ascii="宋体" w:hAnsi="宋体"/>
          <w:szCs w:val="21"/>
        </w:rPr>
        <w:t>3．已详细审查全部招标文件，包括修正或补充文件（如有）；</w:t>
      </w:r>
    </w:p>
    <w:p w14:paraId="20F9C4FC">
      <w:pPr>
        <w:spacing w:line="360" w:lineRule="auto"/>
        <w:ind w:left="12" w:leftChars="6" w:firstLine="413" w:firstLineChars="197"/>
        <w:rPr>
          <w:rFonts w:ascii="宋体" w:hAnsi="宋体"/>
          <w:szCs w:val="21"/>
        </w:rPr>
      </w:pPr>
      <w:r>
        <w:rPr>
          <w:rFonts w:hint="eastAsia" w:ascii="宋体" w:hAnsi="宋体"/>
          <w:szCs w:val="21"/>
        </w:rPr>
        <w:t>4．投标有效期为</w:t>
      </w:r>
      <w:r>
        <w:rPr>
          <w:rFonts w:hint="eastAsia" w:ascii="宋体" w:hAnsi="宋体"/>
          <w:color w:val="0C0C0C"/>
          <w:szCs w:val="21"/>
        </w:rPr>
        <w:t>自</w:t>
      </w:r>
      <w:r>
        <w:rPr>
          <w:rFonts w:hint="eastAsia" w:ascii="宋体" w:hAnsi="宋体"/>
          <w:color w:val="0C0C0C"/>
          <w:kern w:val="0"/>
          <w:szCs w:val="21"/>
        </w:rPr>
        <w:t>递交投标文件截止之日起</w:t>
      </w:r>
      <w:r>
        <w:rPr>
          <w:rFonts w:hint="eastAsia" w:ascii="宋体" w:hAnsi="宋体"/>
          <w:szCs w:val="21"/>
        </w:rPr>
        <w:t xml:space="preserve">，共 </w:t>
      </w:r>
      <w:r>
        <w:rPr>
          <w:rFonts w:ascii="宋体" w:hAnsi="宋体"/>
          <w:szCs w:val="21"/>
        </w:rPr>
        <w:t xml:space="preserve">  </w:t>
      </w:r>
      <w:r>
        <w:rPr>
          <w:rFonts w:hint="eastAsia" w:ascii="宋体" w:hAnsi="宋体"/>
          <w:szCs w:val="21"/>
        </w:rPr>
        <w:t>个日历日；</w:t>
      </w:r>
    </w:p>
    <w:p w14:paraId="2906AFBF">
      <w:pPr>
        <w:spacing w:line="360" w:lineRule="auto"/>
        <w:ind w:left="12" w:leftChars="6" w:firstLine="413" w:firstLineChars="197"/>
        <w:rPr>
          <w:rFonts w:ascii="宋体" w:hAnsi="宋体"/>
          <w:szCs w:val="21"/>
        </w:rPr>
      </w:pPr>
      <w:r>
        <w:rPr>
          <w:rFonts w:hint="eastAsia" w:ascii="宋体" w:hAnsi="宋体"/>
          <w:szCs w:val="21"/>
        </w:rPr>
        <w:t>5．接受招标文件关于不予退还投标保证金的约定；</w:t>
      </w:r>
    </w:p>
    <w:p w14:paraId="0090EEB5">
      <w:pPr>
        <w:spacing w:line="360" w:lineRule="auto"/>
        <w:ind w:left="12" w:leftChars="6" w:firstLine="413" w:firstLineChars="197"/>
        <w:rPr>
          <w:rFonts w:ascii="宋体" w:hAnsi="宋体"/>
          <w:szCs w:val="21"/>
        </w:rPr>
      </w:pPr>
      <w:r>
        <w:rPr>
          <w:rFonts w:hint="eastAsia" w:ascii="宋体" w:hAnsi="宋体"/>
          <w:szCs w:val="21"/>
        </w:rPr>
        <w:t>6．提供按照贵方可能要求的与投标有关的一切数据或资料；</w:t>
      </w:r>
    </w:p>
    <w:p w14:paraId="532251B2">
      <w:pPr>
        <w:spacing w:line="360" w:lineRule="auto"/>
        <w:ind w:left="12" w:leftChars="6" w:firstLine="413" w:firstLineChars="197"/>
        <w:rPr>
          <w:rFonts w:ascii="宋体" w:hAnsi="宋体"/>
          <w:szCs w:val="21"/>
        </w:rPr>
      </w:pPr>
      <w:r>
        <w:rPr>
          <w:rFonts w:hint="eastAsia" w:ascii="宋体" w:hAnsi="宋体"/>
          <w:szCs w:val="21"/>
        </w:rPr>
        <w:t>7.承诺：我单位不存在单位负责人为同一人或者存在直接控股、管理关系的不同</w:t>
      </w:r>
      <w:r>
        <w:rPr>
          <w:rFonts w:hint="eastAsia"/>
          <w:szCs w:val="21"/>
        </w:rPr>
        <w:t>投标人</w:t>
      </w:r>
      <w:r>
        <w:rPr>
          <w:rFonts w:hint="eastAsia" w:ascii="宋体" w:hAnsi="宋体"/>
          <w:szCs w:val="21"/>
        </w:rPr>
        <w:t>，参加本项目同一合同项下的政府采购活动情况。我单位不存在为本采购项目提供整体设计、规范编制或者项目管理、监理、检测等服务的，再参加本项目的其他招标采购活动情况。</w:t>
      </w:r>
    </w:p>
    <w:p w14:paraId="66A4FF7E">
      <w:pPr>
        <w:spacing w:line="360" w:lineRule="auto"/>
        <w:ind w:left="12" w:leftChars="6" w:firstLine="413" w:firstLineChars="197"/>
        <w:rPr>
          <w:rFonts w:ascii="宋体" w:hAnsi="宋体"/>
          <w:szCs w:val="21"/>
        </w:rPr>
      </w:pPr>
      <w:r>
        <w:rPr>
          <w:rFonts w:hint="eastAsia" w:ascii="宋体" w:hAnsi="宋体"/>
          <w:szCs w:val="21"/>
        </w:rPr>
        <w:t>8．与投标有关的一切正式往来信函请寄：</w:t>
      </w:r>
    </w:p>
    <w:p w14:paraId="62EA644E">
      <w:pPr>
        <w:spacing w:line="360" w:lineRule="auto"/>
        <w:ind w:left="222" w:leftChars="106" w:firstLine="413" w:firstLineChars="197"/>
        <w:rPr>
          <w:rFonts w:ascii="宋体" w:hAnsi="宋体"/>
          <w:szCs w:val="21"/>
        </w:rPr>
      </w:pPr>
      <w:r>
        <w:rPr>
          <w:rFonts w:hint="eastAsia" w:ascii="宋体" w:hAnsi="宋体"/>
          <w:szCs w:val="21"/>
        </w:rPr>
        <w:t>投标人：</w:t>
      </w:r>
    </w:p>
    <w:p w14:paraId="5516F4E1">
      <w:pPr>
        <w:spacing w:line="360" w:lineRule="auto"/>
        <w:ind w:left="222" w:leftChars="106" w:firstLine="413" w:firstLineChars="197"/>
        <w:rPr>
          <w:rFonts w:ascii="宋体" w:hAnsi="宋体"/>
          <w:szCs w:val="21"/>
        </w:rPr>
      </w:pPr>
      <w:r>
        <w:rPr>
          <w:rFonts w:hint="eastAsia" w:ascii="宋体" w:hAnsi="宋体"/>
          <w:szCs w:val="21"/>
        </w:rPr>
        <w:t>地 址：</w:t>
      </w:r>
    </w:p>
    <w:p w14:paraId="6CBD2ED5">
      <w:pPr>
        <w:spacing w:line="360" w:lineRule="auto"/>
        <w:ind w:left="222" w:leftChars="106" w:firstLine="413" w:firstLineChars="197"/>
        <w:rPr>
          <w:rFonts w:ascii="宋体" w:hAnsi="宋体"/>
          <w:szCs w:val="21"/>
        </w:rPr>
      </w:pPr>
      <w:r>
        <w:rPr>
          <w:rFonts w:hint="eastAsia" w:ascii="宋体" w:hAnsi="宋体"/>
          <w:szCs w:val="21"/>
        </w:rPr>
        <w:t>电话/传真：</w:t>
      </w:r>
    </w:p>
    <w:p w14:paraId="30BA8C14">
      <w:pPr>
        <w:spacing w:line="360" w:lineRule="auto"/>
        <w:ind w:left="222" w:leftChars="106" w:firstLine="413" w:firstLineChars="197"/>
        <w:rPr>
          <w:rFonts w:ascii="宋体" w:hAnsi="宋体"/>
          <w:szCs w:val="21"/>
        </w:rPr>
      </w:pPr>
      <w:r>
        <w:rPr>
          <w:rFonts w:hint="eastAsia" w:ascii="宋体" w:hAnsi="宋体"/>
          <w:szCs w:val="21"/>
        </w:rPr>
        <w:t>电子邮件：</w:t>
      </w:r>
    </w:p>
    <w:p w14:paraId="7F9CA7EA">
      <w:pPr>
        <w:spacing w:line="360" w:lineRule="auto"/>
        <w:ind w:left="222" w:leftChars="106" w:firstLine="413" w:firstLineChars="197"/>
        <w:rPr>
          <w:rFonts w:ascii="宋体" w:hAnsi="宋体"/>
          <w:szCs w:val="21"/>
        </w:rPr>
      </w:pPr>
      <w:r>
        <w:rPr>
          <w:rFonts w:hint="eastAsia" w:ascii="宋体" w:hAnsi="宋体"/>
          <w:szCs w:val="21"/>
        </w:rPr>
        <w:t>开户银行：</w:t>
      </w:r>
    </w:p>
    <w:p w14:paraId="37E2B53E">
      <w:pPr>
        <w:spacing w:line="360" w:lineRule="auto"/>
        <w:ind w:left="222" w:leftChars="106" w:firstLine="413" w:firstLineChars="197"/>
        <w:rPr>
          <w:rFonts w:ascii="宋体" w:hAnsi="宋体"/>
          <w:szCs w:val="21"/>
          <w:u w:val="single"/>
        </w:rPr>
      </w:pPr>
      <w:r>
        <w:rPr>
          <w:rFonts w:hint="eastAsia" w:ascii="宋体" w:hAnsi="宋体"/>
          <w:szCs w:val="21"/>
        </w:rPr>
        <w:t>账号/行号：</w:t>
      </w:r>
    </w:p>
    <w:p w14:paraId="0F4FE178">
      <w:pPr>
        <w:spacing w:line="360" w:lineRule="auto"/>
        <w:ind w:left="2532" w:leftChars="1206" w:firstLine="413" w:firstLineChars="197"/>
        <w:rPr>
          <w:rFonts w:ascii="宋体" w:hAnsi="宋体"/>
          <w:szCs w:val="21"/>
        </w:rPr>
      </w:pPr>
    </w:p>
    <w:p w14:paraId="06897930">
      <w:pPr>
        <w:spacing w:line="276" w:lineRule="auto"/>
        <w:ind w:left="2532" w:leftChars="1206" w:firstLine="413" w:firstLineChars="197"/>
        <w:rPr>
          <w:rFonts w:ascii="宋体" w:hAnsi="宋体"/>
          <w:szCs w:val="21"/>
        </w:rPr>
      </w:pPr>
    </w:p>
    <w:p w14:paraId="62FAC994">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p>
    <w:p w14:paraId="4A1413DF">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p>
    <w:p w14:paraId="7F4B3B6F">
      <w:pPr>
        <w:spacing w:line="276" w:lineRule="auto"/>
        <w:ind w:firstLine="2940" w:firstLineChars="1400"/>
        <w:rPr>
          <w:rFonts w:ascii="宋体" w:hAnsi="宋体"/>
          <w:color w:val="000000"/>
          <w:szCs w:val="21"/>
        </w:rPr>
      </w:pPr>
      <w:r>
        <w:rPr>
          <w:rFonts w:hint="eastAsia" w:ascii="宋体" w:hAnsi="宋体"/>
          <w:color w:val="000000"/>
          <w:szCs w:val="21"/>
        </w:rPr>
        <w:t>日期：年 月 日</w:t>
      </w:r>
    </w:p>
    <w:p w14:paraId="043400F9">
      <w:pPr>
        <w:spacing w:line="276" w:lineRule="auto"/>
        <w:ind w:left="2532" w:leftChars="1206" w:firstLine="413" w:firstLineChars="197"/>
        <w:rPr>
          <w:rFonts w:ascii="宋体" w:hAnsi="宋体"/>
          <w:szCs w:val="21"/>
        </w:rPr>
      </w:pPr>
    </w:p>
    <w:p w14:paraId="5A15F672">
      <w:pPr>
        <w:pStyle w:val="36"/>
        <w:numPr>
          <w:ilvl w:val="0"/>
          <w:numId w:val="60"/>
        </w:numPr>
        <w:spacing w:line="276" w:lineRule="auto"/>
        <w:ind w:firstLineChars="0"/>
        <w:outlineLvl w:val="2"/>
        <w:rPr>
          <w:szCs w:val="21"/>
        </w:rPr>
      </w:pPr>
      <w:r>
        <w:rPr>
          <w:kern w:val="0"/>
          <w:szCs w:val="21"/>
        </w:rPr>
        <w:br w:type="page"/>
      </w:r>
      <w:r>
        <w:rPr>
          <w:rFonts w:hint="eastAsia"/>
          <w:szCs w:val="21"/>
        </w:rPr>
        <w:t>报价一览表</w:t>
      </w:r>
    </w:p>
    <w:p w14:paraId="179C50C7">
      <w:pPr>
        <w:spacing w:line="276" w:lineRule="auto"/>
        <w:jc w:val="center"/>
        <w:rPr>
          <w:rFonts w:ascii="宋体" w:hAnsi="宋体"/>
          <w:b/>
          <w:szCs w:val="21"/>
        </w:rPr>
      </w:pPr>
      <w:r>
        <w:rPr>
          <w:rFonts w:hint="eastAsia" w:ascii="宋体" w:hAnsi="宋体"/>
          <w:b/>
          <w:szCs w:val="21"/>
        </w:rPr>
        <w:t>报价一览表</w:t>
      </w:r>
    </w:p>
    <w:p w14:paraId="62D3A234">
      <w:pPr>
        <w:adjustRightInd w:val="0"/>
        <w:snapToGrid w:val="0"/>
        <w:spacing w:line="276" w:lineRule="auto"/>
        <w:ind w:left="-268" w:leftChars="-128" w:firstLine="399" w:firstLineChars="150"/>
        <w:jc w:val="left"/>
        <w:rPr>
          <w:rFonts w:ascii="宋体" w:hAnsi="宋体"/>
          <w:spacing w:val="28"/>
          <w:szCs w:val="21"/>
        </w:rPr>
      </w:pPr>
    </w:p>
    <w:p w14:paraId="6C02A2C5">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投标人</w:t>
      </w:r>
      <w:r>
        <w:rPr>
          <w:rFonts w:hint="eastAsia" w:ascii="宋体" w:hAnsi="宋体"/>
          <w:szCs w:val="21"/>
        </w:rPr>
        <w:t>名称:</w:t>
      </w:r>
    </w:p>
    <w:p w14:paraId="3C2B3F66">
      <w:pPr>
        <w:adjustRightInd w:val="0"/>
        <w:snapToGrid w:val="0"/>
        <w:spacing w:line="276" w:lineRule="auto"/>
        <w:ind w:left="-268" w:leftChars="-128" w:firstLine="399" w:firstLineChars="150"/>
        <w:jc w:val="left"/>
        <w:rPr>
          <w:rFonts w:ascii="宋体" w:hAnsi="宋体"/>
          <w:szCs w:val="21"/>
        </w:rPr>
      </w:pPr>
      <w:r>
        <w:rPr>
          <w:rFonts w:hint="eastAsia" w:ascii="宋体" w:hAnsi="宋体"/>
          <w:spacing w:val="28"/>
          <w:szCs w:val="21"/>
        </w:rPr>
        <w:t>项目编号/包号</w:t>
      </w:r>
      <w:r>
        <w:rPr>
          <w:rFonts w:hint="eastAsia" w:ascii="宋体" w:hAnsi="宋体"/>
          <w:szCs w:val="21"/>
        </w:rPr>
        <w:t>:</w:t>
      </w:r>
    </w:p>
    <w:p w14:paraId="622C122E">
      <w:pPr>
        <w:adjustRightInd w:val="0"/>
        <w:snapToGrid w:val="0"/>
        <w:spacing w:line="276" w:lineRule="auto"/>
        <w:ind w:left="-268" w:leftChars="-128" w:firstLine="420" w:firstLineChars="200"/>
        <w:jc w:val="left"/>
        <w:rPr>
          <w:rFonts w:ascii="宋体" w:hAnsi="宋体"/>
          <w:szCs w:val="21"/>
        </w:rPr>
      </w:pPr>
      <w:r>
        <w:rPr>
          <w:rFonts w:hint="eastAsia" w:ascii="宋体" w:hAnsi="宋体"/>
          <w:szCs w:val="21"/>
          <w:lang w:val="zh-CN"/>
        </w:rPr>
        <w:t>项目名称：</w:t>
      </w:r>
    </w:p>
    <w:tbl>
      <w:tblPr>
        <w:tblStyle w:val="26"/>
        <w:tblW w:w="9238"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661"/>
        <w:gridCol w:w="2865"/>
        <w:gridCol w:w="3512"/>
      </w:tblGrid>
      <w:tr w14:paraId="62CE3A2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14:paraId="4FC25EA7">
            <w:pPr>
              <w:spacing w:line="276" w:lineRule="auto"/>
              <w:jc w:val="center"/>
              <w:rPr>
                <w:rFonts w:ascii="宋体" w:hAnsi="宋体"/>
                <w:szCs w:val="21"/>
              </w:rPr>
            </w:pPr>
            <w:r>
              <w:rPr>
                <w:rFonts w:hint="eastAsia" w:ascii="宋体" w:hAnsi="宋体"/>
                <w:szCs w:val="21"/>
              </w:rPr>
              <w:t>序号</w:t>
            </w:r>
          </w:p>
        </w:tc>
        <w:tc>
          <w:tcPr>
            <w:tcW w:w="4526" w:type="dxa"/>
            <w:gridSpan w:val="2"/>
            <w:tcBorders>
              <w:top w:val="single" w:color="auto" w:sz="4" w:space="0"/>
              <w:left w:val="single" w:color="auto" w:sz="4" w:space="0"/>
              <w:bottom w:val="single" w:color="auto" w:sz="4" w:space="0"/>
              <w:right w:val="single" w:color="auto" w:sz="4" w:space="0"/>
            </w:tcBorders>
            <w:shd w:val="pct10" w:color="auto" w:fill="auto"/>
            <w:vAlign w:val="center"/>
          </w:tcPr>
          <w:p w14:paraId="6EB614BE">
            <w:pPr>
              <w:spacing w:line="276" w:lineRule="auto"/>
              <w:jc w:val="center"/>
              <w:rPr>
                <w:rFonts w:ascii="宋体" w:hAnsi="宋体"/>
                <w:szCs w:val="21"/>
              </w:rPr>
            </w:pPr>
            <w:r>
              <w:rPr>
                <w:rFonts w:hint="eastAsia" w:ascii="宋体" w:hAnsi="宋体"/>
                <w:szCs w:val="21"/>
              </w:rPr>
              <w:t>项目</w:t>
            </w:r>
          </w:p>
        </w:tc>
        <w:tc>
          <w:tcPr>
            <w:tcW w:w="3512" w:type="dxa"/>
            <w:tcBorders>
              <w:top w:val="single" w:color="auto" w:sz="4" w:space="0"/>
              <w:left w:val="single" w:color="auto" w:sz="4" w:space="0"/>
              <w:bottom w:val="single" w:color="auto" w:sz="4" w:space="0"/>
              <w:right w:val="single" w:color="auto" w:sz="4" w:space="0"/>
            </w:tcBorders>
            <w:shd w:val="pct10" w:color="auto" w:fill="auto"/>
            <w:vAlign w:val="center"/>
          </w:tcPr>
          <w:p w14:paraId="5A46A253">
            <w:pPr>
              <w:spacing w:line="276" w:lineRule="auto"/>
              <w:jc w:val="center"/>
              <w:rPr>
                <w:rFonts w:ascii="宋体" w:hAnsi="宋体"/>
                <w:szCs w:val="21"/>
              </w:rPr>
            </w:pPr>
            <w:r>
              <w:rPr>
                <w:rFonts w:hint="eastAsia" w:ascii="宋体" w:hAnsi="宋体"/>
                <w:szCs w:val="21"/>
              </w:rPr>
              <w:t>内容</w:t>
            </w:r>
          </w:p>
        </w:tc>
      </w:tr>
      <w:tr w14:paraId="33D3E84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1C9A72AB">
            <w:pPr>
              <w:spacing w:line="276" w:lineRule="auto"/>
              <w:jc w:val="center"/>
              <w:rPr>
                <w:rFonts w:ascii="宋体" w:hAnsi="宋体"/>
                <w:szCs w:val="21"/>
              </w:rPr>
            </w:pPr>
            <w:r>
              <w:rPr>
                <w:rFonts w:hint="eastAsia" w:ascii="宋体" w:hAnsi="宋体"/>
                <w:szCs w:val="21"/>
              </w:rPr>
              <w:t>1</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6C2DC4F0">
            <w:pPr>
              <w:spacing w:line="276" w:lineRule="auto"/>
              <w:jc w:val="center"/>
              <w:rPr>
                <w:rFonts w:ascii="宋体" w:hAnsi="宋体"/>
                <w:szCs w:val="21"/>
              </w:rPr>
            </w:pPr>
            <w:r>
              <w:rPr>
                <w:rFonts w:hint="eastAsia" w:ascii="宋体" w:hAnsi="宋体"/>
                <w:szCs w:val="21"/>
              </w:rPr>
              <w:t>投标报价（小写）</w:t>
            </w:r>
          </w:p>
        </w:tc>
        <w:tc>
          <w:tcPr>
            <w:tcW w:w="3512" w:type="dxa"/>
            <w:tcBorders>
              <w:top w:val="single" w:color="auto" w:sz="4" w:space="0"/>
              <w:left w:val="single" w:color="auto" w:sz="4" w:space="0"/>
              <w:bottom w:val="single" w:color="auto" w:sz="4" w:space="0"/>
              <w:right w:val="single" w:color="auto" w:sz="4" w:space="0"/>
            </w:tcBorders>
            <w:vAlign w:val="center"/>
          </w:tcPr>
          <w:p w14:paraId="32E91B95">
            <w:pPr>
              <w:spacing w:line="276" w:lineRule="auto"/>
              <w:ind w:left="-38"/>
              <w:jc w:val="center"/>
              <w:rPr>
                <w:rFonts w:ascii="宋体" w:hAnsi="宋体"/>
                <w:szCs w:val="21"/>
              </w:rPr>
            </w:pPr>
          </w:p>
        </w:tc>
      </w:tr>
      <w:tr w14:paraId="70C56B52">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63832B75">
            <w:pPr>
              <w:spacing w:line="276" w:lineRule="auto"/>
              <w:jc w:val="center"/>
              <w:rPr>
                <w:rFonts w:ascii="宋体" w:hAnsi="宋体"/>
                <w:szCs w:val="21"/>
              </w:rPr>
            </w:pPr>
            <w:r>
              <w:rPr>
                <w:rFonts w:hint="eastAsia" w:ascii="宋体" w:hAnsi="宋体"/>
                <w:szCs w:val="21"/>
              </w:rPr>
              <w:t>2</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3A2719C5">
            <w:pPr>
              <w:spacing w:line="276" w:lineRule="auto"/>
              <w:jc w:val="center"/>
              <w:rPr>
                <w:rFonts w:ascii="宋体" w:hAnsi="宋体"/>
                <w:szCs w:val="21"/>
              </w:rPr>
            </w:pPr>
            <w:r>
              <w:rPr>
                <w:rFonts w:hint="eastAsia" w:ascii="宋体" w:hAnsi="宋体"/>
                <w:szCs w:val="21"/>
              </w:rPr>
              <w:t>投标报价（大写）</w:t>
            </w:r>
          </w:p>
        </w:tc>
        <w:tc>
          <w:tcPr>
            <w:tcW w:w="3512" w:type="dxa"/>
            <w:tcBorders>
              <w:top w:val="single" w:color="auto" w:sz="4" w:space="0"/>
              <w:left w:val="single" w:color="auto" w:sz="4" w:space="0"/>
              <w:bottom w:val="single" w:color="auto" w:sz="4" w:space="0"/>
              <w:right w:val="single" w:color="auto" w:sz="4" w:space="0"/>
            </w:tcBorders>
            <w:vAlign w:val="center"/>
          </w:tcPr>
          <w:p w14:paraId="0914747C">
            <w:pPr>
              <w:spacing w:line="276" w:lineRule="auto"/>
              <w:ind w:left="-38"/>
              <w:jc w:val="center"/>
              <w:rPr>
                <w:rFonts w:ascii="宋体" w:hAnsi="宋体"/>
                <w:szCs w:val="21"/>
              </w:rPr>
            </w:pPr>
          </w:p>
        </w:tc>
      </w:tr>
      <w:tr w14:paraId="1CDB2D9A">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restart"/>
            <w:tcBorders>
              <w:top w:val="single" w:color="auto" w:sz="4" w:space="0"/>
              <w:left w:val="single" w:color="auto" w:sz="4" w:space="0"/>
              <w:right w:val="single" w:color="auto" w:sz="4" w:space="0"/>
            </w:tcBorders>
            <w:vAlign w:val="center"/>
          </w:tcPr>
          <w:p w14:paraId="60B3246B">
            <w:pPr>
              <w:spacing w:line="276" w:lineRule="auto"/>
              <w:jc w:val="center"/>
              <w:rPr>
                <w:rFonts w:ascii="宋体" w:hAnsi="宋体"/>
                <w:szCs w:val="21"/>
              </w:rPr>
            </w:pPr>
            <w:r>
              <w:rPr>
                <w:rFonts w:hint="eastAsia" w:ascii="宋体" w:hAnsi="宋体"/>
                <w:szCs w:val="21"/>
              </w:rPr>
              <w:t>3</w:t>
            </w:r>
          </w:p>
        </w:tc>
        <w:tc>
          <w:tcPr>
            <w:tcW w:w="1661" w:type="dxa"/>
            <w:vMerge w:val="restart"/>
            <w:tcBorders>
              <w:top w:val="single" w:color="auto" w:sz="4" w:space="0"/>
              <w:left w:val="single" w:color="auto" w:sz="4" w:space="0"/>
              <w:right w:val="single" w:color="auto" w:sz="4" w:space="0"/>
            </w:tcBorders>
            <w:vAlign w:val="center"/>
          </w:tcPr>
          <w:p w14:paraId="538911FC">
            <w:pPr>
              <w:spacing w:line="276" w:lineRule="auto"/>
              <w:jc w:val="center"/>
              <w:rPr>
                <w:rFonts w:ascii="宋体" w:hAnsi="宋体"/>
                <w:b/>
                <w:bCs/>
                <w:szCs w:val="21"/>
              </w:rPr>
            </w:pPr>
            <w:r>
              <w:rPr>
                <w:rFonts w:hint="eastAsia" w:ascii="宋体" w:hAnsi="宋体"/>
                <w:b/>
                <w:bCs/>
                <w:szCs w:val="21"/>
              </w:rPr>
              <w:t>核心产品</w:t>
            </w:r>
          </w:p>
          <w:p w14:paraId="4C83C6B7">
            <w:pPr>
              <w:spacing w:line="276" w:lineRule="auto"/>
              <w:jc w:val="center"/>
              <w:rPr>
                <w:rFonts w:ascii="宋体" w:hAnsi="宋体"/>
                <w:szCs w:val="21"/>
              </w:rPr>
            </w:pPr>
            <w:r>
              <w:rPr>
                <w:rFonts w:hint="eastAsia" w:ascii="宋体" w:hAnsi="宋体"/>
                <w:szCs w:val="21"/>
              </w:rPr>
              <w:t>（如有）</w:t>
            </w:r>
          </w:p>
        </w:tc>
        <w:tc>
          <w:tcPr>
            <w:tcW w:w="2865" w:type="dxa"/>
            <w:tcBorders>
              <w:top w:val="single" w:color="auto" w:sz="4" w:space="0"/>
              <w:left w:val="single" w:color="auto" w:sz="4" w:space="0"/>
              <w:bottom w:val="single" w:color="auto" w:sz="4" w:space="0"/>
              <w:right w:val="single" w:color="auto" w:sz="4" w:space="0"/>
            </w:tcBorders>
            <w:vAlign w:val="center"/>
          </w:tcPr>
          <w:p w14:paraId="766B2FF8">
            <w:pPr>
              <w:spacing w:line="276" w:lineRule="auto"/>
              <w:jc w:val="center"/>
              <w:rPr>
                <w:rFonts w:ascii="宋体" w:hAnsi="宋体"/>
                <w:szCs w:val="21"/>
              </w:rPr>
            </w:pPr>
            <w:r>
              <w:rPr>
                <w:rFonts w:hint="eastAsia" w:ascii="宋体" w:hAnsi="宋体"/>
                <w:szCs w:val="21"/>
              </w:rPr>
              <w:t>货物名称</w:t>
            </w:r>
          </w:p>
        </w:tc>
        <w:tc>
          <w:tcPr>
            <w:tcW w:w="3512" w:type="dxa"/>
            <w:tcBorders>
              <w:top w:val="single" w:color="auto" w:sz="4" w:space="0"/>
              <w:left w:val="single" w:color="auto" w:sz="4" w:space="0"/>
              <w:bottom w:val="single" w:color="auto" w:sz="4" w:space="0"/>
              <w:right w:val="single" w:color="auto" w:sz="4" w:space="0"/>
            </w:tcBorders>
            <w:vAlign w:val="center"/>
          </w:tcPr>
          <w:p w14:paraId="091C46F7">
            <w:pPr>
              <w:spacing w:line="276" w:lineRule="auto"/>
              <w:ind w:left="-38"/>
              <w:jc w:val="center"/>
              <w:rPr>
                <w:rFonts w:ascii="宋体" w:hAnsi="宋体"/>
                <w:szCs w:val="21"/>
              </w:rPr>
            </w:pPr>
          </w:p>
        </w:tc>
      </w:tr>
      <w:tr w14:paraId="6F539897">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1F712572">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52B6383E">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33987459">
            <w:pPr>
              <w:adjustRightInd w:val="0"/>
              <w:snapToGrid w:val="0"/>
              <w:spacing w:line="276" w:lineRule="auto"/>
              <w:jc w:val="center"/>
              <w:rPr>
                <w:rFonts w:ascii="宋体" w:hAnsi="宋体"/>
                <w:szCs w:val="21"/>
              </w:rPr>
            </w:pPr>
            <w:r>
              <w:rPr>
                <w:rFonts w:hint="eastAsia" w:ascii="宋体" w:hAnsi="宋体"/>
                <w:szCs w:val="21"/>
              </w:rPr>
              <w:t>制造商名称/国别(地区)</w:t>
            </w:r>
          </w:p>
        </w:tc>
        <w:tc>
          <w:tcPr>
            <w:tcW w:w="3512" w:type="dxa"/>
            <w:tcBorders>
              <w:top w:val="single" w:color="auto" w:sz="4" w:space="0"/>
              <w:left w:val="single" w:color="auto" w:sz="4" w:space="0"/>
              <w:bottom w:val="single" w:color="auto" w:sz="4" w:space="0"/>
              <w:right w:val="single" w:color="auto" w:sz="4" w:space="0"/>
            </w:tcBorders>
            <w:vAlign w:val="center"/>
          </w:tcPr>
          <w:p w14:paraId="7AB43B4B">
            <w:pPr>
              <w:spacing w:line="276" w:lineRule="auto"/>
              <w:ind w:left="-38"/>
              <w:jc w:val="center"/>
              <w:rPr>
                <w:rFonts w:ascii="宋体" w:hAnsi="宋体"/>
                <w:szCs w:val="21"/>
              </w:rPr>
            </w:pPr>
          </w:p>
        </w:tc>
      </w:tr>
      <w:tr w14:paraId="569A361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7511CBDE">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46C6FCF5">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5AE31FD7">
            <w:pPr>
              <w:spacing w:line="276" w:lineRule="auto"/>
              <w:jc w:val="center"/>
              <w:rPr>
                <w:rFonts w:ascii="宋体" w:hAnsi="宋体"/>
                <w:szCs w:val="21"/>
              </w:rPr>
            </w:pPr>
            <w:r>
              <w:rPr>
                <w:rFonts w:hint="eastAsia" w:ascii="宋体" w:hAnsi="宋体"/>
                <w:szCs w:val="21"/>
              </w:rPr>
              <w:t>规格型号</w:t>
            </w:r>
          </w:p>
        </w:tc>
        <w:tc>
          <w:tcPr>
            <w:tcW w:w="3512" w:type="dxa"/>
            <w:tcBorders>
              <w:top w:val="single" w:color="auto" w:sz="4" w:space="0"/>
              <w:left w:val="single" w:color="auto" w:sz="4" w:space="0"/>
              <w:bottom w:val="single" w:color="auto" w:sz="4" w:space="0"/>
              <w:right w:val="single" w:color="auto" w:sz="4" w:space="0"/>
            </w:tcBorders>
            <w:vAlign w:val="center"/>
          </w:tcPr>
          <w:p w14:paraId="564956F7">
            <w:pPr>
              <w:spacing w:line="276" w:lineRule="auto"/>
              <w:ind w:left="-38"/>
              <w:jc w:val="center"/>
              <w:rPr>
                <w:rFonts w:ascii="宋体" w:hAnsi="宋体"/>
                <w:szCs w:val="21"/>
              </w:rPr>
            </w:pPr>
          </w:p>
        </w:tc>
      </w:tr>
      <w:tr w14:paraId="1131A1F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right w:val="single" w:color="auto" w:sz="4" w:space="0"/>
            </w:tcBorders>
            <w:vAlign w:val="center"/>
          </w:tcPr>
          <w:p w14:paraId="751A13ED">
            <w:pPr>
              <w:spacing w:line="276" w:lineRule="auto"/>
              <w:jc w:val="center"/>
              <w:rPr>
                <w:rFonts w:ascii="宋体" w:hAnsi="宋体"/>
                <w:szCs w:val="21"/>
              </w:rPr>
            </w:pPr>
          </w:p>
        </w:tc>
        <w:tc>
          <w:tcPr>
            <w:tcW w:w="1661" w:type="dxa"/>
            <w:vMerge w:val="continue"/>
            <w:tcBorders>
              <w:left w:val="single" w:color="auto" w:sz="4" w:space="0"/>
              <w:right w:val="single" w:color="auto" w:sz="4" w:space="0"/>
            </w:tcBorders>
            <w:vAlign w:val="center"/>
          </w:tcPr>
          <w:p w14:paraId="047B69CE">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0D96BD4F">
            <w:pPr>
              <w:spacing w:line="276" w:lineRule="auto"/>
              <w:jc w:val="center"/>
              <w:rPr>
                <w:rFonts w:ascii="宋体" w:hAnsi="宋体"/>
                <w:szCs w:val="21"/>
              </w:rPr>
            </w:pPr>
            <w:r>
              <w:rPr>
                <w:rFonts w:hint="eastAsia" w:ascii="宋体" w:hAnsi="宋体"/>
                <w:szCs w:val="21"/>
              </w:rPr>
              <w:t>数量</w:t>
            </w:r>
          </w:p>
        </w:tc>
        <w:tc>
          <w:tcPr>
            <w:tcW w:w="3512" w:type="dxa"/>
            <w:tcBorders>
              <w:top w:val="single" w:color="auto" w:sz="4" w:space="0"/>
              <w:left w:val="single" w:color="auto" w:sz="4" w:space="0"/>
              <w:bottom w:val="single" w:color="auto" w:sz="4" w:space="0"/>
              <w:right w:val="single" w:color="auto" w:sz="4" w:space="0"/>
            </w:tcBorders>
            <w:vAlign w:val="center"/>
          </w:tcPr>
          <w:p w14:paraId="6AE93F63">
            <w:pPr>
              <w:spacing w:line="276" w:lineRule="auto"/>
              <w:ind w:left="-38"/>
              <w:jc w:val="center"/>
              <w:rPr>
                <w:rFonts w:ascii="宋体" w:hAnsi="宋体"/>
                <w:szCs w:val="21"/>
              </w:rPr>
            </w:pPr>
          </w:p>
        </w:tc>
      </w:tr>
      <w:tr w14:paraId="6D65D68D">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vMerge w:val="continue"/>
            <w:tcBorders>
              <w:left w:val="single" w:color="auto" w:sz="4" w:space="0"/>
              <w:bottom w:val="single" w:color="auto" w:sz="4" w:space="0"/>
              <w:right w:val="single" w:color="auto" w:sz="4" w:space="0"/>
            </w:tcBorders>
            <w:vAlign w:val="center"/>
          </w:tcPr>
          <w:p w14:paraId="381E6076">
            <w:pPr>
              <w:spacing w:line="276" w:lineRule="auto"/>
              <w:jc w:val="center"/>
              <w:rPr>
                <w:rFonts w:ascii="宋体" w:hAnsi="宋体"/>
                <w:szCs w:val="21"/>
              </w:rPr>
            </w:pPr>
          </w:p>
        </w:tc>
        <w:tc>
          <w:tcPr>
            <w:tcW w:w="1661" w:type="dxa"/>
            <w:vMerge w:val="continue"/>
            <w:tcBorders>
              <w:left w:val="single" w:color="auto" w:sz="4" w:space="0"/>
              <w:bottom w:val="single" w:color="auto" w:sz="4" w:space="0"/>
              <w:right w:val="single" w:color="auto" w:sz="4" w:space="0"/>
            </w:tcBorders>
            <w:vAlign w:val="center"/>
          </w:tcPr>
          <w:p w14:paraId="00675468">
            <w:pPr>
              <w:spacing w:line="276" w:lineRule="auto"/>
              <w:jc w:val="center"/>
              <w:rPr>
                <w:rFonts w:ascii="宋体" w:hAnsi="宋体"/>
                <w:szCs w:val="21"/>
              </w:rPr>
            </w:pPr>
          </w:p>
        </w:tc>
        <w:tc>
          <w:tcPr>
            <w:tcW w:w="2865" w:type="dxa"/>
            <w:tcBorders>
              <w:top w:val="single" w:color="auto" w:sz="4" w:space="0"/>
              <w:left w:val="single" w:color="auto" w:sz="4" w:space="0"/>
              <w:bottom w:val="single" w:color="auto" w:sz="4" w:space="0"/>
              <w:right w:val="single" w:color="auto" w:sz="4" w:space="0"/>
            </w:tcBorders>
            <w:vAlign w:val="center"/>
          </w:tcPr>
          <w:p w14:paraId="171DBC7A">
            <w:pPr>
              <w:spacing w:line="276" w:lineRule="auto"/>
              <w:jc w:val="center"/>
              <w:rPr>
                <w:rFonts w:ascii="宋体" w:hAnsi="宋体"/>
                <w:szCs w:val="21"/>
              </w:rPr>
            </w:pPr>
            <w:r>
              <w:rPr>
                <w:rFonts w:hint="eastAsia" w:ascii="宋体" w:hAnsi="宋体"/>
                <w:szCs w:val="21"/>
              </w:rPr>
              <w:t>单价</w:t>
            </w:r>
          </w:p>
        </w:tc>
        <w:tc>
          <w:tcPr>
            <w:tcW w:w="3512" w:type="dxa"/>
            <w:tcBorders>
              <w:top w:val="single" w:color="auto" w:sz="4" w:space="0"/>
              <w:left w:val="single" w:color="auto" w:sz="4" w:space="0"/>
              <w:bottom w:val="single" w:color="auto" w:sz="4" w:space="0"/>
              <w:right w:val="single" w:color="auto" w:sz="4" w:space="0"/>
            </w:tcBorders>
            <w:vAlign w:val="center"/>
          </w:tcPr>
          <w:p w14:paraId="6AD44B9E">
            <w:pPr>
              <w:spacing w:line="276" w:lineRule="auto"/>
              <w:ind w:left="-38"/>
              <w:jc w:val="center"/>
              <w:rPr>
                <w:rFonts w:ascii="宋体" w:hAnsi="宋体"/>
                <w:szCs w:val="21"/>
              </w:rPr>
            </w:pPr>
          </w:p>
        </w:tc>
      </w:tr>
      <w:tr w14:paraId="73B93FE8">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76E4CFB0">
            <w:pPr>
              <w:spacing w:line="276" w:lineRule="auto"/>
              <w:jc w:val="center"/>
              <w:rPr>
                <w:rFonts w:ascii="宋体" w:hAnsi="宋体"/>
                <w:szCs w:val="21"/>
              </w:rPr>
            </w:pPr>
            <w:r>
              <w:rPr>
                <w:rFonts w:hint="eastAsia" w:ascii="宋体" w:hAnsi="宋体"/>
                <w:szCs w:val="21"/>
              </w:rPr>
              <w:t>4</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43008581">
            <w:pPr>
              <w:spacing w:line="276" w:lineRule="auto"/>
              <w:jc w:val="center"/>
              <w:rPr>
                <w:rFonts w:ascii="宋体" w:hAnsi="宋体"/>
                <w:szCs w:val="21"/>
              </w:rPr>
            </w:pPr>
            <w:r>
              <w:rPr>
                <w:rFonts w:hint="eastAsia" w:ascii="宋体" w:hAnsi="宋体"/>
                <w:szCs w:val="21"/>
              </w:rPr>
              <w:t>交货期</w:t>
            </w:r>
          </w:p>
        </w:tc>
        <w:tc>
          <w:tcPr>
            <w:tcW w:w="3512" w:type="dxa"/>
            <w:tcBorders>
              <w:top w:val="single" w:color="auto" w:sz="4" w:space="0"/>
              <w:left w:val="single" w:color="auto" w:sz="4" w:space="0"/>
              <w:bottom w:val="single" w:color="auto" w:sz="4" w:space="0"/>
              <w:right w:val="single" w:color="auto" w:sz="4" w:space="0"/>
            </w:tcBorders>
            <w:vAlign w:val="center"/>
          </w:tcPr>
          <w:p w14:paraId="060E755E">
            <w:pPr>
              <w:spacing w:line="276" w:lineRule="auto"/>
              <w:ind w:left="-38"/>
              <w:jc w:val="center"/>
              <w:rPr>
                <w:rFonts w:ascii="宋体" w:hAnsi="宋体"/>
                <w:szCs w:val="21"/>
              </w:rPr>
            </w:pPr>
          </w:p>
        </w:tc>
      </w:tr>
      <w:tr w14:paraId="060EB773">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24D5A04B">
            <w:pPr>
              <w:spacing w:line="276" w:lineRule="auto"/>
              <w:jc w:val="center"/>
              <w:rPr>
                <w:rFonts w:ascii="宋体" w:hAnsi="宋体"/>
                <w:szCs w:val="21"/>
              </w:rPr>
            </w:pPr>
            <w:r>
              <w:rPr>
                <w:rFonts w:hint="eastAsia" w:ascii="宋体" w:hAnsi="宋体"/>
                <w:szCs w:val="21"/>
              </w:rPr>
              <w:t>5</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32731E36">
            <w:pPr>
              <w:spacing w:line="276" w:lineRule="auto"/>
              <w:jc w:val="center"/>
              <w:rPr>
                <w:rFonts w:ascii="宋体" w:hAnsi="宋体"/>
                <w:szCs w:val="21"/>
              </w:rPr>
            </w:pPr>
            <w:r>
              <w:rPr>
                <w:rFonts w:hint="eastAsia" w:ascii="宋体" w:hAnsi="宋体"/>
                <w:szCs w:val="21"/>
              </w:rPr>
              <w:t>质保期</w:t>
            </w:r>
          </w:p>
        </w:tc>
        <w:tc>
          <w:tcPr>
            <w:tcW w:w="3512" w:type="dxa"/>
            <w:tcBorders>
              <w:top w:val="single" w:color="auto" w:sz="4" w:space="0"/>
              <w:left w:val="single" w:color="auto" w:sz="4" w:space="0"/>
              <w:bottom w:val="single" w:color="auto" w:sz="4" w:space="0"/>
              <w:right w:val="single" w:color="auto" w:sz="4" w:space="0"/>
            </w:tcBorders>
            <w:vAlign w:val="center"/>
          </w:tcPr>
          <w:p w14:paraId="055AC39B">
            <w:pPr>
              <w:spacing w:line="276" w:lineRule="auto"/>
              <w:ind w:left="-38"/>
              <w:jc w:val="center"/>
              <w:rPr>
                <w:rFonts w:ascii="宋体" w:hAnsi="宋体"/>
                <w:szCs w:val="21"/>
              </w:rPr>
            </w:pPr>
          </w:p>
        </w:tc>
      </w:tr>
      <w:tr w14:paraId="3D5CF5FC">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7DA07BB5">
            <w:pPr>
              <w:spacing w:line="276" w:lineRule="auto"/>
              <w:jc w:val="center"/>
              <w:rPr>
                <w:rFonts w:ascii="宋体" w:hAnsi="宋体"/>
                <w:szCs w:val="21"/>
              </w:rPr>
            </w:pPr>
            <w:r>
              <w:rPr>
                <w:rFonts w:hint="eastAsia" w:ascii="宋体" w:hAnsi="宋体"/>
                <w:szCs w:val="21"/>
              </w:rPr>
              <w:t>6</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0B6D328">
            <w:pPr>
              <w:adjustRightInd w:val="0"/>
              <w:snapToGrid w:val="0"/>
              <w:spacing w:line="276" w:lineRule="auto"/>
              <w:jc w:val="center"/>
              <w:rPr>
                <w:rFonts w:ascii="宋体" w:hAnsi="宋体"/>
                <w:szCs w:val="21"/>
              </w:rPr>
            </w:pPr>
            <w:r>
              <w:rPr>
                <w:rFonts w:hint="eastAsia" w:ascii="宋体" w:hAnsi="宋体"/>
                <w:szCs w:val="21"/>
              </w:rPr>
              <w:t>投标保证金</w:t>
            </w:r>
          </w:p>
        </w:tc>
        <w:tc>
          <w:tcPr>
            <w:tcW w:w="3512" w:type="dxa"/>
            <w:tcBorders>
              <w:top w:val="single" w:color="auto" w:sz="4" w:space="0"/>
              <w:left w:val="single" w:color="auto" w:sz="4" w:space="0"/>
              <w:bottom w:val="single" w:color="auto" w:sz="4" w:space="0"/>
              <w:right w:val="single" w:color="auto" w:sz="4" w:space="0"/>
            </w:tcBorders>
            <w:vAlign w:val="center"/>
          </w:tcPr>
          <w:p w14:paraId="50CF5782">
            <w:pPr>
              <w:spacing w:line="276" w:lineRule="auto"/>
              <w:ind w:left="-38"/>
              <w:jc w:val="center"/>
              <w:rPr>
                <w:rFonts w:ascii="宋体" w:hAnsi="宋体"/>
                <w:szCs w:val="21"/>
              </w:rPr>
            </w:pPr>
          </w:p>
        </w:tc>
      </w:tr>
      <w:tr w14:paraId="6D30961B">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14:paraId="3255A3A2">
            <w:pPr>
              <w:spacing w:line="276" w:lineRule="auto"/>
              <w:jc w:val="center"/>
              <w:rPr>
                <w:rFonts w:ascii="宋体" w:hAnsi="宋体"/>
                <w:szCs w:val="21"/>
              </w:rPr>
            </w:pPr>
            <w:r>
              <w:rPr>
                <w:rFonts w:hint="eastAsia" w:ascii="宋体" w:hAnsi="宋体"/>
                <w:szCs w:val="21"/>
              </w:rPr>
              <w:t>7</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1A734496">
            <w:pPr>
              <w:adjustRightInd w:val="0"/>
              <w:snapToGrid w:val="0"/>
              <w:spacing w:line="276" w:lineRule="auto"/>
              <w:jc w:val="center"/>
              <w:rPr>
                <w:rFonts w:ascii="宋体" w:hAnsi="宋体"/>
                <w:szCs w:val="21"/>
              </w:rPr>
            </w:pPr>
            <w:r>
              <w:rPr>
                <w:rFonts w:hint="eastAsia" w:ascii="宋体" w:hAnsi="宋体"/>
                <w:szCs w:val="21"/>
              </w:rPr>
              <w:t>提供货物的制造商企业规模</w:t>
            </w:r>
          </w:p>
        </w:tc>
        <w:tc>
          <w:tcPr>
            <w:tcW w:w="3512" w:type="dxa"/>
            <w:tcBorders>
              <w:top w:val="single" w:color="auto" w:sz="4" w:space="0"/>
              <w:left w:val="single" w:color="auto" w:sz="4" w:space="0"/>
              <w:bottom w:val="single" w:color="auto" w:sz="4" w:space="0"/>
              <w:right w:val="single" w:color="auto" w:sz="4" w:space="0"/>
            </w:tcBorders>
            <w:vAlign w:val="center"/>
          </w:tcPr>
          <w:p w14:paraId="531AF3F3">
            <w:pPr>
              <w:spacing w:line="276" w:lineRule="auto"/>
              <w:ind w:left="-38"/>
              <w:rPr>
                <w:rFonts w:hint="eastAsia" w:ascii="Wingdings 2" w:hAnsi="Wingdings 2"/>
                <w:szCs w:val="21"/>
              </w:rPr>
            </w:pPr>
            <w:r>
              <w:rPr>
                <w:rFonts w:ascii="Wingdings 2" w:hAnsi="Wingdings 2"/>
                <w:szCs w:val="21"/>
              </w:rPr>
              <w:t></w:t>
            </w:r>
            <w:r>
              <w:rPr>
                <w:rFonts w:hint="eastAsia" w:ascii="Wingdings 2" w:hAnsi="Wingdings 2"/>
                <w:szCs w:val="21"/>
              </w:rPr>
              <w:t>大型企业</w:t>
            </w:r>
            <w:r>
              <w:rPr>
                <w:rFonts w:ascii="Wingdings 2" w:hAnsi="Wingdings 2"/>
                <w:szCs w:val="21"/>
              </w:rPr>
              <w:t></w:t>
            </w:r>
            <w:r>
              <w:rPr>
                <w:rFonts w:hint="eastAsia" w:ascii="Wingdings 2" w:hAnsi="Wingdings 2"/>
                <w:szCs w:val="21"/>
              </w:rPr>
              <w:t>中型企业</w:t>
            </w:r>
          </w:p>
          <w:p w14:paraId="4C0D99BA">
            <w:pPr>
              <w:spacing w:line="276" w:lineRule="auto"/>
              <w:ind w:left="-38"/>
              <w:rPr>
                <w:rFonts w:hint="eastAsia" w:ascii="Wingdings 2" w:hAnsi="Wingdings 2"/>
                <w:szCs w:val="21"/>
              </w:rPr>
            </w:pPr>
            <w:r>
              <w:rPr>
                <w:rFonts w:ascii="Wingdings 2" w:hAnsi="Wingdings 2"/>
                <w:szCs w:val="21"/>
              </w:rPr>
              <w:sym w:font="Wingdings 2" w:char="00A3"/>
            </w:r>
            <w:r>
              <w:rPr>
                <w:rFonts w:hint="eastAsia" w:ascii="Wingdings 2" w:hAnsi="Wingdings 2"/>
                <w:szCs w:val="21"/>
              </w:rPr>
              <w:t>小型企业</w:t>
            </w:r>
            <w:r>
              <w:rPr>
                <w:rFonts w:ascii="Wingdings 2" w:hAnsi="Wingdings 2"/>
                <w:szCs w:val="21"/>
              </w:rPr>
              <w:t></w:t>
            </w:r>
            <w:r>
              <w:rPr>
                <w:rFonts w:hint="eastAsia" w:ascii="Wingdings 2" w:hAnsi="Wingdings 2"/>
                <w:szCs w:val="21"/>
              </w:rPr>
              <w:t>微型企业</w:t>
            </w:r>
          </w:p>
          <w:p w14:paraId="40CF565A">
            <w:pPr>
              <w:pStyle w:val="25"/>
              <w:ind w:left="0" w:firstLine="0"/>
            </w:pPr>
            <w:r>
              <w:rPr>
                <w:rFonts w:hint="eastAsia" w:ascii="Wingdings 2" w:hAnsi="Wingdings 2"/>
                <w:szCs w:val="21"/>
              </w:rPr>
              <w:t>说明：</w:t>
            </w:r>
            <w:r>
              <w:rPr>
                <w:rFonts w:hint="eastAsia" w:ascii="宋体" w:hAnsi="宋体" w:cs="宋体"/>
                <w:kern w:val="0"/>
                <w:szCs w:val="21"/>
              </w:rPr>
              <w:t>（非单一货物制造商请分别说明企业规模）</w:t>
            </w:r>
          </w:p>
        </w:tc>
      </w:tr>
      <w:tr w14:paraId="77DBA621">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00" w:type="dxa"/>
            <w:tcBorders>
              <w:top w:val="single" w:color="auto" w:sz="4" w:space="0"/>
              <w:left w:val="single" w:color="auto" w:sz="4" w:space="0"/>
              <w:bottom w:val="single" w:color="auto" w:sz="4" w:space="0"/>
              <w:right w:val="single" w:color="auto" w:sz="4" w:space="0"/>
            </w:tcBorders>
            <w:vAlign w:val="center"/>
          </w:tcPr>
          <w:p w14:paraId="7BFB7AB9">
            <w:pPr>
              <w:spacing w:line="276" w:lineRule="auto"/>
              <w:jc w:val="center"/>
              <w:rPr>
                <w:rFonts w:ascii="宋体" w:hAnsi="宋体"/>
                <w:szCs w:val="21"/>
              </w:rPr>
            </w:pPr>
            <w:r>
              <w:rPr>
                <w:rFonts w:hint="eastAsia" w:ascii="宋体" w:hAnsi="宋体"/>
                <w:szCs w:val="21"/>
              </w:rPr>
              <w:t>8</w:t>
            </w:r>
          </w:p>
        </w:tc>
        <w:tc>
          <w:tcPr>
            <w:tcW w:w="4526" w:type="dxa"/>
            <w:gridSpan w:val="2"/>
            <w:tcBorders>
              <w:top w:val="single" w:color="auto" w:sz="4" w:space="0"/>
              <w:left w:val="single" w:color="auto" w:sz="4" w:space="0"/>
              <w:bottom w:val="single" w:color="auto" w:sz="4" w:space="0"/>
              <w:right w:val="single" w:color="auto" w:sz="4" w:space="0"/>
            </w:tcBorders>
            <w:vAlign w:val="center"/>
          </w:tcPr>
          <w:p w14:paraId="79A00137">
            <w:pPr>
              <w:adjustRightInd w:val="0"/>
              <w:snapToGrid w:val="0"/>
              <w:spacing w:line="276" w:lineRule="auto"/>
              <w:jc w:val="center"/>
              <w:rPr>
                <w:rFonts w:ascii="宋体" w:hAnsi="宋体"/>
                <w:szCs w:val="21"/>
              </w:rPr>
            </w:pPr>
            <w:r>
              <w:rPr>
                <w:rFonts w:hint="eastAsia" w:ascii="宋体" w:hAnsi="宋体"/>
                <w:szCs w:val="21"/>
              </w:rPr>
              <w:t>备注</w:t>
            </w:r>
          </w:p>
        </w:tc>
        <w:tc>
          <w:tcPr>
            <w:tcW w:w="3512" w:type="dxa"/>
            <w:tcBorders>
              <w:top w:val="single" w:color="auto" w:sz="4" w:space="0"/>
              <w:left w:val="single" w:color="auto" w:sz="4" w:space="0"/>
              <w:bottom w:val="single" w:color="auto" w:sz="4" w:space="0"/>
              <w:right w:val="single" w:color="auto" w:sz="4" w:space="0"/>
            </w:tcBorders>
            <w:vAlign w:val="center"/>
          </w:tcPr>
          <w:p w14:paraId="0A5B9E7C">
            <w:pPr>
              <w:spacing w:line="276" w:lineRule="auto"/>
              <w:ind w:left="-38"/>
              <w:jc w:val="center"/>
              <w:rPr>
                <w:rFonts w:ascii="宋体" w:hAnsi="宋体"/>
                <w:szCs w:val="21"/>
              </w:rPr>
            </w:pPr>
          </w:p>
        </w:tc>
      </w:tr>
    </w:tbl>
    <w:p w14:paraId="40812AD6">
      <w:pPr>
        <w:spacing w:line="276" w:lineRule="auto"/>
        <w:ind w:left="918" w:hanging="917" w:hangingChars="437"/>
        <w:jc w:val="left"/>
        <w:rPr>
          <w:rFonts w:ascii="宋体" w:hAnsi="宋体"/>
          <w:szCs w:val="21"/>
        </w:rPr>
      </w:pPr>
      <w:r>
        <w:rPr>
          <w:rFonts w:hint="eastAsia" w:ascii="宋体" w:hAnsi="宋体"/>
          <w:szCs w:val="21"/>
        </w:rPr>
        <w:t xml:space="preserve">说明： 1．报价用人民币表示，单位为“ 元”。 </w:t>
      </w:r>
    </w:p>
    <w:p w14:paraId="36552E7B">
      <w:pPr>
        <w:spacing w:line="276" w:lineRule="auto"/>
        <w:ind w:left="1017" w:leftChars="339" w:hanging="306" w:hangingChars="146"/>
        <w:jc w:val="left"/>
        <w:rPr>
          <w:rFonts w:ascii="宋体" w:hAnsi="宋体"/>
          <w:szCs w:val="21"/>
        </w:rPr>
      </w:pPr>
      <w:r>
        <w:rPr>
          <w:rFonts w:hint="eastAsia" w:ascii="宋体" w:hAnsi="宋体"/>
          <w:szCs w:val="21"/>
        </w:rPr>
        <w:t>2．价格应按照招标文件第二章“投标人须知”中第12条的要求进行报价。</w:t>
      </w:r>
    </w:p>
    <w:p w14:paraId="7CE4FD3F">
      <w:pPr>
        <w:spacing w:line="276" w:lineRule="auto"/>
        <w:ind w:left="1017" w:leftChars="339" w:hanging="306" w:hangingChars="146"/>
        <w:jc w:val="left"/>
        <w:rPr>
          <w:rFonts w:ascii="宋体" w:hAnsi="宋体"/>
          <w:szCs w:val="21"/>
        </w:rPr>
      </w:pPr>
      <w:r>
        <w:rPr>
          <w:rFonts w:hint="eastAsia" w:ascii="宋体" w:hAnsi="宋体"/>
          <w:szCs w:val="21"/>
        </w:rPr>
        <w:t>3.如果以文字表示的数值与以数字表示的数值不一致，以文字为准修正数字。</w:t>
      </w:r>
    </w:p>
    <w:p w14:paraId="77D44E8C">
      <w:pPr>
        <w:spacing w:before="100" w:beforeAutospacing="1" w:after="100" w:afterAutospacing="1" w:line="276" w:lineRule="auto"/>
        <w:ind w:firstLine="2902" w:firstLineChars="1382"/>
        <w:rPr>
          <w:rFonts w:ascii="宋体" w:hAnsi="宋体"/>
          <w:bCs/>
          <w:szCs w:val="21"/>
          <w:lang w:val="zh-CN"/>
        </w:rPr>
      </w:pPr>
    </w:p>
    <w:p w14:paraId="26D64A05">
      <w:pPr>
        <w:spacing w:before="100" w:beforeAutospacing="1" w:after="100" w:afterAutospacing="1" w:line="276" w:lineRule="auto"/>
        <w:ind w:firstLine="2902" w:firstLineChars="1382"/>
        <w:rPr>
          <w:rFonts w:ascii="宋体" w:hAnsi="宋体"/>
          <w:bCs/>
          <w:szCs w:val="21"/>
          <w:u w:val="single"/>
          <w:lang w:val="zh-CN"/>
        </w:rPr>
      </w:pPr>
      <w:r>
        <w:rPr>
          <w:rFonts w:hint="eastAsia" w:ascii="宋体" w:hAnsi="宋体"/>
          <w:bCs/>
          <w:szCs w:val="21"/>
          <w:lang w:val="zh-CN"/>
        </w:rPr>
        <w:t>投标人名称（公章）：</w:t>
      </w:r>
    </w:p>
    <w:p w14:paraId="05E270B8">
      <w:pPr>
        <w:spacing w:before="100" w:beforeAutospacing="1" w:after="100" w:afterAutospacing="1" w:line="276" w:lineRule="auto"/>
        <w:ind w:firstLine="2902" w:firstLineChars="1382"/>
        <w:rPr>
          <w:rFonts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p>
    <w:p w14:paraId="5B0B0095">
      <w:pPr>
        <w:spacing w:line="276" w:lineRule="auto"/>
        <w:ind w:firstLine="2902" w:firstLineChars="1382"/>
        <w:rPr>
          <w:rFonts w:ascii="宋体" w:hAnsi="宋体"/>
          <w:color w:val="000000"/>
          <w:szCs w:val="21"/>
        </w:rPr>
      </w:pPr>
      <w:r>
        <w:rPr>
          <w:rFonts w:hint="eastAsia" w:ascii="宋体" w:hAnsi="宋体"/>
          <w:color w:val="000000"/>
          <w:szCs w:val="21"/>
        </w:rPr>
        <w:t>日期：年 月 日</w:t>
      </w:r>
    </w:p>
    <w:p w14:paraId="502247BE">
      <w:pPr>
        <w:rPr>
          <w:szCs w:val="21"/>
        </w:rPr>
      </w:pPr>
      <w:r>
        <w:rPr>
          <w:rFonts w:hint="eastAsia" w:ascii="宋体" w:hAnsi="宋体"/>
          <w:color w:val="000000"/>
          <w:kern w:val="0"/>
          <w:szCs w:val="21"/>
        </w:rPr>
        <w:br w:type="page"/>
      </w:r>
    </w:p>
    <w:p w14:paraId="4E272847">
      <w:pPr>
        <w:pStyle w:val="36"/>
        <w:numPr>
          <w:ilvl w:val="0"/>
          <w:numId w:val="60"/>
        </w:numPr>
        <w:spacing w:line="276" w:lineRule="auto"/>
        <w:ind w:firstLineChars="0"/>
        <w:outlineLvl w:val="2"/>
        <w:rPr>
          <w:szCs w:val="21"/>
        </w:rPr>
      </w:pPr>
      <w:r>
        <w:rPr>
          <w:rFonts w:hint="eastAsia"/>
          <w:szCs w:val="21"/>
        </w:rPr>
        <w:t>报价明细表</w:t>
      </w:r>
    </w:p>
    <w:p w14:paraId="4F4106FB">
      <w:pPr>
        <w:spacing w:line="276" w:lineRule="auto"/>
        <w:jc w:val="center"/>
        <w:rPr>
          <w:b/>
          <w:szCs w:val="21"/>
        </w:rPr>
      </w:pPr>
      <w:r>
        <w:rPr>
          <w:rFonts w:hint="eastAsia"/>
          <w:b/>
          <w:szCs w:val="21"/>
        </w:rPr>
        <w:t>报价明细表</w:t>
      </w:r>
    </w:p>
    <w:p w14:paraId="0CB5A733">
      <w:pPr>
        <w:spacing w:line="276" w:lineRule="auto"/>
        <w:jc w:val="left"/>
        <w:rPr>
          <w:rFonts w:ascii="宋体" w:hAnsi="宋体"/>
          <w:szCs w:val="21"/>
          <w:u w:val="single"/>
          <w:lang w:val="zh-CN"/>
        </w:rPr>
      </w:pPr>
      <w:r>
        <w:rPr>
          <w:rFonts w:hint="eastAsia" w:ascii="宋体" w:hAnsi="宋体"/>
          <w:szCs w:val="21"/>
          <w:lang w:val="zh-CN"/>
        </w:rPr>
        <w:t>投 标 人：</w:t>
      </w:r>
    </w:p>
    <w:p w14:paraId="2FDC051A">
      <w:pPr>
        <w:spacing w:line="276" w:lineRule="auto"/>
        <w:jc w:val="left"/>
        <w:rPr>
          <w:rFonts w:ascii="宋体" w:hAnsi="宋体"/>
          <w:szCs w:val="21"/>
          <w:u w:val="single"/>
          <w:lang w:val="zh-CN"/>
        </w:rPr>
      </w:pPr>
      <w:r>
        <w:rPr>
          <w:rFonts w:hint="eastAsia" w:ascii="宋体" w:hAnsi="宋体"/>
          <w:szCs w:val="21"/>
          <w:lang w:val="zh-CN"/>
        </w:rPr>
        <w:t>项目编号/包号：项目名称</w:t>
      </w:r>
      <w:r>
        <w:rPr>
          <w:rFonts w:hint="eastAsia" w:ascii="宋体" w:hAnsi="宋体"/>
          <w:bCs/>
          <w:szCs w:val="21"/>
          <w:lang w:val="zh-CN"/>
        </w:rPr>
        <w:t>：</w:t>
      </w:r>
    </w:p>
    <w:tbl>
      <w:tblPr>
        <w:tblStyle w:val="26"/>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2410"/>
        <w:gridCol w:w="1134"/>
        <w:gridCol w:w="1417"/>
        <w:gridCol w:w="1059"/>
        <w:gridCol w:w="1316"/>
        <w:gridCol w:w="1357"/>
      </w:tblGrid>
      <w:tr w14:paraId="23730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3" w:type="dxa"/>
            <w:tcBorders>
              <w:top w:val="single" w:color="auto" w:sz="4" w:space="0"/>
              <w:left w:val="single" w:color="auto" w:sz="4" w:space="0"/>
              <w:bottom w:val="single" w:color="auto" w:sz="4" w:space="0"/>
              <w:right w:val="single" w:color="auto" w:sz="4" w:space="0"/>
            </w:tcBorders>
            <w:shd w:val="clear" w:color="auto" w:fill="D8D8D8"/>
            <w:vAlign w:val="center"/>
          </w:tcPr>
          <w:p w14:paraId="26BC8B6A">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序号</w:t>
            </w:r>
          </w:p>
        </w:tc>
        <w:tc>
          <w:tcPr>
            <w:tcW w:w="2410" w:type="dxa"/>
            <w:tcBorders>
              <w:top w:val="single" w:color="auto" w:sz="4" w:space="0"/>
              <w:left w:val="single" w:color="auto" w:sz="4" w:space="0"/>
              <w:bottom w:val="single" w:color="auto" w:sz="4" w:space="0"/>
              <w:right w:val="single" w:color="auto" w:sz="4" w:space="0"/>
            </w:tcBorders>
            <w:shd w:val="clear" w:color="auto" w:fill="D8D8D8"/>
            <w:vAlign w:val="center"/>
          </w:tcPr>
          <w:p w14:paraId="2A3D3A99">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名称</w:t>
            </w:r>
          </w:p>
        </w:tc>
        <w:tc>
          <w:tcPr>
            <w:tcW w:w="1134" w:type="dxa"/>
            <w:tcBorders>
              <w:top w:val="single" w:color="auto" w:sz="4" w:space="0"/>
              <w:left w:val="single" w:color="auto" w:sz="4" w:space="0"/>
              <w:bottom w:val="single" w:color="auto" w:sz="4" w:space="0"/>
              <w:right w:val="single" w:color="auto" w:sz="4" w:space="0"/>
            </w:tcBorders>
            <w:shd w:val="clear" w:color="auto" w:fill="D8D8D8"/>
            <w:vAlign w:val="center"/>
          </w:tcPr>
          <w:p w14:paraId="09FDD84D">
            <w:pPr>
              <w:spacing w:line="276" w:lineRule="auto"/>
              <w:ind w:left="-48" w:leftChars="-23" w:right="-65" w:rightChars="-31"/>
              <w:jc w:val="center"/>
              <w:rPr>
                <w:rFonts w:ascii="宋体" w:hAnsi="宋体"/>
                <w:szCs w:val="21"/>
              </w:rPr>
            </w:pPr>
            <w:r>
              <w:rPr>
                <w:rFonts w:hint="eastAsia" w:ascii="宋体" w:hAnsi="宋体"/>
                <w:szCs w:val="21"/>
              </w:rPr>
              <w:t>品牌</w:t>
            </w:r>
          </w:p>
          <w:p w14:paraId="6A5FB7D8">
            <w:pPr>
              <w:spacing w:line="276" w:lineRule="auto"/>
              <w:ind w:left="-48" w:leftChars="-23" w:right="-65" w:rightChars="-31"/>
              <w:jc w:val="center"/>
              <w:rPr>
                <w:rFonts w:ascii="宋体" w:hAnsi="宋体" w:cs="宋体"/>
                <w:color w:val="0D0D0D"/>
                <w:kern w:val="0"/>
                <w:szCs w:val="21"/>
              </w:rPr>
            </w:pPr>
            <w:r>
              <w:rPr>
                <w:rFonts w:hint="eastAsia" w:ascii="宋体" w:hAnsi="宋体"/>
                <w:szCs w:val="21"/>
              </w:rPr>
              <w:t>型号规格</w:t>
            </w:r>
          </w:p>
        </w:tc>
        <w:tc>
          <w:tcPr>
            <w:tcW w:w="1417" w:type="dxa"/>
            <w:tcBorders>
              <w:top w:val="single" w:color="auto" w:sz="4" w:space="0"/>
              <w:left w:val="single" w:color="auto" w:sz="4" w:space="0"/>
              <w:bottom w:val="single" w:color="auto" w:sz="4" w:space="0"/>
              <w:right w:val="single" w:color="auto" w:sz="4" w:space="0"/>
            </w:tcBorders>
            <w:shd w:val="clear" w:color="auto" w:fill="D8D8D8"/>
            <w:vAlign w:val="center"/>
          </w:tcPr>
          <w:p w14:paraId="751CCA4F">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原产地和制造商名称</w:t>
            </w:r>
          </w:p>
        </w:tc>
        <w:tc>
          <w:tcPr>
            <w:tcW w:w="1059" w:type="dxa"/>
            <w:tcBorders>
              <w:top w:val="single" w:color="auto" w:sz="4" w:space="0"/>
              <w:left w:val="single" w:color="auto" w:sz="4" w:space="0"/>
              <w:bottom w:val="single" w:color="auto" w:sz="4" w:space="0"/>
              <w:right w:val="single" w:color="auto" w:sz="4" w:space="0"/>
            </w:tcBorders>
            <w:shd w:val="clear" w:color="auto" w:fill="D8D8D8"/>
            <w:vAlign w:val="center"/>
          </w:tcPr>
          <w:p w14:paraId="6C8A27AA">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数量</w:t>
            </w:r>
          </w:p>
        </w:tc>
        <w:tc>
          <w:tcPr>
            <w:tcW w:w="1316" w:type="dxa"/>
            <w:tcBorders>
              <w:top w:val="single" w:color="auto" w:sz="4" w:space="0"/>
              <w:left w:val="single" w:color="auto" w:sz="4" w:space="0"/>
              <w:bottom w:val="single" w:color="auto" w:sz="4" w:space="0"/>
              <w:right w:val="single" w:color="auto" w:sz="4" w:space="0"/>
            </w:tcBorders>
            <w:shd w:val="clear" w:color="auto" w:fill="D8D8D8"/>
            <w:vAlign w:val="center"/>
          </w:tcPr>
          <w:p w14:paraId="0B20A56A">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单价</w:t>
            </w:r>
          </w:p>
        </w:tc>
        <w:tc>
          <w:tcPr>
            <w:tcW w:w="1357" w:type="dxa"/>
            <w:tcBorders>
              <w:top w:val="single" w:color="auto" w:sz="4" w:space="0"/>
              <w:left w:val="single" w:color="auto" w:sz="4" w:space="0"/>
              <w:bottom w:val="single" w:color="auto" w:sz="4" w:space="0"/>
              <w:right w:val="single" w:color="auto" w:sz="4" w:space="0"/>
            </w:tcBorders>
            <w:shd w:val="clear" w:color="auto" w:fill="D8D8D8"/>
            <w:vAlign w:val="center"/>
          </w:tcPr>
          <w:p w14:paraId="7E768256">
            <w:pPr>
              <w:spacing w:line="276" w:lineRule="auto"/>
              <w:ind w:left="-23" w:leftChars="-11" w:right="-65" w:rightChars="-31"/>
              <w:jc w:val="center"/>
              <w:rPr>
                <w:rFonts w:ascii="宋体" w:hAnsi="宋体" w:cs="宋体"/>
                <w:color w:val="0D0D0D"/>
                <w:kern w:val="0"/>
                <w:szCs w:val="21"/>
              </w:rPr>
            </w:pPr>
            <w:r>
              <w:rPr>
                <w:rFonts w:hint="eastAsia" w:ascii="宋体" w:hAnsi="宋体" w:cs="宋体"/>
                <w:color w:val="0D0D0D"/>
                <w:kern w:val="0"/>
                <w:szCs w:val="21"/>
              </w:rPr>
              <w:t>分项合计</w:t>
            </w:r>
          </w:p>
        </w:tc>
      </w:tr>
      <w:tr w14:paraId="44C2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F82EF84">
            <w:pPr>
              <w:numPr>
                <w:ilvl w:val="0"/>
                <w:numId w:val="61"/>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2D2B51F4">
            <w:pPr>
              <w:tabs>
                <w:tab w:val="left" w:pos="0"/>
                <w:tab w:val="left" w:pos="56"/>
              </w:tabs>
              <w:adjustRightInd w:val="0"/>
              <w:snapToGrid w:val="0"/>
              <w:spacing w:line="276" w:lineRule="auto"/>
              <w:ind w:left="479" w:hanging="478" w:hangingChars="228"/>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1F3BD8D">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EBBC81B">
            <w:pPr>
              <w:spacing w:line="276" w:lineRule="auto"/>
              <w:ind w:left="-48" w:leftChars="-23" w:right="-375" w:rightChars="-179"/>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4F86D47">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798522D8">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396A199">
            <w:pPr>
              <w:spacing w:line="276" w:lineRule="auto"/>
              <w:ind w:left="-48" w:leftChars="-23" w:right="-65" w:rightChars="-31"/>
              <w:jc w:val="center"/>
              <w:rPr>
                <w:rFonts w:ascii="宋体" w:hAnsi="宋体" w:cs="宋体"/>
                <w:color w:val="0D0D0D"/>
                <w:kern w:val="0"/>
                <w:szCs w:val="21"/>
              </w:rPr>
            </w:pPr>
          </w:p>
        </w:tc>
      </w:tr>
      <w:tr w14:paraId="79385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65220177">
            <w:pPr>
              <w:numPr>
                <w:ilvl w:val="0"/>
                <w:numId w:val="61"/>
              </w:numPr>
              <w:tabs>
                <w:tab w:val="left" w:pos="82"/>
              </w:tabs>
              <w:adjustRightInd w:val="0"/>
              <w:snapToGrid w:val="0"/>
              <w:spacing w:line="276" w:lineRule="auto"/>
              <w:jc w:val="center"/>
              <w:rPr>
                <w:rFonts w:ascii="宋体" w:hAnsi="宋体"/>
                <w:szCs w:val="21"/>
              </w:rPr>
            </w:pPr>
          </w:p>
        </w:tc>
        <w:tc>
          <w:tcPr>
            <w:tcW w:w="2410" w:type="dxa"/>
            <w:tcBorders>
              <w:top w:val="single" w:color="auto" w:sz="4" w:space="0"/>
              <w:left w:val="single" w:color="auto" w:sz="4" w:space="0"/>
              <w:bottom w:val="single" w:color="auto" w:sz="4" w:space="0"/>
              <w:right w:val="single" w:color="auto" w:sz="4" w:space="0"/>
            </w:tcBorders>
            <w:vAlign w:val="center"/>
          </w:tcPr>
          <w:p w14:paraId="649F2265">
            <w:pPr>
              <w:tabs>
                <w:tab w:val="left" w:pos="0"/>
                <w:tab w:val="left" w:pos="56"/>
              </w:tabs>
              <w:adjustRightInd w:val="0"/>
              <w:snapToGrid w:val="0"/>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7F779AC">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C03946C">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3061E461">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36831B81">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EC2FB87">
            <w:pPr>
              <w:spacing w:line="276" w:lineRule="auto"/>
              <w:ind w:left="-48" w:leftChars="-23" w:right="-65" w:rightChars="-31"/>
              <w:jc w:val="center"/>
              <w:rPr>
                <w:rFonts w:ascii="宋体" w:hAnsi="宋体" w:cs="宋体"/>
                <w:color w:val="0D0D0D"/>
                <w:kern w:val="0"/>
                <w:szCs w:val="21"/>
              </w:rPr>
            </w:pPr>
          </w:p>
        </w:tc>
      </w:tr>
      <w:tr w14:paraId="2E1AD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018DA460">
            <w:pPr>
              <w:tabs>
                <w:tab w:val="left" w:pos="82"/>
              </w:tabs>
              <w:adjustRightInd w:val="0"/>
              <w:snapToGrid w:val="0"/>
              <w:spacing w:line="276" w:lineRule="auto"/>
              <w:jc w:val="center"/>
              <w:rPr>
                <w:rFonts w:ascii="宋体" w:hAnsi="宋体"/>
                <w:szCs w:val="21"/>
              </w:rPr>
            </w:pPr>
            <w:r>
              <w:rPr>
                <w:rFonts w:hint="eastAsia" w:ascii="宋体" w:hAnsi="宋体"/>
                <w:szCs w:val="21"/>
              </w:rPr>
              <w:t>3</w:t>
            </w:r>
          </w:p>
        </w:tc>
        <w:tc>
          <w:tcPr>
            <w:tcW w:w="2410" w:type="dxa"/>
            <w:tcBorders>
              <w:top w:val="single" w:color="auto" w:sz="4" w:space="0"/>
              <w:left w:val="single" w:color="auto" w:sz="4" w:space="0"/>
              <w:bottom w:val="single" w:color="auto" w:sz="4" w:space="0"/>
              <w:right w:val="single" w:color="auto" w:sz="4" w:space="0"/>
            </w:tcBorders>
            <w:vAlign w:val="center"/>
          </w:tcPr>
          <w:p w14:paraId="31E7BA3D">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1E074F4">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3AF37BDC">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29E3867F">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18AB7095">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40AD1AF">
            <w:pPr>
              <w:spacing w:line="276" w:lineRule="auto"/>
              <w:ind w:left="-48" w:leftChars="-23" w:right="-65" w:rightChars="-31"/>
              <w:jc w:val="center"/>
              <w:rPr>
                <w:rFonts w:ascii="宋体" w:hAnsi="宋体" w:cs="宋体"/>
                <w:color w:val="0D0D0D"/>
                <w:kern w:val="0"/>
                <w:szCs w:val="21"/>
              </w:rPr>
            </w:pPr>
          </w:p>
        </w:tc>
      </w:tr>
      <w:tr w14:paraId="5E10F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57291686">
            <w:pPr>
              <w:tabs>
                <w:tab w:val="left" w:pos="82"/>
              </w:tabs>
              <w:adjustRightInd w:val="0"/>
              <w:snapToGrid w:val="0"/>
              <w:spacing w:line="276" w:lineRule="auto"/>
              <w:jc w:val="center"/>
              <w:rPr>
                <w:rFonts w:ascii="宋体" w:hAnsi="宋体"/>
                <w:szCs w:val="21"/>
              </w:rPr>
            </w:pPr>
            <w:r>
              <w:rPr>
                <w:rFonts w:hint="eastAsia" w:ascii="宋体" w:hAnsi="宋体"/>
                <w:szCs w:val="21"/>
              </w:rPr>
              <w:t>4</w:t>
            </w:r>
          </w:p>
        </w:tc>
        <w:tc>
          <w:tcPr>
            <w:tcW w:w="2410" w:type="dxa"/>
            <w:tcBorders>
              <w:top w:val="single" w:color="auto" w:sz="4" w:space="0"/>
              <w:left w:val="single" w:color="auto" w:sz="4" w:space="0"/>
              <w:bottom w:val="single" w:color="auto" w:sz="4" w:space="0"/>
              <w:right w:val="single" w:color="auto" w:sz="4" w:space="0"/>
            </w:tcBorders>
            <w:vAlign w:val="center"/>
          </w:tcPr>
          <w:p w14:paraId="5E51F030">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87855A8">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0B7AB6F2">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DC91C21">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2749235D">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3BDE668D">
            <w:pPr>
              <w:spacing w:line="276" w:lineRule="auto"/>
              <w:ind w:left="-48" w:leftChars="-23" w:right="-65" w:rightChars="-31"/>
              <w:jc w:val="center"/>
              <w:rPr>
                <w:rFonts w:ascii="宋体" w:hAnsi="宋体" w:cs="宋体"/>
                <w:color w:val="0D0D0D"/>
                <w:kern w:val="0"/>
                <w:szCs w:val="21"/>
              </w:rPr>
            </w:pPr>
          </w:p>
        </w:tc>
      </w:tr>
      <w:tr w14:paraId="66382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4C25B88C">
            <w:pPr>
              <w:tabs>
                <w:tab w:val="left" w:pos="82"/>
              </w:tabs>
              <w:adjustRightInd w:val="0"/>
              <w:snapToGrid w:val="0"/>
              <w:spacing w:line="276" w:lineRule="auto"/>
              <w:jc w:val="center"/>
              <w:rPr>
                <w:rFonts w:ascii="宋体" w:hAnsi="宋体"/>
                <w:szCs w:val="21"/>
              </w:rPr>
            </w:pPr>
            <w:r>
              <w:rPr>
                <w:rFonts w:hint="eastAsia" w:ascii="宋体" w:hAnsi="宋体"/>
                <w:szCs w:val="21"/>
              </w:rPr>
              <w:t>5</w:t>
            </w:r>
          </w:p>
        </w:tc>
        <w:tc>
          <w:tcPr>
            <w:tcW w:w="2410" w:type="dxa"/>
            <w:tcBorders>
              <w:top w:val="single" w:color="auto" w:sz="4" w:space="0"/>
              <w:left w:val="single" w:color="auto" w:sz="4" w:space="0"/>
              <w:bottom w:val="single" w:color="auto" w:sz="4" w:space="0"/>
              <w:right w:val="single" w:color="auto" w:sz="4" w:space="0"/>
            </w:tcBorders>
            <w:vAlign w:val="center"/>
          </w:tcPr>
          <w:p w14:paraId="5E25B829">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816ECE9">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528B95B0">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4FFA621E">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5393094A">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AD84768">
            <w:pPr>
              <w:spacing w:line="276" w:lineRule="auto"/>
              <w:ind w:left="-48" w:leftChars="-23" w:right="-65" w:rightChars="-31"/>
              <w:jc w:val="center"/>
              <w:rPr>
                <w:rFonts w:ascii="宋体" w:hAnsi="宋体" w:cs="宋体"/>
                <w:color w:val="0D0D0D"/>
                <w:kern w:val="0"/>
                <w:szCs w:val="21"/>
              </w:rPr>
            </w:pPr>
          </w:p>
        </w:tc>
      </w:tr>
      <w:tr w14:paraId="72E9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430EE54">
            <w:pPr>
              <w:tabs>
                <w:tab w:val="left" w:pos="82"/>
              </w:tabs>
              <w:adjustRightInd w:val="0"/>
              <w:snapToGrid w:val="0"/>
              <w:spacing w:line="276" w:lineRule="auto"/>
              <w:jc w:val="center"/>
              <w:rPr>
                <w:rFonts w:ascii="宋体" w:hAnsi="宋体"/>
                <w:szCs w:val="21"/>
              </w:rPr>
            </w:pPr>
            <w:r>
              <w:rPr>
                <w:rFonts w:hint="eastAsia" w:ascii="宋体" w:hAnsi="宋体"/>
                <w:szCs w:val="21"/>
              </w:rPr>
              <w:t>6</w:t>
            </w:r>
          </w:p>
        </w:tc>
        <w:tc>
          <w:tcPr>
            <w:tcW w:w="2410" w:type="dxa"/>
            <w:tcBorders>
              <w:top w:val="single" w:color="auto" w:sz="4" w:space="0"/>
              <w:left w:val="single" w:color="auto" w:sz="4" w:space="0"/>
              <w:bottom w:val="single" w:color="auto" w:sz="4" w:space="0"/>
              <w:right w:val="single" w:color="auto" w:sz="4" w:space="0"/>
            </w:tcBorders>
            <w:vAlign w:val="center"/>
          </w:tcPr>
          <w:p w14:paraId="3433C011">
            <w:pPr>
              <w:spacing w:line="276" w:lineRule="auto"/>
              <w:ind w:left="-48" w:leftChars="-23" w:right="-65" w:rightChars="-31"/>
              <w:jc w:val="left"/>
              <w:rPr>
                <w:rFonts w:ascii="宋体" w:hAnsi="宋体" w:cs="宋体"/>
                <w:color w:val="0D0D0D"/>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05C24D1">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29FD3B32">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72D4BBC3">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6634166F">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74D7E0E">
            <w:pPr>
              <w:spacing w:line="276" w:lineRule="auto"/>
              <w:ind w:left="-48" w:leftChars="-23" w:right="-65" w:rightChars="-31"/>
              <w:jc w:val="center"/>
              <w:rPr>
                <w:rFonts w:ascii="宋体" w:hAnsi="宋体" w:cs="宋体"/>
                <w:color w:val="0D0D0D"/>
                <w:kern w:val="0"/>
                <w:szCs w:val="21"/>
              </w:rPr>
            </w:pPr>
          </w:p>
        </w:tc>
      </w:tr>
      <w:tr w14:paraId="02A38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3" w:type="dxa"/>
            <w:tcBorders>
              <w:top w:val="single" w:color="auto" w:sz="4" w:space="0"/>
              <w:left w:val="single" w:color="auto" w:sz="4" w:space="0"/>
              <w:bottom w:val="single" w:color="auto" w:sz="4" w:space="0"/>
              <w:right w:val="single" w:color="auto" w:sz="4" w:space="0"/>
            </w:tcBorders>
            <w:vAlign w:val="center"/>
          </w:tcPr>
          <w:p w14:paraId="127DFC51">
            <w:pPr>
              <w:tabs>
                <w:tab w:val="left" w:pos="82"/>
              </w:tabs>
              <w:adjustRightInd w:val="0"/>
              <w:snapToGrid w:val="0"/>
              <w:spacing w:line="276" w:lineRule="auto"/>
              <w:jc w:val="center"/>
              <w:rPr>
                <w:rFonts w:ascii="宋体" w:hAnsi="宋体"/>
                <w:szCs w:val="21"/>
              </w:rPr>
            </w:pPr>
            <w:r>
              <w:rPr>
                <w:rFonts w:hint="eastAsia" w:ascii="宋体" w:hAnsi="宋体"/>
                <w:szCs w:val="21"/>
              </w:rPr>
              <w:t>……</w:t>
            </w:r>
          </w:p>
        </w:tc>
        <w:tc>
          <w:tcPr>
            <w:tcW w:w="2410" w:type="dxa"/>
            <w:tcBorders>
              <w:top w:val="single" w:color="auto" w:sz="4" w:space="0"/>
              <w:left w:val="single" w:color="auto" w:sz="4" w:space="0"/>
              <w:bottom w:val="single" w:color="auto" w:sz="4" w:space="0"/>
              <w:right w:val="single" w:color="auto" w:sz="4" w:space="0"/>
            </w:tcBorders>
            <w:vAlign w:val="center"/>
          </w:tcPr>
          <w:p w14:paraId="064578C9">
            <w:pPr>
              <w:spacing w:line="276" w:lineRule="auto"/>
              <w:ind w:left="-48" w:leftChars="-23" w:right="-65" w:rightChars="-31"/>
              <w:jc w:val="left"/>
              <w:rPr>
                <w:rFonts w:ascii="宋体" w:hAnsi="宋体" w:cs="宋体"/>
                <w:color w:val="0D0D0D"/>
                <w:kern w:val="0"/>
                <w:szCs w:val="21"/>
              </w:rPr>
            </w:pPr>
            <w:r>
              <w:rPr>
                <w:rFonts w:hint="eastAsia" w:ascii="宋体" w:hAnsi="宋体"/>
                <w:szCs w:val="21"/>
              </w:rPr>
              <w:t>……</w:t>
            </w:r>
          </w:p>
        </w:tc>
        <w:tc>
          <w:tcPr>
            <w:tcW w:w="1134" w:type="dxa"/>
            <w:tcBorders>
              <w:top w:val="single" w:color="auto" w:sz="4" w:space="0"/>
              <w:left w:val="single" w:color="auto" w:sz="4" w:space="0"/>
              <w:bottom w:val="single" w:color="auto" w:sz="4" w:space="0"/>
              <w:right w:val="single" w:color="auto" w:sz="4" w:space="0"/>
            </w:tcBorders>
            <w:vAlign w:val="center"/>
          </w:tcPr>
          <w:p w14:paraId="323763D4">
            <w:pPr>
              <w:spacing w:line="276" w:lineRule="auto"/>
              <w:ind w:left="-48" w:leftChars="-23" w:right="-65" w:rightChars="-31"/>
              <w:jc w:val="left"/>
              <w:rPr>
                <w:rFonts w:ascii="宋体" w:hAnsi="宋体" w:cs="宋体"/>
                <w:color w:val="0D0D0D"/>
                <w:kern w:val="0"/>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11FD8752">
            <w:pPr>
              <w:spacing w:line="276" w:lineRule="auto"/>
              <w:ind w:left="-48" w:leftChars="-23" w:right="-65" w:rightChars="-31"/>
              <w:jc w:val="center"/>
              <w:rPr>
                <w:rFonts w:ascii="宋体" w:hAnsi="宋体" w:cs="宋体"/>
                <w:color w:val="0D0D0D"/>
                <w:kern w:val="0"/>
                <w:szCs w:val="21"/>
              </w:rPr>
            </w:pPr>
          </w:p>
        </w:tc>
        <w:tc>
          <w:tcPr>
            <w:tcW w:w="1059" w:type="dxa"/>
            <w:tcBorders>
              <w:top w:val="single" w:color="auto" w:sz="4" w:space="0"/>
              <w:left w:val="single" w:color="auto" w:sz="4" w:space="0"/>
              <w:bottom w:val="single" w:color="auto" w:sz="4" w:space="0"/>
              <w:right w:val="single" w:color="auto" w:sz="4" w:space="0"/>
            </w:tcBorders>
            <w:vAlign w:val="center"/>
          </w:tcPr>
          <w:p w14:paraId="463D1D52">
            <w:pPr>
              <w:spacing w:line="276" w:lineRule="auto"/>
              <w:ind w:left="-48" w:leftChars="-23" w:right="-65" w:rightChars="-31"/>
              <w:jc w:val="center"/>
              <w:rPr>
                <w:rFonts w:ascii="宋体" w:hAnsi="宋体" w:cs="宋体"/>
                <w:color w:val="0D0D0D"/>
                <w:kern w:val="0"/>
                <w:szCs w:val="21"/>
              </w:rPr>
            </w:pPr>
          </w:p>
        </w:tc>
        <w:tc>
          <w:tcPr>
            <w:tcW w:w="1316" w:type="dxa"/>
            <w:tcBorders>
              <w:top w:val="single" w:color="auto" w:sz="4" w:space="0"/>
              <w:left w:val="single" w:color="auto" w:sz="4" w:space="0"/>
              <w:bottom w:val="single" w:color="auto" w:sz="4" w:space="0"/>
              <w:right w:val="single" w:color="auto" w:sz="4" w:space="0"/>
            </w:tcBorders>
            <w:vAlign w:val="center"/>
          </w:tcPr>
          <w:p w14:paraId="319AA609">
            <w:pPr>
              <w:spacing w:line="276" w:lineRule="auto"/>
              <w:ind w:left="-48" w:leftChars="-23" w:right="-65" w:rightChars="-31"/>
              <w:jc w:val="left"/>
              <w:rPr>
                <w:rFonts w:ascii="宋体" w:hAnsi="宋体" w:cs="宋体"/>
                <w:color w:val="0D0D0D"/>
                <w:kern w:val="0"/>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14E0798B">
            <w:pPr>
              <w:spacing w:line="276" w:lineRule="auto"/>
              <w:ind w:left="-48" w:leftChars="-23" w:right="-65" w:rightChars="-31"/>
              <w:jc w:val="center"/>
              <w:rPr>
                <w:rFonts w:ascii="宋体" w:hAnsi="宋体" w:cs="宋体"/>
                <w:color w:val="0D0D0D"/>
                <w:kern w:val="0"/>
                <w:szCs w:val="21"/>
              </w:rPr>
            </w:pPr>
          </w:p>
        </w:tc>
      </w:tr>
      <w:tr w14:paraId="339B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873" w:type="dxa"/>
            <w:gridSpan w:val="5"/>
            <w:tcBorders>
              <w:top w:val="single" w:color="auto" w:sz="4" w:space="0"/>
              <w:left w:val="single" w:color="auto" w:sz="4" w:space="0"/>
              <w:bottom w:val="single" w:color="auto" w:sz="4" w:space="0"/>
              <w:right w:val="single" w:color="auto" w:sz="4" w:space="0"/>
            </w:tcBorders>
            <w:vAlign w:val="center"/>
          </w:tcPr>
          <w:p w14:paraId="5787D0E6">
            <w:pPr>
              <w:spacing w:line="276" w:lineRule="auto"/>
              <w:ind w:left="-48" w:leftChars="-23" w:right="-65" w:rightChars="-31"/>
              <w:jc w:val="center"/>
              <w:rPr>
                <w:rFonts w:ascii="宋体" w:hAnsi="宋体" w:cs="宋体"/>
                <w:color w:val="0D0D0D"/>
                <w:kern w:val="0"/>
                <w:szCs w:val="21"/>
              </w:rPr>
            </w:pPr>
            <w:r>
              <w:rPr>
                <w:rFonts w:hint="eastAsia" w:ascii="宋体" w:hAnsi="宋体" w:cs="宋体"/>
                <w:color w:val="0D0D0D"/>
                <w:kern w:val="0"/>
                <w:szCs w:val="21"/>
              </w:rPr>
              <w:t>合计</w:t>
            </w:r>
          </w:p>
        </w:tc>
        <w:tc>
          <w:tcPr>
            <w:tcW w:w="2673" w:type="dxa"/>
            <w:gridSpan w:val="2"/>
            <w:tcBorders>
              <w:top w:val="single" w:color="auto" w:sz="4" w:space="0"/>
              <w:left w:val="single" w:color="auto" w:sz="4" w:space="0"/>
              <w:bottom w:val="single" w:color="auto" w:sz="4" w:space="0"/>
              <w:right w:val="single" w:color="auto" w:sz="4" w:space="0"/>
            </w:tcBorders>
            <w:vAlign w:val="center"/>
          </w:tcPr>
          <w:p w14:paraId="1065FCAC">
            <w:pPr>
              <w:spacing w:line="276" w:lineRule="auto"/>
              <w:ind w:left="-48" w:leftChars="-23" w:right="-65" w:rightChars="-31"/>
              <w:jc w:val="left"/>
              <w:rPr>
                <w:rFonts w:ascii="宋体" w:hAnsi="宋体" w:cs="宋体"/>
                <w:color w:val="0D0D0D"/>
                <w:kern w:val="0"/>
                <w:szCs w:val="21"/>
              </w:rPr>
            </w:pPr>
          </w:p>
        </w:tc>
      </w:tr>
    </w:tbl>
    <w:p w14:paraId="60261EAC">
      <w:pPr>
        <w:spacing w:line="276" w:lineRule="auto"/>
        <w:ind w:left="918" w:hanging="917" w:hangingChars="437"/>
        <w:jc w:val="left"/>
        <w:rPr>
          <w:rFonts w:ascii="宋体" w:hAnsi="宋体"/>
          <w:color w:val="000000"/>
          <w:szCs w:val="21"/>
        </w:rPr>
      </w:pPr>
      <w:r>
        <w:rPr>
          <w:rFonts w:hint="eastAsia" w:ascii="宋体" w:hAnsi="宋体"/>
          <w:color w:val="000000"/>
          <w:szCs w:val="21"/>
        </w:rPr>
        <w:t>说明： 1．币种</w:t>
      </w:r>
      <w:r>
        <w:rPr>
          <w:rFonts w:ascii="宋体" w:hAnsi="宋体"/>
          <w:color w:val="000000"/>
          <w:szCs w:val="21"/>
        </w:rPr>
        <w:t>单位与《</w:t>
      </w:r>
      <w:r>
        <w:rPr>
          <w:rFonts w:hint="eastAsia" w:ascii="宋体" w:hAnsi="宋体"/>
          <w:color w:val="000000"/>
          <w:szCs w:val="21"/>
        </w:rPr>
        <w:t>报价一览表》一致，单位为“元”。</w:t>
      </w:r>
    </w:p>
    <w:p w14:paraId="317390D1">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2．应根据采购清单进行分项报价，报价范围应包含全部采购内容。报价明细表合计应与《报价一览表》中的投标总报价一致。</w:t>
      </w:r>
    </w:p>
    <w:p w14:paraId="39875DB8">
      <w:pPr>
        <w:spacing w:line="276" w:lineRule="auto"/>
        <w:ind w:left="1017" w:leftChars="339" w:hanging="306" w:hangingChars="146"/>
        <w:jc w:val="left"/>
        <w:rPr>
          <w:rFonts w:ascii="宋体" w:hAnsi="宋体"/>
          <w:color w:val="0D0D0D"/>
          <w:szCs w:val="21"/>
        </w:rPr>
      </w:pPr>
      <w:r>
        <w:rPr>
          <w:rFonts w:hint="eastAsia" w:ascii="宋体" w:hAnsi="宋体"/>
          <w:color w:val="0D0D0D"/>
          <w:szCs w:val="21"/>
        </w:rPr>
        <w:t>3．未提供详细的分项报价表</w:t>
      </w:r>
      <w:r>
        <w:rPr>
          <w:rFonts w:hint="eastAsia" w:ascii="宋体" w:hAnsi="宋体" w:cs="Corbel"/>
          <w:szCs w:val="21"/>
        </w:rPr>
        <w:t>，</w:t>
      </w:r>
      <w:r>
        <w:rPr>
          <w:rFonts w:hint="eastAsia" w:ascii="宋体" w:hAnsi="宋体"/>
          <w:szCs w:val="21"/>
        </w:rPr>
        <w:t>导致的后果由投标人自行承担。</w:t>
      </w:r>
    </w:p>
    <w:p w14:paraId="192333BD">
      <w:pPr>
        <w:spacing w:line="276" w:lineRule="auto"/>
        <w:ind w:left="832" w:hanging="831" w:hangingChars="396"/>
        <w:jc w:val="left"/>
        <w:rPr>
          <w:rFonts w:ascii="宋体" w:hAnsi="宋体"/>
          <w:szCs w:val="21"/>
        </w:rPr>
      </w:pPr>
    </w:p>
    <w:p w14:paraId="76848F9B">
      <w:pPr>
        <w:spacing w:line="276" w:lineRule="auto"/>
        <w:ind w:left="832" w:hanging="831" w:hangingChars="396"/>
        <w:jc w:val="left"/>
        <w:rPr>
          <w:rFonts w:ascii="宋体" w:hAnsi="宋体"/>
          <w:szCs w:val="21"/>
        </w:rPr>
      </w:pPr>
    </w:p>
    <w:p w14:paraId="5686251E">
      <w:pPr>
        <w:spacing w:line="276" w:lineRule="auto"/>
        <w:ind w:left="832" w:hanging="831" w:hangingChars="396"/>
        <w:jc w:val="left"/>
        <w:rPr>
          <w:rFonts w:ascii="宋体" w:hAnsi="宋体"/>
          <w:szCs w:val="21"/>
        </w:rPr>
      </w:pPr>
    </w:p>
    <w:p w14:paraId="734ADAD1">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19B98BD9">
      <w:pPr>
        <w:spacing w:before="100" w:beforeAutospacing="1" w:after="100" w:afterAutospacing="1" w:line="276" w:lineRule="auto"/>
        <w:ind w:firstLine="2902" w:firstLineChars="1382"/>
        <w:rPr>
          <w:rFonts w:hAnsi="宋体"/>
          <w:bCs/>
          <w:szCs w:val="21"/>
          <w:u w:val="single"/>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p>
    <w:p w14:paraId="7E36CA7C">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日期：年月日</w:t>
      </w:r>
    </w:p>
    <w:p w14:paraId="17030244">
      <w:pPr>
        <w:widowControl/>
        <w:jc w:val="left"/>
      </w:pPr>
      <w:r>
        <w:br w:type="page"/>
      </w:r>
    </w:p>
    <w:p w14:paraId="697AB10F">
      <w:pPr>
        <w:pStyle w:val="36"/>
        <w:numPr>
          <w:ilvl w:val="0"/>
          <w:numId w:val="60"/>
        </w:numPr>
        <w:spacing w:line="276" w:lineRule="auto"/>
        <w:ind w:firstLineChars="0"/>
        <w:outlineLvl w:val="2"/>
        <w:rPr>
          <w:szCs w:val="21"/>
        </w:rPr>
      </w:pPr>
      <w:r>
        <w:rPr>
          <w:rFonts w:hint="eastAsia"/>
          <w:szCs w:val="21"/>
        </w:rPr>
        <w:t>报价范围以外的备品备件、耗材/服务价格表（</w:t>
      </w:r>
      <w:r>
        <w:rPr>
          <w:rFonts w:hint="eastAsia"/>
          <w:color w:val="FF0000"/>
          <w:szCs w:val="21"/>
        </w:rPr>
        <w:t>如有</w:t>
      </w:r>
      <w:r>
        <w:rPr>
          <w:rFonts w:hint="eastAsia"/>
          <w:szCs w:val="21"/>
        </w:rPr>
        <w:t>）</w:t>
      </w:r>
    </w:p>
    <w:p w14:paraId="22E77BCB">
      <w:pPr>
        <w:spacing w:before="100" w:beforeAutospacing="1" w:after="100" w:afterAutospacing="1" w:line="276" w:lineRule="auto"/>
        <w:jc w:val="center"/>
        <w:rPr>
          <w:rFonts w:ascii="宋体" w:hAnsi="宋体"/>
          <w:b/>
          <w:color w:val="000000"/>
          <w:szCs w:val="21"/>
        </w:rPr>
      </w:pPr>
      <w:r>
        <w:rPr>
          <w:rFonts w:ascii="宋体" w:hAnsi="宋体"/>
          <w:b/>
          <w:color w:val="000000"/>
          <w:szCs w:val="21"/>
        </w:rPr>
        <w:t>报价</w:t>
      </w:r>
      <w:r>
        <w:rPr>
          <w:rFonts w:hint="eastAsia" w:ascii="宋体" w:hAnsi="宋体"/>
          <w:b/>
          <w:color w:val="000000"/>
          <w:szCs w:val="21"/>
        </w:rPr>
        <w:t>范围以外的备品备件、耗材/服务价格表</w:t>
      </w:r>
    </w:p>
    <w:p w14:paraId="2584F171">
      <w:pPr>
        <w:spacing w:line="276" w:lineRule="auto"/>
        <w:jc w:val="left"/>
        <w:rPr>
          <w:rFonts w:ascii="宋体" w:hAnsi="宋体"/>
          <w:szCs w:val="21"/>
          <w:lang w:val="zh-CN"/>
        </w:rPr>
      </w:pPr>
      <w:r>
        <w:rPr>
          <w:rFonts w:hint="eastAsia" w:ascii="宋体" w:hAnsi="宋体"/>
          <w:szCs w:val="21"/>
          <w:lang w:val="zh-CN"/>
        </w:rPr>
        <w:t xml:space="preserve">投 标 人： </w:t>
      </w:r>
    </w:p>
    <w:p w14:paraId="782F3598">
      <w:pPr>
        <w:spacing w:line="276" w:lineRule="auto"/>
        <w:jc w:val="left"/>
        <w:rPr>
          <w:rFonts w:ascii="宋体" w:hAnsi="宋体"/>
          <w:color w:val="000000"/>
          <w:szCs w:val="21"/>
        </w:rPr>
      </w:pPr>
      <w:r>
        <w:rPr>
          <w:rFonts w:hint="eastAsia" w:ascii="宋体" w:hAnsi="宋体"/>
          <w:szCs w:val="21"/>
          <w:lang w:val="zh-CN"/>
        </w:rPr>
        <w:t>项目编号/包号：项目名称</w:t>
      </w:r>
      <w:r>
        <w:rPr>
          <w:rFonts w:hint="eastAsia" w:ascii="宋体" w:hAnsi="宋体"/>
          <w:bCs/>
          <w:szCs w:val="21"/>
          <w:lang w:val="zh-CN"/>
        </w:rPr>
        <w:t>：</w:t>
      </w:r>
    </w:p>
    <w:tbl>
      <w:tblPr>
        <w:tblStyle w:val="2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14:paraId="7C610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14:paraId="4627F53D">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序号</w:t>
            </w:r>
          </w:p>
        </w:tc>
        <w:tc>
          <w:tcPr>
            <w:tcW w:w="4536" w:type="dxa"/>
            <w:tcBorders>
              <w:top w:val="single" w:color="auto" w:sz="4" w:space="0"/>
              <w:left w:val="single" w:color="auto" w:sz="4" w:space="0"/>
              <w:bottom w:val="single" w:color="auto" w:sz="4" w:space="0"/>
              <w:right w:val="single" w:color="auto" w:sz="4" w:space="0"/>
            </w:tcBorders>
            <w:vAlign w:val="center"/>
          </w:tcPr>
          <w:p w14:paraId="05F80A18">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14:paraId="17A7E18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单价</w:t>
            </w:r>
          </w:p>
        </w:tc>
        <w:tc>
          <w:tcPr>
            <w:tcW w:w="1559" w:type="dxa"/>
            <w:tcBorders>
              <w:top w:val="single" w:color="auto" w:sz="4" w:space="0"/>
              <w:left w:val="single" w:color="auto" w:sz="4" w:space="0"/>
              <w:bottom w:val="single" w:color="auto" w:sz="4" w:space="0"/>
              <w:right w:val="single" w:color="auto" w:sz="4" w:space="0"/>
            </w:tcBorders>
            <w:vAlign w:val="center"/>
          </w:tcPr>
          <w:p w14:paraId="1E83FBB2">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14:paraId="485B949C">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备注</w:t>
            </w:r>
          </w:p>
        </w:tc>
      </w:tr>
      <w:tr w14:paraId="5559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055B62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1</w:t>
            </w:r>
          </w:p>
        </w:tc>
        <w:tc>
          <w:tcPr>
            <w:tcW w:w="4536" w:type="dxa"/>
            <w:tcBorders>
              <w:top w:val="single" w:color="auto" w:sz="4" w:space="0"/>
              <w:left w:val="single" w:color="auto" w:sz="4" w:space="0"/>
              <w:bottom w:val="single" w:color="auto" w:sz="4" w:space="0"/>
              <w:right w:val="single" w:color="auto" w:sz="4" w:space="0"/>
            </w:tcBorders>
          </w:tcPr>
          <w:p w14:paraId="633A0641">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440ED0C4">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076BD14A">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4E48AE71">
            <w:pPr>
              <w:spacing w:before="100" w:beforeAutospacing="1" w:after="100" w:afterAutospacing="1" w:line="276" w:lineRule="auto"/>
              <w:rPr>
                <w:rFonts w:ascii="宋体" w:hAnsi="宋体"/>
                <w:color w:val="000000"/>
                <w:szCs w:val="21"/>
              </w:rPr>
            </w:pPr>
          </w:p>
        </w:tc>
      </w:tr>
      <w:tr w14:paraId="3C361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5334371E">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2</w:t>
            </w:r>
          </w:p>
        </w:tc>
        <w:tc>
          <w:tcPr>
            <w:tcW w:w="4536" w:type="dxa"/>
            <w:tcBorders>
              <w:top w:val="single" w:color="auto" w:sz="4" w:space="0"/>
              <w:left w:val="single" w:color="auto" w:sz="4" w:space="0"/>
              <w:bottom w:val="single" w:color="auto" w:sz="4" w:space="0"/>
              <w:right w:val="single" w:color="auto" w:sz="4" w:space="0"/>
            </w:tcBorders>
          </w:tcPr>
          <w:p w14:paraId="15336845">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7033E7E5">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12542B50">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420E5DED">
            <w:pPr>
              <w:spacing w:before="100" w:beforeAutospacing="1" w:after="100" w:afterAutospacing="1" w:line="276" w:lineRule="auto"/>
              <w:rPr>
                <w:rFonts w:ascii="宋体" w:hAnsi="宋体"/>
                <w:color w:val="000000"/>
                <w:szCs w:val="21"/>
              </w:rPr>
            </w:pPr>
          </w:p>
        </w:tc>
      </w:tr>
      <w:tr w14:paraId="18DDD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28F4D3D">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3</w:t>
            </w:r>
          </w:p>
        </w:tc>
        <w:tc>
          <w:tcPr>
            <w:tcW w:w="4536" w:type="dxa"/>
            <w:tcBorders>
              <w:top w:val="single" w:color="auto" w:sz="4" w:space="0"/>
              <w:left w:val="single" w:color="auto" w:sz="4" w:space="0"/>
              <w:bottom w:val="single" w:color="auto" w:sz="4" w:space="0"/>
              <w:right w:val="single" w:color="auto" w:sz="4" w:space="0"/>
            </w:tcBorders>
          </w:tcPr>
          <w:p w14:paraId="4E92C03A">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6EE54B35">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6D8334CD">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5D8D82C0">
            <w:pPr>
              <w:spacing w:before="100" w:beforeAutospacing="1" w:after="100" w:afterAutospacing="1" w:line="276" w:lineRule="auto"/>
              <w:rPr>
                <w:rFonts w:ascii="宋体" w:hAnsi="宋体"/>
                <w:color w:val="000000"/>
                <w:szCs w:val="21"/>
              </w:rPr>
            </w:pPr>
          </w:p>
        </w:tc>
      </w:tr>
      <w:tr w14:paraId="4D4C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119B0B69">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4</w:t>
            </w:r>
          </w:p>
        </w:tc>
        <w:tc>
          <w:tcPr>
            <w:tcW w:w="4536" w:type="dxa"/>
            <w:tcBorders>
              <w:top w:val="single" w:color="auto" w:sz="4" w:space="0"/>
              <w:left w:val="single" w:color="auto" w:sz="4" w:space="0"/>
              <w:bottom w:val="single" w:color="auto" w:sz="4" w:space="0"/>
              <w:right w:val="single" w:color="auto" w:sz="4" w:space="0"/>
            </w:tcBorders>
          </w:tcPr>
          <w:p w14:paraId="041176B7">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2D040D78">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0F8576E9">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0E2F729C">
            <w:pPr>
              <w:spacing w:before="100" w:beforeAutospacing="1" w:after="100" w:afterAutospacing="1" w:line="276" w:lineRule="auto"/>
              <w:rPr>
                <w:rFonts w:ascii="宋体" w:hAnsi="宋体"/>
                <w:color w:val="000000"/>
                <w:szCs w:val="21"/>
              </w:rPr>
            </w:pPr>
          </w:p>
        </w:tc>
      </w:tr>
      <w:tr w14:paraId="74DC2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08F25C1A">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5</w:t>
            </w:r>
          </w:p>
        </w:tc>
        <w:tc>
          <w:tcPr>
            <w:tcW w:w="4536" w:type="dxa"/>
            <w:tcBorders>
              <w:top w:val="single" w:color="auto" w:sz="4" w:space="0"/>
              <w:left w:val="single" w:color="auto" w:sz="4" w:space="0"/>
              <w:bottom w:val="single" w:color="auto" w:sz="4" w:space="0"/>
              <w:right w:val="single" w:color="auto" w:sz="4" w:space="0"/>
            </w:tcBorders>
          </w:tcPr>
          <w:p w14:paraId="54C41674">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019E4526">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2FCF7096">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441F03A8">
            <w:pPr>
              <w:spacing w:before="100" w:beforeAutospacing="1" w:after="100" w:afterAutospacing="1" w:line="276" w:lineRule="auto"/>
              <w:rPr>
                <w:rFonts w:ascii="宋体" w:hAnsi="宋体"/>
                <w:color w:val="000000"/>
                <w:szCs w:val="21"/>
              </w:rPr>
            </w:pPr>
          </w:p>
        </w:tc>
      </w:tr>
      <w:tr w14:paraId="7475D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3E0C37C8">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6</w:t>
            </w:r>
          </w:p>
        </w:tc>
        <w:tc>
          <w:tcPr>
            <w:tcW w:w="4536" w:type="dxa"/>
            <w:tcBorders>
              <w:top w:val="single" w:color="auto" w:sz="4" w:space="0"/>
              <w:left w:val="single" w:color="auto" w:sz="4" w:space="0"/>
              <w:bottom w:val="single" w:color="auto" w:sz="4" w:space="0"/>
              <w:right w:val="single" w:color="auto" w:sz="4" w:space="0"/>
            </w:tcBorders>
          </w:tcPr>
          <w:p w14:paraId="75C4D596">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1B42C4D8">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6B8654EE">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1B750CB9">
            <w:pPr>
              <w:spacing w:before="100" w:beforeAutospacing="1" w:after="100" w:afterAutospacing="1" w:line="276" w:lineRule="auto"/>
              <w:rPr>
                <w:rFonts w:ascii="宋体" w:hAnsi="宋体"/>
                <w:color w:val="000000"/>
                <w:szCs w:val="21"/>
              </w:rPr>
            </w:pPr>
          </w:p>
        </w:tc>
      </w:tr>
      <w:tr w14:paraId="03A1A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88C119F">
            <w:pPr>
              <w:spacing w:before="100" w:beforeAutospacing="1" w:after="100" w:afterAutospacing="1" w:line="276" w:lineRule="auto"/>
              <w:jc w:val="center"/>
              <w:rPr>
                <w:rFonts w:ascii="宋体" w:hAnsi="宋体"/>
                <w:color w:val="000000"/>
                <w:szCs w:val="21"/>
              </w:rPr>
            </w:pPr>
            <w:r>
              <w:rPr>
                <w:rFonts w:hint="eastAsia" w:ascii="宋体" w:hAnsi="宋体"/>
                <w:color w:val="000000"/>
                <w:szCs w:val="21"/>
              </w:rPr>
              <w:t>……</w:t>
            </w:r>
          </w:p>
        </w:tc>
        <w:tc>
          <w:tcPr>
            <w:tcW w:w="4536" w:type="dxa"/>
            <w:tcBorders>
              <w:top w:val="single" w:color="auto" w:sz="4" w:space="0"/>
              <w:left w:val="single" w:color="auto" w:sz="4" w:space="0"/>
              <w:bottom w:val="single" w:color="auto" w:sz="4" w:space="0"/>
              <w:right w:val="single" w:color="auto" w:sz="4" w:space="0"/>
            </w:tcBorders>
          </w:tcPr>
          <w:p w14:paraId="608CDCFF">
            <w:pPr>
              <w:spacing w:before="100" w:beforeAutospacing="1" w:after="100" w:afterAutospacing="1" w:line="276" w:lineRule="auto"/>
              <w:rPr>
                <w:rFonts w:ascii="宋体" w:hAnsi="宋体"/>
                <w:color w:val="000000"/>
                <w:szCs w:val="21"/>
              </w:rPr>
            </w:pPr>
            <w:r>
              <w:rPr>
                <w:rFonts w:hint="eastAsia" w:ascii="宋体" w:hAnsi="宋体"/>
                <w:color w:val="000000"/>
                <w:szCs w:val="21"/>
              </w:rPr>
              <w:t>……</w:t>
            </w:r>
          </w:p>
        </w:tc>
        <w:tc>
          <w:tcPr>
            <w:tcW w:w="1276" w:type="dxa"/>
            <w:tcBorders>
              <w:top w:val="single" w:color="auto" w:sz="4" w:space="0"/>
              <w:left w:val="single" w:color="auto" w:sz="4" w:space="0"/>
              <w:bottom w:val="single" w:color="auto" w:sz="4" w:space="0"/>
              <w:right w:val="single" w:color="auto" w:sz="4" w:space="0"/>
            </w:tcBorders>
          </w:tcPr>
          <w:p w14:paraId="1707137B">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05831E4B">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122DD719">
            <w:pPr>
              <w:spacing w:before="100" w:beforeAutospacing="1" w:after="100" w:afterAutospacing="1" w:line="276" w:lineRule="auto"/>
              <w:rPr>
                <w:rFonts w:ascii="宋体" w:hAnsi="宋体"/>
                <w:color w:val="000000"/>
                <w:szCs w:val="21"/>
              </w:rPr>
            </w:pPr>
          </w:p>
        </w:tc>
      </w:tr>
      <w:tr w14:paraId="7510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14:paraId="6BBFCA94">
            <w:pPr>
              <w:spacing w:before="100" w:beforeAutospacing="1" w:after="100" w:afterAutospacing="1" w:line="276" w:lineRule="auto"/>
              <w:jc w:val="center"/>
              <w:rPr>
                <w:rFonts w:ascii="宋体" w:hAnsi="宋体"/>
                <w:color w:val="000000"/>
                <w:szCs w:val="21"/>
              </w:rPr>
            </w:pPr>
          </w:p>
        </w:tc>
        <w:tc>
          <w:tcPr>
            <w:tcW w:w="4536" w:type="dxa"/>
            <w:tcBorders>
              <w:top w:val="single" w:color="auto" w:sz="4" w:space="0"/>
              <w:left w:val="single" w:color="auto" w:sz="4" w:space="0"/>
              <w:bottom w:val="single" w:color="auto" w:sz="4" w:space="0"/>
              <w:right w:val="single" w:color="auto" w:sz="4" w:space="0"/>
            </w:tcBorders>
          </w:tcPr>
          <w:p w14:paraId="37CB863A">
            <w:pPr>
              <w:spacing w:before="100" w:beforeAutospacing="1" w:after="100" w:afterAutospacing="1" w:line="276" w:lineRule="auto"/>
              <w:rPr>
                <w:rFonts w:ascii="宋体" w:hAnsi="宋体"/>
                <w:color w:val="000000"/>
                <w:szCs w:val="21"/>
              </w:rPr>
            </w:pPr>
          </w:p>
        </w:tc>
        <w:tc>
          <w:tcPr>
            <w:tcW w:w="1276" w:type="dxa"/>
            <w:tcBorders>
              <w:top w:val="single" w:color="auto" w:sz="4" w:space="0"/>
              <w:left w:val="single" w:color="auto" w:sz="4" w:space="0"/>
              <w:bottom w:val="single" w:color="auto" w:sz="4" w:space="0"/>
              <w:right w:val="single" w:color="auto" w:sz="4" w:space="0"/>
            </w:tcBorders>
          </w:tcPr>
          <w:p w14:paraId="15E93FA8">
            <w:pPr>
              <w:spacing w:before="100" w:beforeAutospacing="1" w:after="100" w:afterAutospacing="1" w:line="276" w:lineRule="auto"/>
              <w:rPr>
                <w:rFonts w:ascii="宋体" w:hAnsi="宋体"/>
                <w:color w:val="000000"/>
                <w:szCs w:val="21"/>
              </w:rPr>
            </w:pPr>
          </w:p>
        </w:tc>
        <w:tc>
          <w:tcPr>
            <w:tcW w:w="1559" w:type="dxa"/>
            <w:tcBorders>
              <w:top w:val="single" w:color="auto" w:sz="4" w:space="0"/>
              <w:left w:val="single" w:color="auto" w:sz="4" w:space="0"/>
              <w:bottom w:val="single" w:color="auto" w:sz="4" w:space="0"/>
              <w:right w:val="single" w:color="auto" w:sz="4" w:space="0"/>
            </w:tcBorders>
          </w:tcPr>
          <w:p w14:paraId="303BC8AE">
            <w:pPr>
              <w:spacing w:before="100" w:beforeAutospacing="1" w:after="100" w:afterAutospacing="1" w:line="276" w:lineRule="auto"/>
              <w:rPr>
                <w:rFonts w:ascii="宋体" w:hAnsi="宋体"/>
                <w:color w:val="000000"/>
                <w:szCs w:val="21"/>
              </w:rPr>
            </w:pPr>
          </w:p>
        </w:tc>
        <w:tc>
          <w:tcPr>
            <w:tcW w:w="992" w:type="dxa"/>
            <w:tcBorders>
              <w:top w:val="single" w:color="auto" w:sz="4" w:space="0"/>
              <w:left w:val="single" w:color="auto" w:sz="4" w:space="0"/>
              <w:bottom w:val="single" w:color="auto" w:sz="4" w:space="0"/>
              <w:right w:val="single" w:color="auto" w:sz="4" w:space="0"/>
            </w:tcBorders>
          </w:tcPr>
          <w:p w14:paraId="008E7AFB">
            <w:pPr>
              <w:spacing w:before="100" w:beforeAutospacing="1" w:after="100" w:afterAutospacing="1" w:line="276" w:lineRule="auto"/>
              <w:rPr>
                <w:rFonts w:ascii="宋体" w:hAnsi="宋体"/>
                <w:color w:val="000000"/>
                <w:szCs w:val="21"/>
              </w:rPr>
            </w:pPr>
          </w:p>
        </w:tc>
      </w:tr>
    </w:tbl>
    <w:p w14:paraId="17CD3B22">
      <w:pPr>
        <w:spacing w:before="100" w:beforeAutospacing="1"/>
        <w:rPr>
          <w:rFonts w:ascii="宋体" w:hAnsi="宋体"/>
          <w:color w:val="000000"/>
          <w:szCs w:val="21"/>
        </w:rPr>
      </w:pPr>
      <w:r>
        <w:rPr>
          <w:rFonts w:hint="eastAsia" w:ascii="宋体" w:hAnsi="宋体"/>
          <w:color w:val="000000"/>
          <w:szCs w:val="21"/>
        </w:rPr>
        <w:t>说明：</w:t>
      </w:r>
    </w:p>
    <w:p w14:paraId="376251E8">
      <w:pPr>
        <w:ind w:left="210" w:leftChars="100"/>
        <w:rPr>
          <w:rFonts w:ascii="宋体" w:hAnsi="宋体"/>
          <w:color w:val="000000"/>
          <w:szCs w:val="21"/>
        </w:rPr>
      </w:pPr>
      <w:r>
        <w:rPr>
          <w:rFonts w:hint="eastAsia" w:ascii="宋体" w:hAnsi="宋体"/>
          <w:color w:val="000000"/>
          <w:szCs w:val="21"/>
        </w:rPr>
        <w:t>1.币种</w:t>
      </w:r>
      <w:r>
        <w:rPr>
          <w:rFonts w:ascii="宋体" w:hAnsi="宋体"/>
          <w:color w:val="000000"/>
          <w:szCs w:val="21"/>
        </w:rPr>
        <w:t>单位与《</w:t>
      </w:r>
      <w:r>
        <w:rPr>
          <w:rFonts w:hint="eastAsia" w:ascii="宋体" w:hAnsi="宋体"/>
          <w:color w:val="000000"/>
          <w:szCs w:val="21"/>
        </w:rPr>
        <w:t>报价一览表》一致，单位为“元”。</w:t>
      </w:r>
    </w:p>
    <w:p w14:paraId="51ED00DB">
      <w:pPr>
        <w:spacing w:line="276" w:lineRule="auto"/>
        <w:ind w:left="420" w:leftChars="100" w:hanging="210" w:hangingChars="100"/>
        <w:rPr>
          <w:rFonts w:ascii="宋体" w:hAnsi="宋体"/>
          <w:color w:val="000000"/>
          <w:szCs w:val="21"/>
        </w:rPr>
      </w:pPr>
      <w:r>
        <w:rPr>
          <w:rFonts w:hint="eastAsia" w:ascii="宋体" w:hAnsi="宋体"/>
          <w:color w:val="000000"/>
          <w:szCs w:val="21"/>
        </w:rPr>
        <w:t>2.投标人应提供投标范围以外的备品备件/服务价格表，如无此项则可不提供。本表报价不含在投标总报价中。</w:t>
      </w:r>
    </w:p>
    <w:p w14:paraId="0C46A7A8">
      <w:pPr>
        <w:spacing w:line="276" w:lineRule="auto"/>
        <w:ind w:left="424" w:leftChars="100" w:hanging="214" w:hangingChars="102"/>
        <w:rPr>
          <w:rFonts w:ascii="宋体" w:hAnsi="宋体"/>
          <w:color w:val="000000"/>
          <w:szCs w:val="21"/>
        </w:rPr>
      </w:pPr>
      <w:r>
        <w:rPr>
          <w:rFonts w:hint="eastAsia" w:ascii="宋体" w:hAnsi="宋体"/>
          <w:color w:val="000000"/>
          <w:szCs w:val="21"/>
        </w:rPr>
        <w:t>3.投标人必须按此表格式中的对应栏目内容填写，若需增加栏目，请在栏目“备注”中填写，并作详细说明。</w:t>
      </w:r>
    </w:p>
    <w:p w14:paraId="0D9A8032">
      <w:pPr>
        <w:spacing w:line="276" w:lineRule="auto"/>
        <w:ind w:firstLine="210" w:firstLineChars="100"/>
        <w:rPr>
          <w:rFonts w:ascii="宋体" w:hAnsi="宋体"/>
          <w:color w:val="000000"/>
          <w:szCs w:val="21"/>
        </w:rPr>
      </w:pPr>
    </w:p>
    <w:p w14:paraId="7B34BF6C">
      <w:pPr>
        <w:spacing w:line="276" w:lineRule="auto"/>
        <w:ind w:firstLine="210" w:firstLineChars="100"/>
        <w:rPr>
          <w:rFonts w:ascii="宋体" w:hAnsi="宋体"/>
          <w:color w:val="000000"/>
          <w:szCs w:val="21"/>
        </w:rPr>
      </w:pPr>
    </w:p>
    <w:p w14:paraId="31A09A75">
      <w:pPr>
        <w:spacing w:line="276" w:lineRule="auto"/>
        <w:ind w:firstLine="210" w:firstLineChars="100"/>
        <w:rPr>
          <w:rFonts w:ascii="宋体" w:hAnsi="宋体"/>
          <w:color w:val="000000"/>
          <w:szCs w:val="21"/>
        </w:rPr>
      </w:pPr>
    </w:p>
    <w:p w14:paraId="795236AB">
      <w:pPr>
        <w:spacing w:line="276" w:lineRule="auto"/>
        <w:ind w:firstLine="210" w:firstLineChars="100"/>
        <w:rPr>
          <w:rFonts w:ascii="宋体" w:hAnsi="宋体"/>
          <w:color w:val="000000"/>
          <w:szCs w:val="21"/>
        </w:rPr>
      </w:pPr>
    </w:p>
    <w:p w14:paraId="620838DA">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7079F16A">
      <w:pPr>
        <w:spacing w:before="100" w:beforeAutospacing="1" w:after="100" w:afterAutospacing="1" w:line="276" w:lineRule="auto"/>
        <w:ind w:firstLine="2902" w:firstLineChars="1382"/>
        <w:rPr>
          <w:rFonts w:ascii="宋体" w:hAnsi="宋体"/>
          <w:color w:val="000000"/>
          <w:szCs w:val="21"/>
        </w:rPr>
      </w:pPr>
      <w:r>
        <w:rPr>
          <w:rFonts w:hint="eastAsia" w:ascii="宋体" w:hAnsi="宋体"/>
          <w:color w:val="000000"/>
          <w:szCs w:val="21"/>
        </w:rPr>
        <w:t xml:space="preserve">日期：年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日</w:t>
      </w:r>
    </w:p>
    <w:p w14:paraId="112F50C5">
      <w:pPr>
        <w:pStyle w:val="36"/>
        <w:numPr>
          <w:ilvl w:val="0"/>
          <w:numId w:val="60"/>
        </w:numPr>
        <w:spacing w:line="276" w:lineRule="auto"/>
        <w:ind w:firstLineChars="0"/>
        <w:outlineLvl w:val="2"/>
        <w:rPr>
          <w:szCs w:val="21"/>
        </w:rPr>
      </w:pPr>
      <w:r>
        <w:rPr>
          <w:rFonts w:hint="eastAsia" w:ascii="宋体" w:hAnsi="宋体"/>
          <w:color w:val="000000"/>
          <w:kern w:val="0"/>
          <w:szCs w:val="21"/>
        </w:rPr>
        <w:br w:type="page"/>
      </w:r>
      <w:r>
        <w:rPr>
          <w:rFonts w:hint="eastAsia"/>
          <w:szCs w:val="21"/>
        </w:rPr>
        <w:t>交纳投标保证金的银行凭证（</w:t>
      </w:r>
      <w:r>
        <w:rPr>
          <w:rFonts w:hint="eastAsia"/>
          <w:color w:val="FF0000"/>
          <w:szCs w:val="21"/>
        </w:rPr>
        <w:t>如不要求交纳</w:t>
      </w:r>
      <w:r>
        <w:rPr>
          <w:color w:val="FF0000"/>
          <w:szCs w:val="21"/>
        </w:rPr>
        <w:t>保证金则无需提供</w:t>
      </w:r>
      <w:r>
        <w:rPr>
          <w:rFonts w:hint="eastAsia"/>
          <w:szCs w:val="21"/>
        </w:rPr>
        <w:t>）</w:t>
      </w:r>
    </w:p>
    <w:p w14:paraId="5F3A4059">
      <w:pPr>
        <w:spacing w:line="276" w:lineRule="auto"/>
        <w:jc w:val="center"/>
        <w:rPr>
          <w:b/>
          <w:szCs w:val="21"/>
        </w:rPr>
      </w:pPr>
      <w:bookmarkStart w:id="83" w:name="_Toc494702279"/>
      <w:bookmarkStart w:id="84" w:name="_Toc494665562"/>
      <w:bookmarkStart w:id="85" w:name="_Toc494665959"/>
      <w:bookmarkStart w:id="86" w:name="_Toc494721109"/>
      <w:bookmarkStart w:id="87" w:name="_Toc494665009"/>
      <w:bookmarkStart w:id="88" w:name="_Toc494745326"/>
      <w:r>
        <w:rPr>
          <w:rFonts w:hint="eastAsia"/>
          <w:b/>
          <w:szCs w:val="21"/>
        </w:rPr>
        <w:t>交纳投标保证金的银行凭证</w:t>
      </w:r>
      <w:bookmarkEnd w:id="83"/>
      <w:bookmarkEnd w:id="84"/>
      <w:bookmarkEnd w:id="85"/>
      <w:bookmarkEnd w:id="86"/>
      <w:bookmarkEnd w:id="87"/>
      <w:bookmarkEnd w:id="88"/>
    </w:p>
    <w:p w14:paraId="58C38BAB">
      <w:pPr>
        <w:spacing w:line="276" w:lineRule="auto"/>
        <w:rPr>
          <w:rFonts w:ascii="宋体" w:hAnsi="宋体" w:cs="Courier New"/>
          <w:b/>
          <w:szCs w:val="21"/>
        </w:rPr>
      </w:pP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武汉理工大学、${招标机构名称}</w:t>
      </w:r>
      <w:r>
        <w:rPr>
          <w:rFonts w:hint="eastAsia" w:ascii="宋体" w:hAnsi="宋体" w:cs="Courier New"/>
          <w:b/>
          <w:szCs w:val="21"/>
        </w:rPr>
        <w:fldChar w:fldCharType="end"/>
      </w:r>
      <w:r>
        <w:rPr>
          <w:rFonts w:hint="eastAsia" w:ascii="宋体" w:hAnsi="宋体" w:cs="Courier New"/>
          <w:b/>
          <w:szCs w:val="21"/>
        </w:rPr>
        <w:t>：</w:t>
      </w:r>
    </w:p>
    <w:p w14:paraId="60D20A31">
      <w:pPr>
        <w:spacing w:line="276" w:lineRule="auto"/>
        <w:ind w:firstLine="428" w:firstLineChars="204"/>
        <w:jc w:val="left"/>
        <w:rPr>
          <w:rFonts w:ascii="宋体" w:hAnsi="宋体"/>
          <w:szCs w:val="21"/>
          <w:lang w:val="zh-CN"/>
        </w:rPr>
      </w:pPr>
      <w:r>
        <w:rPr>
          <w:rFonts w:hint="eastAsia" w:ascii="宋体" w:hAnsi="宋体"/>
          <w:szCs w:val="21"/>
          <w:u w:val="single"/>
          <w:lang w:val="zh-CN"/>
        </w:rPr>
        <w:t xml:space="preserve">  （投标人全称）  </w:t>
      </w:r>
      <w:r>
        <w:rPr>
          <w:rFonts w:hint="eastAsia" w:ascii="宋体" w:hAnsi="宋体"/>
          <w:szCs w:val="21"/>
          <w:lang w:val="zh-CN"/>
        </w:rPr>
        <w:t>参加贵方组织的</w:t>
      </w:r>
      <w:r>
        <w:rPr>
          <w:rFonts w:hint="eastAsia" w:ascii="宋体" w:hAnsi="宋体"/>
          <w:color w:val="0D0D0D"/>
          <w:szCs w:val="21"/>
          <w:lang w:val="zh-CN"/>
        </w:rPr>
        <w:t>__</w:t>
      </w:r>
      <w:r>
        <w:rPr>
          <w:rFonts w:hint="eastAsia" w:ascii="宋体" w:hAnsi="宋体"/>
          <w:color w:val="0D0D0D"/>
          <w:szCs w:val="21"/>
          <w:u w:val="single"/>
          <w:lang w:val="zh-CN"/>
        </w:rPr>
        <w:t>_    _</w:t>
      </w:r>
      <w:r>
        <w:rPr>
          <w:rFonts w:hint="eastAsia" w:ascii="宋体" w:hAnsi="宋体"/>
          <w:color w:val="0D0D0D"/>
          <w:szCs w:val="21"/>
          <w:lang w:val="zh-CN"/>
        </w:rPr>
        <w:t>项目（项目编号/包号：_____</w:t>
      </w:r>
      <w:r>
        <w:rPr>
          <w:rFonts w:hint="eastAsia" w:ascii="宋体" w:hAnsi="宋体"/>
          <w:szCs w:val="21"/>
          <w:lang w:val="zh-CN"/>
        </w:rPr>
        <w:t>_）的政府采购活动。按招标文件的规定，已递交人民币（大写）万元的投标保证金。</w:t>
      </w:r>
    </w:p>
    <w:tbl>
      <w:tblPr>
        <w:tblStyle w:val="26"/>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14:paraId="452FE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14:paraId="74DDE94B">
            <w:pPr>
              <w:spacing w:line="276" w:lineRule="auto"/>
              <w:jc w:val="center"/>
              <w:rPr>
                <w:rFonts w:ascii="宋体" w:hAnsi="宋体" w:cs="宋体"/>
                <w:kern w:val="0"/>
                <w:szCs w:val="21"/>
              </w:rPr>
            </w:pPr>
            <w:r>
              <w:rPr>
                <w:rFonts w:hint="eastAsia" w:ascii="宋体" w:hAnsi="宋体" w:cs="宋体"/>
                <w:kern w:val="0"/>
                <w:szCs w:val="21"/>
              </w:rPr>
              <w:t>投标人</w:t>
            </w:r>
          </w:p>
        </w:tc>
        <w:tc>
          <w:tcPr>
            <w:tcW w:w="1885" w:type="dxa"/>
            <w:tcBorders>
              <w:top w:val="single" w:color="auto" w:sz="4" w:space="0"/>
              <w:left w:val="single" w:color="auto" w:sz="4" w:space="0"/>
              <w:bottom w:val="single" w:color="auto" w:sz="4" w:space="0"/>
              <w:right w:val="single" w:color="auto" w:sz="4" w:space="0"/>
            </w:tcBorders>
            <w:vAlign w:val="center"/>
          </w:tcPr>
          <w:p w14:paraId="004BC6E1">
            <w:pPr>
              <w:spacing w:line="276" w:lineRule="auto"/>
              <w:jc w:val="center"/>
              <w:rPr>
                <w:rFonts w:ascii="宋体" w:hAnsi="宋体" w:cs="宋体"/>
                <w:kern w:val="0"/>
                <w:szCs w:val="21"/>
              </w:rPr>
            </w:pPr>
            <w:r>
              <w:rPr>
                <w:rFonts w:hint="eastAsia" w:ascii="宋体" w:hAnsi="宋体" w:cs="宋体"/>
                <w:kern w:val="0"/>
                <w:szCs w:val="21"/>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7619571D">
            <w:pPr>
              <w:spacing w:line="276" w:lineRule="auto"/>
              <w:jc w:val="left"/>
              <w:rPr>
                <w:rFonts w:ascii="宋体" w:hAnsi="宋体" w:cs="宋体"/>
                <w:kern w:val="0"/>
                <w:szCs w:val="21"/>
              </w:rPr>
            </w:pPr>
          </w:p>
        </w:tc>
      </w:tr>
      <w:tr w14:paraId="78C6C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59EEAD81">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3483132B">
            <w:pPr>
              <w:spacing w:line="276" w:lineRule="auto"/>
              <w:jc w:val="center"/>
              <w:rPr>
                <w:rFonts w:ascii="宋体" w:hAnsi="宋体" w:cs="宋体"/>
                <w:kern w:val="0"/>
                <w:szCs w:val="21"/>
              </w:rPr>
            </w:pPr>
            <w:r>
              <w:rPr>
                <w:rFonts w:hint="eastAsia" w:ascii="宋体" w:hAnsi="宋体" w:cs="宋体"/>
                <w:kern w:val="0"/>
                <w:szCs w:val="21"/>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23832247">
            <w:pPr>
              <w:spacing w:line="276" w:lineRule="auto"/>
              <w:jc w:val="left"/>
              <w:rPr>
                <w:rFonts w:ascii="宋体" w:hAnsi="宋体" w:cs="宋体"/>
                <w:kern w:val="0"/>
                <w:szCs w:val="21"/>
              </w:rPr>
            </w:pPr>
          </w:p>
        </w:tc>
      </w:tr>
      <w:tr w14:paraId="3115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CB8F123">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5E07BC2E">
            <w:pPr>
              <w:spacing w:line="276" w:lineRule="auto"/>
              <w:jc w:val="center"/>
              <w:rPr>
                <w:rFonts w:ascii="宋体" w:hAnsi="宋体" w:cs="宋体"/>
                <w:kern w:val="0"/>
                <w:szCs w:val="21"/>
              </w:rPr>
            </w:pPr>
            <w:r>
              <w:rPr>
                <w:rFonts w:hint="eastAsia" w:ascii="宋体" w:hAnsi="宋体" w:cs="宋体"/>
                <w:kern w:val="0"/>
                <w:szCs w:val="21"/>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9CB2346">
            <w:pPr>
              <w:spacing w:line="276" w:lineRule="auto"/>
              <w:jc w:val="left"/>
              <w:rPr>
                <w:rFonts w:ascii="宋体" w:hAnsi="宋体" w:cs="宋体"/>
                <w:kern w:val="0"/>
                <w:szCs w:val="21"/>
              </w:rPr>
            </w:pPr>
          </w:p>
        </w:tc>
      </w:tr>
      <w:tr w14:paraId="4D8E7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14016E81">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15F8FB45">
            <w:pPr>
              <w:spacing w:line="276" w:lineRule="auto"/>
              <w:jc w:val="center"/>
              <w:rPr>
                <w:rFonts w:ascii="宋体" w:hAnsi="宋体" w:cs="宋体"/>
                <w:kern w:val="0"/>
                <w:szCs w:val="21"/>
              </w:rPr>
            </w:pPr>
            <w:r>
              <w:rPr>
                <w:rFonts w:hint="eastAsia" w:ascii="宋体" w:hAnsi="宋体" w:cs="宋体"/>
                <w:kern w:val="0"/>
                <w:szCs w:val="21"/>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14:paraId="0BCC4695">
            <w:pPr>
              <w:spacing w:line="276" w:lineRule="auto"/>
              <w:jc w:val="left"/>
              <w:rPr>
                <w:rFonts w:ascii="宋体" w:hAnsi="宋体" w:cs="宋体"/>
                <w:kern w:val="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14:paraId="36BC84AB">
            <w:pPr>
              <w:spacing w:line="276" w:lineRule="auto"/>
              <w:jc w:val="center"/>
              <w:rPr>
                <w:rFonts w:ascii="宋体" w:hAnsi="宋体" w:cs="宋体"/>
                <w:kern w:val="0"/>
                <w:szCs w:val="21"/>
              </w:rPr>
            </w:pPr>
            <w:r>
              <w:rPr>
                <w:rFonts w:hint="eastAsia" w:ascii="宋体" w:hAnsi="宋体" w:cs="宋体"/>
                <w:kern w:val="0"/>
                <w:szCs w:val="21"/>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14:paraId="793A52FC">
            <w:pPr>
              <w:spacing w:line="276" w:lineRule="auto"/>
              <w:jc w:val="left"/>
              <w:rPr>
                <w:rFonts w:ascii="宋体" w:hAnsi="宋体" w:cs="宋体"/>
                <w:kern w:val="0"/>
                <w:szCs w:val="21"/>
              </w:rPr>
            </w:pPr>
          </w:p>
        </w:tc>
      </w:tr>
      <w:tr w14:paraId="6B38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6D689888">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60B08826">
            <w:pPr>
              <w:spacing w:line="276" w:lineRule="auto"/>
              <w:jc w:val="center"/>
              <w:rPr>
                <w:rFonts w:ascii="宋体" w:hAnsi="宋体" w:cs="宋体"/>
                <w:kern w:val="0"/>
                <w:szCs w:val="21"/>
              </w:rPr>
            </w:pPr>
            <w:r>
              <w:rPr>
                <w:rFonts w:hint="eastAsia" w:ascii="宋体" w:hAnsi="宋体" w:cs="宋体"/>
                <w:kern w:val="0"/>
                <w:szCs w:val="21"/>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6F6405A0">
            <w:pPr>
              <w:spacing w:line="276" w:lineRule="auto"/>
              <w:jc w:val="left"/>
              <w:rPr>
                <w:rFonts w:ascii="宋体" w:hAnsi="宋体" w:cs="Arial"/>
                <w:kern w:val="0"/>
                <w:szCs w:val="21"/>
              </w:rPr>
            </w:pPr>
          </w:p>
        </w:tc>
      </w:tr>
      <w:tr w14:paraId="37B8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794DF055">
            <w:pPr>
              <w:jc w:val="left"/>
              <w:rPr>
                <w:rFonts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14:paraId="3E09D64E">
            <w:pPr>
              <w:spacing w:line="276" w:lineRule="auto"/>
              <w:jc w:val="center"/>
              <w:rPr>
                <w:rFonts w:ascii="宋体" w:hAnsi="宋体" w:cs="宋体"/>
                <w:kern w:val="0"/>
                <w:szCs w:val="21"/>
              </w:rPr>
            </w:pPr>
            <w:r>
              <w:rPr>
                <w:rFonts w:hint="eastAsia" w:ascii="宋体" w:hAnsi="宋体" w:cs="宋体"/>
                <w:kern w:val="0"/>
                <w:szCs w:val="21"/>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14:paraId="1A6F37B1">
            <w:pPr>
              <w:spacing w:line="276" w:lineRule="auto"/>
              <w:jc w:val="left"/>
              <w:rPr>
                <w:rFonts w:ascii="宋体" w:hAnsi="宋体" w:cs="Arial"/>
                <w:kern w:val="0"/>
                <w:szCs w:val="21"/>
              </w:rPr>
            </w:pPr>
          </w:p>
        </w:tc>
      </w:tr>
    </w:tbl>
    <w:p w14:paraId="358D7143">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0E3EDFE0">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p>
    <w:tbl>
      <w:tblPr>
        <w:tblStyle w:val="26"/>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14:paraId="2B621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14:paraId="1D1F4142">
            <w:pPr>
              <w:spacing w:line="276" w:lineRule="auto"/>
              <w:rPr>
                <w:rFonts w:ascii="宋体" w:hAnsi="宋体"/>
                <w:szCs w:val="21"/>
              </w:rPr>
            </w:pPr>
            <w:r>
              <w:rPr>
                <w:rFonts w:hint="eastAsia" w:ascii="宋体" w:hAnsi="宋体"/>
                <w:szCs w:val="21"/>
              </w:rPr>
              <w:t>粘贴转账、电汇或网上银行凭证（清晰复印件）</w:t>
            </w:r>
          </w:p>
          <w:p w14:paraId="5317533F">
            <w:pPr>
              <w:spacing w:line="276" w:lineRule="auto"/>
              <w:rPr>
                <w:rFonts w:ascii="宋体" w:hAnsi="宋体"/>
                <w:szCs w:val="21"/>
              </w:rPr>
            </w:pPr>
          </w:p>
          <w:p w14:paraId="40E182A9">
            <w:pPr>
              <w:spacing w:line="276" w:lineRule="auto"/>
              <w:rPr>
                <w:rFonts w:ascii="宋体" w:hAnsi="宋体"/>
                <w:szCs w:val="21"/>
              </w:rPr>
            </w:pPr>
          </w:p>
          <w:p w14:paraId="265E6104">
            <w:pPr>
              <w:spacing w:line="276" w:lineRule="auto"/>
              <w:rPr>
                <w:rFonts w:ascii="宋体" w:hAnsi="宋体"/>
                <w:szCs w:val="21"/>
              </w:rPr>
            </w:pPr>
          </w:p>
          <w:p w14:paraId="0DBCA535">
            <w:pPr>
              <w:spacing w:line="276" w:lineRule="auto"/>
              <w:rPr>
                <w:rFonts w:ascii="宋体" w:hAnsi="宋体"/>
                <w:szCs w:val="21"/>
              </w:rPr>
            </w:pPr>
          </w:p>
          <w:p w14:paraId="191A9210">
            <w:pPr>
              <w:spacing w:line="276" w:lineRule="auto"/>
              <w:ind w:left="106" w:leftChars="38" w:hanging="27" w:hangingChars="13"/>
              <w:rPr>
                <w:rFonts w:ascii="宋体" w:hAnsi="宋体"/>
                <w:b/>
                <w:szCs w:val="21"/>
                <w:lang w:val="zh-CN"/>
              </w:rPr>
            </w:pPr>
          </w:p>
        </w:tc>
      </w:tr>
    </w:tbl>
    <w:p w14:paraId="6E49E70E">
      <w:pPr>
        <w:spacing w:line="276" w:lineRule="auto"/>
        <w:ind w:left="630" w:hanging="630" w:hangingChars="300"/>
        <w:jc w:val="left"/>
        <w:rPr>
          <w:rFonts w:ascii="宋体" w:hAnsi="宋体"/>
          <w:szCs w:val="21"/>
        </w:rPr>
      </w:pPr>
      <w:r>
        <w:rPr>
          <w:rFonts w:hint="eastAsia" w:ascii="宋体" w:hAnsi="宋体"/>
          <w:szCs w:val="21"/>
        </w:rPr>
        <w:t>说明：投标人应认真填写银行信息，与转账或电汇银行凭证的相关信息一致，采购代理机构将依据此凭证信息查退投标保证金。</w:t>
      </w:r>
    </w:p>
    <w:p w14:paraId="2431E652">
      <w:pPr>
        <w:pStyle w:val="36"/>
        <w:numPr>
          <w:ilvl w:val="0"/>
          <w:numId w:val="60"/>
        </w:numPr>
        <w:spacing w:line="276" w:lineRule="auto"/>
        <w:ind w:firstLineChars="0"/>
        <w:outlineLvl w:val="2"/>
        <w:rPr>
          <w:szCs w:val="21"/>
        </w:rPr>
      </w:pPr>
      <w:r>
        <w:rPr>
          <w:kern w:val="0"/>
          <w:szCs w:val="21"/>
        </w:rPr>
        <w:br w:type="page"/>
      </w:r>
      <w:bookmarkStart w:id="89" w:name="_Toc494665960"/>
      <w:bookmarkStart w:id="90" w:name="_Toc494721110"/>
      <w:bookmarkStart w:id="91" w:name="_Toc494665563"/>
      <w:bookmarkStart w:id="92" w:name="_Toc494745327"/>
      <w:bookmarkStart w:id="93" w:name="_Toc238276247"/>
      <w:bookmarkStart w:id="94" w:name="_Toc236473303"/>
      <w:bookmarkStart w:id="95" w:name="_Toc494702280"/>
      <w:bookmarkStart w:id="96" w:name="_Toc494665010"/>
      <w:r>
        <w:rPr>
          <w:rFonts w:hint="eastAsia"/>
          <w:szCs w:val="21"/>
        </w:rPr>
        <w:t>法定代表人身份证明书</w:t>
      </w:r>
    </w:p>
    <w:p w14:paraId="295D905D">
      <w:pPr>
        <w:spacing w:line="276" w:lineRule="auto"/>
        <w:jc w:val="center"/>
        <w:rPr>
          <w:b/>
          <w:szCs w:val="21"/>
        </w:rPr>
      </w:pPr>
      <w:r>
        <w:rPr>
          <w:rFonts w:hint="eastAsia"/>
          <w:b/>
          <w:szCs w:val="21"/>
        </w:rPr>
        <w:t>法定代表人身份证明书</w:t>
      </w:r>
    </w:p>
    <w:p w14:paraId="0577F896">
      <w:pPr>
        <w:spacing w:line="276" w:lineRule="auto"/>
        <w:rPr>
          <w:color w:val="000000"/>
          <w:szCs w:val="21"/>
        </w:rPr>
      </w:pPr>
    </w:p>
    <w:p w14:paraId="668839D4">
      <w:pPr>
        <w:spacing w:line="276" w:lineRule="auto"/>
        <w:rPr>
          <w:color w:val="000000"/>
          <w:szCs w:val="21"/>
          <w:u w:val="single"/>
        </w:rPr>
      </w:pPr>
      <w:r>
        <w:rPr>
          <w:rFonts w:hint="eastAsia"/>
          <w:color w:val="000000"/>
          <w:szCs w:val="21"/>
        </w:rPr>
        <w:t>企业名称：</w:t>
      </w:r>
    </w:p>
    <w:p w14:paraId="131F61B8">
      <w:pPr>
        <w:spacing w:line="276" w:lineRule="auto"/>
        <w:rPr>
          <w:color w:val="000000"/>
          <w:szCs w:val="21"/>
        </w:rPr>
      </w:pPr>
      <w:r>
        <w:rPr>
          <w:rFonts w:hint="eastAsia"/>
          <w:color w:val="000000"/>
          <w:szCs w:val="21"/>
        </w:rPr>
        <w:t>企业性质：</w:t>
      </w:r>
    </w:p>
    <w:p w14:paraId="35F4924E">
      <w:pPr>
        <w:spacing w:line="276" w:lineRule="auto"/>
        <w:rPr>
          <w:color w:val="000000"/>
          <w:szCs w:val="21"/>
        </w:rPr>
      </w:pPr>
      <w:r>
        <w:rPr>
          <w:rFonts w:hint="eastAsia"/>
          <w:color w:val="000000"/>
          <w:szCs w:val="21"/>
        </w:rPr>
        <w:t>地址：</w:t>
      </w:r>
    </w:p>
    <w:p w14:paraId="029D989A">
      <w:pPr>
        <w:spacing w:line="276" w:lineRule="auto"/>
        <w:rPr>
          <w:color w:val="000000"/>
          <w:szCs w:val="21"/>
        </w:rPr>
      </w:pPr>
      <w:r>
        <w:rPr>
          <w:rFonts w:hint="eastAsia"/>
          <w:color w:val="000000"/>
          <w:szCs w:val="21"/>
        </w:rPr>
        <w:t>成立时间：</w:t>
      </w:r>
    </w:p>
    <w:p w14:paraId="72F3EC63">
      <w:pPr>
        <w:spacing w:line="276" w:lineRule="auto"/>
        <w:rPr>
          <w:color w:val="000000"/>
          <w:szCs w:val="21"/>
        </w:rPr>
      </w:pPr>
      <w:r>
        <w:rPr>
          <w:rFonts w:hint="eastAsia"/>
          <w:color w:val="000000"/>
          <w:szCs w:val="21"/>
        </w:rPr>
        <w:t>经营期限：</w:t>
      </w:r>
    </w:p>
    <w:p w14:paraId="12C084C3">
      <w:pPr>
        <w:spacing w:line="276" w:lineRule="auto"/>
        <w:rPr>
          <w:color w:val="000000"/>
          <w:szCs w:val="21"/>
        </w:rPr>
      </w:pPr>
      <w:r>
        <w:rPr>
          <w:rFonts w:hint="eastAsia"/>
          <w:color w:val="000000"/>
          <w:szCs w:val="21"/>
        </w:rPr>
        <w:t>姓名：性别：年龄：职务：</w:t>
      </w:r>
    </w:p>
    <w:p w14:paraId="7EB1DB84">
      <w:pPr>
        <w:spacing w:line="276" w:lineRule="auto"/>
        <w:rPr>
          <w:color w:val="000000"/>
          <w:szCs w:val="21"/>
        </w:rPr>
      </w:pPr>
      <w:r>
        <w:rPr>
          <w:rFonts w:hint="eastAsia"/>
          <w:color w:val="000000"/>
          <w:szCs w:val="21"/>
        </w:rPr>
        <w:t>系（企业名称）的法定代表人。</w:t>
      </w:r>
    </w:p>
    <w:p w14:paraId="083F5D61">
      <w:pPr>
        <w:spacing w:line="276" w:lineRule="auto"/>
        <w:rPr>
          <w:color w:val="000000"/>
          <w:szCs w:val="21"/>
        </w:rPr>
      </w:pPr>
      <w:r>
        <w:rPr>
          <w:rFonts w:hint="eastAsia"/>
          <w:color w:val="000000"/>
          <w:szCs w:val="21"/>
        </w:rPr>
        <w:t>特此证明。</w:t>
      </w:r>
    </w:p>
    <w:p w14:paraId="01EE009F">
      <w:pPr>
        <w:spacing w:line="276" w:lineRule="auto"/>
        <w:rPr>
          <w:color w:val="000000"/>
          <w:szCs w:val="21"/>
        </w:rPr>
      </w:pPr>
    </w:p>
    <w:p w14:paraId="229A97F3">
      <w:pPr>
        <w:adjustRightInd w:val="0"/>
        <w:snapToGrid w:val="0"/>
        <w:spacing w:line="276" w:lineRule="auto"/>
        <w:ind w:firstLine="3675" w:firstLineChars="1750"/>
        <w:jc w:val="left"/>
        <w:rPr>
          <w:rFonts w:ascii="宋体" w:hAnsi="宋体"/>
          <w:color w:val="000000"/>
          <w:szCs w:val="21"/>
        </w:rPr>
      </w:pPr>
      <w:r>
        <w:rPr>
          <w:rFonts w:hint="eastAsia" w:ascii="宋体" w:hAnsi="宋体"/>
          <w:color w:val="000000"/>
          <w:szCs w:val="21"/>
        </w:rPr>
        <w:t>投标人名称（公章）：</w:t>
      </w:r>
    </w:p>
    <w:p w14:paraId="1FC403FF">
      <w:pPr>
        <w:adjustRightInd w:val="0"/>
        <w:snapToGrid w:val="0"/>
        <w:spacing w:line="276" w:lineRule="auto"/>
        <w:ind w:firstLine="3675" w:firstLineChars="1750"/>
        <w:jc w:val="left"/>
        <w:rPr>
          <w:color w:val="000000"/>
          <w:szCs w:val="21"/>
        </w:rPr>
      </w:pPr>
      <w:r>
        <w:rPr>
          <w:rFonts w:hint="eastAsia" w:ascii="宋体" w:hAnsi="宋体"/>
          <w:color w:val="000000"/>
          <w:szCs w:val="21"/>
        </w:rPr>
        <w:t>日期：年月日</w:t>
      </w:r>
    </w:p>
    <w:p w14:paraId="3DDA1964">
      <w:pPr>
        <w:adjustRightInd w:val="0"/>
        <w:snapToGrid w:val="0"/>
        <w:spacing w:line="276" w:lineRule="auto"/>
        <w:jc w:val="center"/>
        <w:rPr>
          <w:szCs w:val="21"/>
        </w:rPr>
      </w:pPr>
    </w:p>
    <w:p w14:paraId="730CDD4D">
      <w:pPr>
        <w:adjustRightInd w:val="0"/>
        <w:snapToGrid w:val="0"/>
        <w:spacing w:line="276" w:lineRule="auto"/>
        <w:jc w:val="center"/>
        <w:rPr>
          <w:szCs w:val="21"/>
        </w:rPr>
      </w:pPr>
      <w: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4445" t="4445" r="5080" b="14605"/>
                <wp:wrapNone/>
                <wp:docPr id="5"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03BE1462">
                            <w:pPr>
                              <w:ind w:firstLine="480"/>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J6jN0vVAAAACgEAAA8AAAAAAAAAAQAgAAAAIgAAAGRycy9k&#10;b3ducmV2LnhtbFBLAQIUABQAAAAIAIdO4kAc/HnbdwIAAAYFAAAOAAAAAAAAAAEAIAAAACQBAABk&#10;cnMvZTJvRG9jLnhtbFBLBQYAAAAABgAGAFkBAAANBgAAAAA=&#10;">
                <v:fill type="gradient" on="t" color2="#FFFFFF" angle="90" focus="100%" focussize="0,0">
                  <o:fill type="gradientUnscaled" v:ext="backwardCompatible"/>
                </v:fill>
                <v:stroke color="#000000" miterlimit="2" joinstyle="miter"/>
                <v:imagedata o:title=""/>
                <o:lock v:ext="edit" aspectratio="f"/>
                <v:textbox>
                  <w:txbxContent>
                    <w:p w14:paraId="03BE1462">
                      <w:pPr>
                        <w:ind w:firstLine="480"/>
                        <w:jc w:val="left"/>
                        <w:rPr>
                          <w:sz w:val="24"/>
                        </w:rPr>
                      </w:pPr>
                      <w:permStart w:id="0" w:edGrp="everyone"/>
                      <w:r>
                        <w:rPr>
                          <w:rFonts w:hint="eastAsia"/>
                          <w:sz w:val="24"/>
                        </w:rPr>
                        <w:t>附：法定代表人身份证复印件（正面）</w:t>
                      </w:r>
                      <w:permEnd w:id="0"/>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4445" t="4445" r="5080" b="14605"/>
                <wp:wrapNone/>
                <wp:docPr id="6"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361B1769">
                            <w:pPr>
                              <w:ind w:firstLine="480"/>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C/AAtLeAIAAAYF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&#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EQBsULXAAAACgEAAA8AAAAAAAAAAQAgAAAAIgAAAGRy&#10;cy9kb3ducmV2LnhtbFBLAQIUABQAAAAIAIdO4kC/AAtLeAIAAAYFAAAOAAAAAAAAAAEAIAAAACYB&#10;AABkcnMvZTJvRG9jLnhtbFBLBQYAAAAABgAGAFkBAAAQBgAAAAA=&#10;">
                <v:fill type="gradient" on="t" color2="#FFFFFF" angle="90" focus="100%" focussize="0,0">
                  <o:fill type="gradientUnscaled" v:ext="backwardCompatible"/>
                </v:fill>
                <v:stroke color="#000000" miterlimit="2" joinstyle="miter"/>
                <v:imagedata o:title=""/>
                <o:lock v:ext="edit" aspectratio="f"/>
                <v:textbox>
                  <w:txbxContent>
                    <w:p w14:paraId="361B1769">
                      <w:pPr>
                        <w:ind w:firstLine="480"/>
                        <w:jc w:val="left"/>
                        <w:rPr>
                          <w:sz w:val="24"/>
                        </w:rPr>
                      </w:pPr>
                      <w:permStart w:id="1" w:edGrp="everyone"/>
                      <w:r>
                        <w:rPr>
                          <w:rFonts w:hint="eastAsia"/>
                          <w:sz w:val="24"/>
                        </w:rPr>
                        <w:t>附：法定代表人身份证复印件（反面）</w:t>
                      </w:r>
                      <w:permEnd w:id="1"/>
                    </w:p>
                  </w:txbxContent>
                </v:textbox>
              </v:rect>
            </w:pict>
          </mc:Fallback>
        </mc:AlternateContent>
      </w:r>
    </w:p>
    <w:p w14:paraId="4F92DA38">
      <w:pPr>
        <w:adjustRightInd w:val="0"/>
        <w:snapToGrid w:val="0"/>
        <w:spacing w:line="276" w:lineRule="auto"/>
        <w:jc w:val="center"/>
        <w:rPr>
          <w:szCs w:val="21"/>
        </w:rPr>
      </w:pPr>
    </w:p>
    <w:p w14:paraId="4FCA6AF0">
      <w:pPr>
        <w:adjustRightInd w:val="0"/>
        <w:snapToGrid w:val="0"/>
        <w:spacing w:line="276" w:lineRule="auto"/>
        <w:jc w:val="center"/>
        <w:rPr>
          <w:szCs w:val="21"/>
        </w:rPr>
      </w:pPr>
    </w:p>
    <w:p w14:paraId="237555CD">
      <w:pPr>
        <w:adjustRightInd w:val="0"/>
        <w:snapToGrid w:val="0"/>
        <w:spacing w:line="276" w:lineRule="auto"/>
        <w:jc w:val="center"/>
        <w:rPr>
          <w:szCs w:val="21"/>
        </w:rPr>
      </w:pPr>
    </w:p>
    <w:p w14:paraId="6769606D">
      <w:pPr>
        <w:adjustRightInd w:val="0"/>
        <w:snapToGrid w:val="0"/>
        <w:spacing w:line="276" w:lineRule="auto"/>
        <w:jc w:val="left"/>
        <w:rPr>
          <w:rFonts w:ascii="宋体" w:hAnsi="宋体"/>
          <w:color w:val="000000"/>
          <w:szCs w:val="21"/>
        </w:rPr>
      </w:pPr>
    </w:p>
    <w:p w14:paraId="50A53653">
      <w:pPr>
        <w:adjustRightInd w:val="0"/>
        <w:snapToGrid w:val="0"/>
        <w:spacing w:line="276" w:lineRule="auto"/>
        <w:jc w:val="left"/>
        <w:rPr>
          <w:rFonts w:ascii="宋体" w:hAnsi="宋体"/>
          <w:color w:val="000000"/>
          <w:szCs w:val="21"/>
        </w:rPr>
      </w:pPr>
    </w:p>
    <w:p w14:paraId="6D21EA3D">
      <w:pPr>
        <w:adjustRightInd w:val="0"/>
        <w:snapToGrid w:val="0"/>
        <w:spacing w:line="276" w:lineRule="auto"/>
        <w:jc w:val="left"/>
        <w:rPr>
          <w:rFonts w:ascii="宋体" w:hAnsi="宋体"/>
          <w:color w:val="000000"/>
          <w:szCs w:val="21"/>
        </w:rPr>
      </w:pPr>
    </w:p>
    <w:p w14:paraId="49240911">
      <w:pPr>
        <w:adjustRightInd w:val="0"/>
        <w:snapToGrid w:val="0"/>
        <w:spacing w:line="276" w:lineRule="auto"/>
        <w:jc w:val="left"/>
        <w:rPr>
          <w:rFonts w:ascii="宋体" w:hAnsi="宋体"/>
          <w:color w:val="000000"/>
          <w:szCs w:val="21"/>
        </w:rPr>
      </w:pPr>
    </w:p>
    <w:p w14:paraId="067CA207">
      <w:pPr>
        <w:adjustRightInd w:val="0"/>
        <w:snapToGrid w:val="0"/>
        <w:spacing w:line="276" w:lineRule="auto"/>
        <w:jc w:val="left"/>
        <w:rPr>
          <w:rFonts w:ascii="宋体" w:hAnsi="宋体"/>
          <w:color w:val="000000"/>
          <w:szCs w:val="21"/>
        </w:rPr>
      </w:pPr>
    </w:p>
    <w:p w14:paraId="766099A4">
      <w:pPr>
        <w:adjustRightInd w:val="0"/>
        <w:snapToGrid w:val="0"/>
        <w:spacing w:line="276" w:lineRule="auto"/>
        <w:jc w:val="left"/>
        <w:rPr>
          <w:rFonts w:ascii="宋体" w:hAnsi="宋体"/>
          <w:color w:val="000000"/>
          <w:szCs w:val="21"/>
        </w:rPr>
      </w:pPr>
    </w:p>
    <w:p w14:paraId="72F32422">
      <w:pPr>
        <w:adjustRightInd w:val="0"/>
        <w:snapToGrid w:val="0"/>
        <w:spacing w:line="276" w:lineRule="auto"/>
        <w:jc w:val="left"/>
        <w:rPr>
          <w:rFonts w:ascii="宋体" w:hAnsi="宋体"/>
          <w:color w:val="000000"/>
          <w:szCs w:val="21"/>
        </w:rPr>
      </w:pPr>
    </w:p>
    <w:p w14:paraId="74BE1A6B">
      <w:pPr>
        <w:adjustRightInd w:val="0"/>
        <w:snapToGrid w:val="0"/>
        <w:spacing w:line="276" w:lineRule="auto"/>
        <w:jc w:val="left"/>
        <w:rPr>
          <w:rFonts w:ascii="宋体" w:hAnsi="宋体"/>
          <w:color w:val="000000"/>
          <w:szCs w:val="21"/>
        </w:rPr>
      </w:pPr>
    </w:p>
    <w:p w14:paraId="3C0874A1">
      <w:pPr>
        <w:adjustRightInd w:val="0"/>
        <w:snapToGrid w:val="0"/>
        <w:spacing w:line="276" w:lineRule="auto"/>
        <w:jc w:val="left"/>
        <w:rPr>
          <w:rFonts w:ascii="宋体" w:hAnsi="宋体"/>
          <w:color w:val="000000"/>
          <w:szCs w:val="21"/>
        </w:rPr>
      </w:pPr>
    </w:p>
    <w:p w14:paraId="2B6F24C6">
      <w:pPr>
        <w:adjustRightInd w:val="0"/>
        <w:snapToGrid w:val="0"/>
        <w:spacing w:line="276" w:lineRule="auto"/>
        <w:jc w:val="left"/>
        <w:rPr>
          <w:rFonts w:ascii="宋体" w:hAnsi="宋体"/>
          <w:color w:val="000000"/>
          <w:szCs w:val="21"/>
        </w:rPr>
      </w:pPr>
    </w:p>
    <w:p w14:paraId="61E28310">
      <w:pPr>
        <w:adjustRightInd w:val="0"/>
        <w:snapToGrid w:val="0"/>
        <w:spacing w:line="276" w:lineRule="auto"/>
        <w:jc w:val="left"/>
        <w:rPr>
          <w:rFonts w:ascii="宋体" w:hAnsi="宋体"/>
          <w:color w:val="000000"/>
          <w:szCs w:val="21"/>
        </w:rPr>
      </w:pPr>
      <w:r>
        <w:rPr>
          <w:rFonts w:hint="eastAsia" w:ascii="宋体" w:hAnsi="宋体"/>
          <w:color w:val="000000"/>
          <w:szCs w:val="21"/>
        </w:rPr>
        <w:t>说明：</w:t>
      </w:r>
    </w:p>
    <w:p w14:paraId="49CAF36C">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适用于投标人不授权代理人，而由法定代表人直接参加投标并签署投标文件的情况。</w:t>
      </w:r>
    </w:p>
    <w:p w14:paraId="09E964AF">
      <w:pPr>
        <w:adjustRightInd w:val="0"/>
        <w:snapToGrid w:val="0"/>
        <w:spacing w:line="276" w:lineRule="auto"/>
        <w:ind w:firstLine="630" w:firstLineChars="300"/>
        <w:jc w:val="left"/>
        <w:rPr>
          <w:rFonts w:ascii="宋体" w:hAnsi="宋体"/>
          <w:color w:val="000000"/>
          <w:szCs w:val="21"/>
        </w:rPr>
      </w:pPr>
      <w:r>
        <w:rPr>
          <w:rFonts w:hint="eastAsia" w:ascii="宋体" w:hAnsi="宋体"/>
          <w:color w:val="000000"/>
          <w:szCs w:val="21"/>
        </w:rPr>
        <w:t>如投标人为自然人，可在此页作出说明并粘贴本人身份证复印件即可。</w:t>
      </w:r>
    </w:p>
    <w:p w14:paraId="59C83702">
      <w:pPr>
        <w:adjustRightInd w:val="0"/>
        <w:snapToGrid w:val="0"/>
        <w:spacing w:line="276" w:lineRule="auto"/>
        <w:jc w:val="left"/>
        <w:rPr>
          <w:rFonts w:ascii="宋体" w:hAnsi="宋体"/>
          <w:color w:val="000000"/>
          <w:szCs w:val="21"/>
        </w:rPr>
      </w:pPr>
    </w:p>
    <w:p w14:paraId="70F332B9">
      <w:pPr>
        <w:adjustRightInd w:val="0"/>
        <w:snapToGrid w:val="0"/>
        <w:spacing w:line="276" w:lineRule="auto"/>
        <w:jc w:val="center"/>
        <w:rPr>
          <w:szCs w:val="21"/>
        </w:rPr>
      </w:pPr>
    </w:p>
    <w:p w14:paraId="3CEDCBBC">
      <w:pPr>
        <w:tabs>
          <w:tab w:val="center" w:pos="4153"/>
          <w:tab w:val="right" w:pos="8306"/>
        </w:tabs>
        <w:snapToGrid w:val="0"/>
        <w:spacing w:line="276" w:lineRule="auto"/>
        <w:jc w:val="center"/>
        <w:rPr>
          <w:rFonts w:ascii="等线" w:hAnsi="等线" w:eastAsia="等线"/>
          <w:szCs w:val="21"/>
        </w:rPr>
      </w:pPr>
    </w:p>
    <w:p w14:paraId="09ADADC3">
      <w:pPr>
        <w:pStyle w:val="36"/>
        <w:numPr>
          <w:ilvl w:val="0"/>
          <w:numId w:val="60"/>
        </w:numPr>
        <w:spacing w:line="276" w:lineRule="auto"/>
        <w:ind w:firstLineChars="0"/>
        <w:outlineLvl w:val="2"/>
        <w:rPr>
          <w:szCs w:val="21"/>
        </w:rPr>
      </w:pPr>
      <w:r>
        <w:rPr>
          <w:rFonts w:hint="eastAsia" w:ascii="宋体" w:hAnsi="宋体"/>
          <w:kern w:val="0"/>
          <w:szCs w:val="21"/>
        </w:rPr>
        <w:br w:type="page"/>
      </w:r>
      <w:bookmarkEnd w:id="89"/>
      <w:bookmarkEnd w:id="90"/>
      <w:bookmarkEnd w:id="91"/>
      <w:bookmarkEnd w:id="92"/>
      <w:bookmarkEnd w:id="93"/>
      <w:bookmarkEnd w:id="94"/>
      <w:bookmarkEnd w:id="95"/>
      <w:bookmarkEnd w:id="96"/>
      <w:r>
        <w:rPr>
          <w:rFonts w:hint="eastAsia" w:ascii="宋体" w:hAnsi="宋体"/>
          <w:szCs w:val="21"/>
        </w:rPr>
        <w:t>法定代表人授权委托书</w:t>
      </w:r>
    </w:p>
    <w:p w14:paraId="66EFC9BC">
      <w:pPr>
        <w:spacing w:line="276" w:lineRule="auto"/>
        <w:jc w:val="center"/>
        <w:rPr>
          <w:b/>
          <w:szCs w:val="21"/>
        </w:rPr>
      </w:pPr>
      <w:r>
        <w:rPr>
          <w:rFonts w:hint="eastAsia"/>
          <w:b/>
          <w:szCs w:val="21"/>
        </w:rPr>
        <w:t>法定代表人授权委托书</w:t>
      </w:r>
    </w:p>
    <w:p w14:paraId="181B1E78">
      <w:pPr>
        <w:spacing w:line="276" w:lineRule="auto"/>
        <w:rPr>
          <w:rFonts w:ascii="宋体" w:hAnsi="宋体"/>
          <w:b/>
          <w:szCs w:val="21"/>
        </w:rPr>
      </w:pPr>
      <w:r>
        <w:rPr>
          <w:rFonts w:hint="eastAsia" w:ascii="宋体" w:hAnsi="宋体" w:cs="Courier New"/>
          <w:b/>
          <w:szCs w:val="21"/>
        </w:rPr>
        <w:t>武汉理工大学、</w:t>
      </w: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${招标机构名称}</w:t>
      </w:r>
      <w:r>
        <w:rPr>
          <w:rFonts w:hint="eastAsia" w:ascii="宋体" w:hAnsi="宋体" w:cs="Courier New"/>
          <w:b/>
          <w:szCs w:val="21"/>
        </w:rPr>
        <w:fldChar w:fldCharType="end"/>
      </w:r>
      <w:r>
        <w:rPr>
          <w:rFonts w:hint="eastAsia" w:ascii="宋体" w:hAnsi="宋体" w:cs="Courier New"/>
          <w:b/>
          <w:szCs w:val="21"/>
        </w:rPr>
        <w:t>：</w:t>
      </w:r>
    </w:p>
    <w:p w14:paraId="636CAE05">
      <w:pPr>
        <w:spacing w:line="276" w:lineRule="auto"/>
        <w:ind w:firstLine="420"/>
        <w:rPr>
          <w:rFonts w:ascii="宋体" w:hAnsi="宋体"/>
          <w:szCs w:val="21"/>
        </w:rPr>
      </w:pPr>
      <w:r>
        <w:rPr>
          <w:rFonts w:hint="eastAsia"/>
          <w:bCs/>
          <w:szCs w:val="21"/>
        </w:rPr>
        <w:t>（投标人名称）在下面签名的（法定代表人姓名）代表本公司授权</w:t>
      </w:r>
      <w:r>
        <w:rPr>
          <w:rFonts w:hint="eastAsia" w:ascii="宋体" w:hAnsi="宋体"/>
          <w:szCs w:val="21"/>
        </w:rPr>
        <w:t>同志为我公司参加贵方组织的</w:t>
      </w:r>
      <w:r>
        <w:rPr>
          <w:rFonts w:hint="eastAsia" w:hAnsi="宋体"/>
          <w:color w:val="0D0D0D"/>
          <w:szCs w:val="21"/>
        </w:rPr>
        <w:t>项目（项目编号</w:t>
      </w:r>
      <w:r>
        <w:rPr>
          <w:rFonts w:hAnsi="宋体"/>
          <w:color w:val="0D0D0D"/>
          <w:szCs w:val="21"/>
        </w:rPr>
        <w:t>/</w:t>
      </w:r>
      <w:r>
        <w:rPr>
          <w:rFonts w:hint="eastAsia" w:hAnsi="宋体"/>
          <w:color w:val="0D0D0D"/>
          <w:szCs w:val="21"/>
        </w:rPr>
        <w:t>包号：</w:t>
      </w:r>
      <w:r>
        <w:rPr>
          <w:rFonts w:hAnsi="宋体"/>
          <w:color w:val="0D0D0D"/>
          <w:szCs w:val="21"/>
        </w:rPr>
        <w:t>_____</w:t>
      </w:r>
      <w:r>
        <w:rPr>
          <w:rFonts w:hAnsi="宋体"/>
          <w:szCs w:val="21"/>
          <w:u w:val="single"/>
        </w:rPr>
        <w:t>_</w:t>
      </w:r>
      <w:r>
        <w:rPr>
          <w:rFonts w:hint="eastAsia" w:hAnsi="宋体"/>
          <w:szCs w:val="21"/>
        </w:rPr>
        <w:t>）</w:t>
      </w:r>
      <w:r>
        <w:rPr>
          <w:rFonts w:hint="eastAsia" w:ascii="宋体" w:hAnsi="宋体"/>
          <w:szCs w:val="21"/>
        </w:rPr>
        <w:t>采购活动的投标人授权代表，全权代表我公司处理在该项目投标活动中的一切事宜。代理期限从年月日起至年月日止。</w:t>
      </w:r>
    </w:p>
    <w:p w14:paraId="5B5CDA25">
      <w:pPr>
        <w:spacing w:line="276" w:lineRule="auto"/>
        <w:ind w:firstLine="472" w:firstLineChars="225"/>
        <w:rPr>
          <w:rFonts w:ascii="宋体" w:hAnsi="宋体"/>
          <w:szCs w:val="21"/>
        </w:rPr>
      </w:pPr>
      <w:r>
        <w:rPr>
          <w:rFonts w:hint="eastAsia" w:ascii="宋体" w:hAnsi="宋体"/>
          <w:szCs w:val="21"/>
        </w:rPr>
        <w:t>授权代表无转委托权。</w:t>
      </w:r>
    </w:p>
    <w:p w14:paraId="14299F9A">
      <w:pPr>
        <w:spacing w:line="276" w:lineRule="auto"/>
        <w:ind w:firstLine="472" w:firstLineChars="225"/>
        <w:rPr>
          <w:rFonts w:ascii="宋体" w:hAnsi="宋体"/>
          <w:szCs w:val="21"/>
        </w:rPr>
      </w:pPr>
      <w:r>
        <w:rPr>
          <w:rFonts w:hint="eastAsia" w:cs="宋体"/>
          <w:szCs w:val="21"/>
        </w:rPr>
        <w:t>特此声明。</w:t>
      </w:r>
    </w:p>
    <w:p w14:paraId="1BDC887A">
      <w:pPr>
        <w:spacing w:line="276" w:lineRule="auto"/>
        <w:ind w:firstLine="3595" w:firstLineChars="1712"/>
        <w:rPr>
          <w:bCs/>
          <w:szCs w:val="21"/>
        </w:rPr>
      </w:pPr>
    </w:p>
    <w:p w14:paraId="766C6644">
      <w:pPr>
        <w:spacing w:line="276" w:lineRule="auto"/>
        <w:ind w:firstLine="3595" w:firstLineChars="1712"/>
        <w:rPr>
          <w:rFonts w:hAnsi="宋体"/>
          <w:b/>
          <w:bCs/>
          <w:szCs w:val="21"/>
          <w:u w:val="single"/>
        </w:rPr>
      </w:pPr>
      <w:r>
        <w:rPr>
          <w:rFonts w:hint="eastAsia"/>
          <w:bCs/>
          <w:szCs w:val="21"/>
        </w:rPr>
        <w:t>日期：年月日</w:t>
      </w:r>
    </w:p>
    <w:p w14:paraId="379C3684">
      <w:pPr>
        <w:spacing w:line="276" w:lineRule="auto"/>
        <w:rPr>
          <w:rFonts w:ascii="宋体" w:hAnsi="宋体"/>
          <w:szCs w:val="21"/>
        </w:rPr>
      </w:pPr>
      <w:r>
        <w:rPr>
          <w:rFonts w:hint="eastAsia" w:ascii="宋体" w:hAnsi="宋体"/>
          <w:szCs w:val="21"/>
        </w:rPr>
        <w:t>附：</w:t>
      </w:r>
    </w:p>
    <w:p w14:paraId="7EE42A82">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投标人名称（公章）：</w:t>
      </w:r>
    </w:p>
    <w:p w14:paraId="123FC526">
      <w:pPr>
        <w:adjustRightInd w:val="0"/>
        <w:snapToGrid w:val="0"/>
        <w:spacing w:line="276" w:lineRule="auto"/>
        <w:ind w:firstLine="630" w:firstLineChars="300"/>
        <w:rPr>
          <w:rFonts w:ascii="宋体" w:hAnsi="宋体"/>
          <w:color w:val="000000"/>
          <w:kern w:val="0"/>
          <w:szCs w:val="21"/>
        </w:rPr>
      </w:pPr>
      <w:r>
        <w:rPr>
          <w:rFonts w:hint="eastAsia" w:ascii="宋体" w:hAnsi="宋体"/>
          <w:color w:val="000000"/>
          <w:kern w:val="0"/>
          <w:szCs w:val="21"/>
        </w:rPr>
        <w:t>法定代表人（签名</w:t>
      </w:r>
      <w:r>
        <w:rPr>
          <w:rFonts w:ascii="宋体" w:hAnsi="宋体"/>
          <w:color w:val="000000"/>
          <w:kern w:val="0"/>
          <w:szCs w:val="21"/>
        </w:rPr>
        <w:t>或盖</w:t>
      </w:r>
      <w:r>
        <w:rPr>
          <w:rFonts w:hint="eastAsia" w:ascii="宋体" w:hAnsi="宋体"/>
          <w:color w:val="000000"/>
          <w:kern w:val="0"/>
          <w:szCs w:val="21"/>
        </w:rPr>
        <w:t>章）：</w:t>
      </w:r>
    </w:p>
    <w:p w14:paraId="337B0977">
      <w:pPr>
        <w:spacing w:line="276" w:lineRule="auto"/>
        <w:ind w:firstLine="630" w:firstLineChars="300"/>
        <w:rPr>
          <w:rFonts w:cs="宋体"/>
          <w:szCs w:val="21"/>
        </w:rPr>
      </w:pPr>
      <w:r>
        <w:rPr>
          <w:rFonts w:hint="eastAsia" w:cs="宋体"/>
          <w:szCs w:val="21"/>
        </w:rPr>
        <w:t>授权代表</w:t>
      </w:r>
      <w:r>
        <w:rPr>
          <w:rFonts w:hint="eastAsia" w:ascii="宋体" w:hAnsi="宋体"/>
          <w:color w:val="000000"/>
          <w:kern w:val="0"/>
          <w:szCs w:val="21"/>
        </w:rPr>
        <w:t>（签名）</w:t>
      </w:r>
      <w:r>
        <w:rPr>
          <w:rFonts w:hint="eastAsia" w:cs="宋体"/>
          <w:szCs w:val="21"/>
        </w:rPr>
        <w:t>：</w:t>
      </w:r>
    </w:p>
    <w:p w14:paraId="1226D8B9">
      <w:pPr>
        <w:spacing w:line="276" w:lineRule="auto"/>
        <w:ind w:firstLine="630" w:firstLineChars="300"/>
        <w:rPr>
          <w:rFonts w:ascii="宋体" w:hAnsi="宋体"/>
          <w:szCs w:val="21"/>
          <w:u w:val="single"/>
        </w:rPr>
      </w:pPr>
      <w:r>
        <w:rPr>
          <w:rFonts w:hint="eastAsia" w:cs="宋体"/>
          <w:szCs w:val="21"/>
        </w:rPr>
        <w:t>授权代表</w:t>
      </w:r>
      <w:r>
        <w:rPr>
          <w:rFonts w:hint="eastAsia" w:ascii="宋体" w:hAnsi="宋体"/>
          <w:color w:val="000000"/>
          <w:kern w:val="0"/>
          <w:szCs w:val="21"/>
        </w:rPr>
        <w:t>身份证号码：</w:t>
      </w:r>
    </w:p>
    <w:p w14:paraId="7754F769">
      <w:pPr>
        <w:spacing w:line="276" w:lineRule="auto"/>
        <w:ind w:firstLine="630" w:firstLineChars="300"/>
        <w:rPr>
          <w:rFonts w:cs="宋体"/>
          <w:szCs w:val="21"/>
        </w:rPr>
      </w:pPr>
      <w: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4445" t="4445" r="5080" b="14605"/>
                <wp:wrapNone/>
                <wp:docPr id="1"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58431616">
                            <w:pPr>
                              <w:ind w:firstLine="480"/>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GfA8oR4AgAABgU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VhA&#10;pBEZldp5NXgetqvtaP/K1rdoIUoWacaPBy46C18p6XF0Kuq/rBkIStQbg6qdFtNpnLW0mc5OJriB&#10;w8jqMMIMR6iKBoo6xOUiDPO5diDbDisVqXljL/DpNDKZGqkOrMYHh+ORvB5HOc7f4T5l/fl8zX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cxFAnNYAAAAKAQAADwAAAAAAAAABACAAAAAiAAAAZHJz&#10;L2Rvd25yZXYueG1sUEsBAhQAFAAAAAgAh07iQGfA8oR4AgAABgUAAA4AAAAAAAAAAQAgAAAAJQEA&#10;AGRycy9lMm9Eb2MueG1sUEsFBgAAAAAGAAYAWQEAAA8GAAAAAA==&#10;">
                <v:fill type="gradient" on="t" color2="#FFFFFF" angle="90" focus="100%" focussize="0,0">
                  <o:fill type="gradientUnscaled" v:ext="backwardCompatible"/>
                </v:fill>
                <v:stroke color="#000000" miterlimit="2" joinstyle="miter"/>
                <v:imagedata o:title=""/>
                <o:lock v:ext="edit" aspectratio="f"/>
                <v:textbox>
                  <w:txbxContent>
                    <w:p w14:paraId="58431616">
                      <w:pPr>
                        <w:ind w:firstLine="480"/>
                        <w:jc w:val="left"/>
                        <w:rPr>
                          <w:sz w:val="24"/>
                        </w:rPr>
                      </w:pPr>
                      <w:permStart w:id="2" w:edGrp="everyone"/>
                      <w:r>
                        <w:rPr>
                          <w:rFonts w:hint="eastAsia"/>
                          <w:sz w:val="24"/>
                        </w:rPr>
                        <w:t>附：法定代表人身份证复印件（正面）</w:t>
                      </w:r>
                      <w:permEnd w:id="2"/>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4445" t="4445" r="5080" b="14605"/>
                <wp:wrapNone/>
                <wp:docPr id="2"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15DC7840">
                            <w:pPr>
                              <w:ind w:firstLine="480"/>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4Wn0j1wAAAAoBAAAPAAAAAAAAAAEAIAAAACIAAABkcnMv&#10;ZG93bnJldi54bWxQSwECFAAUAAAACACHTuJAxDyAFHYCAAAGBQAADgAAAAAAAAABACAAAAAmAQAA&#10;ZHJzL2Uyb0RvYy54bWxQSwUGAAAAAAYABgBZAQAADgYAAAAA&#10;">
                <v:fill type="gradient" on="t" color2="#FFFFFF" angle="90" focus="100%" focussize="0,0">
                  <o:fill type="gradientUnscaled" v:ext="backwardCompatible"/>
                </v:fill>
                <v:stroke color="#000000" miterlimit="2" joinstyle="miter"/>
                <v:imagedata o:title=""/>
                <o:lock v:ext="edit" aspectratio="f"/>
                <v:textbox>
                  <w:txbxContent>
                    <w:p w14:paraId="15DC7840">
                      <w:pPr>
                        <w:ind w:firstLine="480"/>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cs="宋体"/>
          <w:szCs w:val="21"/>
        </w:rPr>
        <w:t>电话：</w:t>
      </w:r>
    </w:p>
    <w:p w14:paraId="11A47EEB">
      <w:pPr>
        <w:spacing w:line="276" w:lineRule="auto"/>
        <w:rPr>
          <w:rFonts w:ascii="宋体" w:hAnsi="宋体"/>
          <w:color w:val="000000"/>
          <w:szCs w:val="21"/>
        </w:rPr>
      </w:pPr>
    </w:p>
    <w:p w14:paraId="6EA5B5F0">
      <w:pPr>
        <w:spacing w:line="276" w:lineRule="auto"/>
        <w:rPr>
          <w:rFonts w:ascii="宋体" w:hAnsi="宋体"/>
          <w:color w:val="000000"/>
          <w:szCs w:val="21"/>
        </w:rPr>
      </w:pPr>
    </w:p>
    <w:p w14:paraId="6641BDB5">
      <w:pPr>
        <w:spacing w:line="276" w:lineRule="auto"/>
        <w:rPr>
          <w:rFonts w:ascii="宋体" w:hAnsi="宋体"/>
          <w:color w:val="000000"/>
          <w:szCs w:val="21"/>
        </w:rPr>
      </w:pPr>
    </w:p>
    <w:p w14:paraId="0317BCF9">
      <w:pPr>
        <w:spacing w:line="276" w:lineRule="auto"/>
        <w:rPr>
          <w:rFonts w:ascii="宋体" w:hAnsi="宋体"/>
          <w:color w:val="000000"/>
          <w:szCs w:val="21"/>
        </w:rPr>
      </w:pPr>
    </w:p>
    <w:p w14:paraId="40B9455E">
      <w:pPr>
        <w:spacing w:line="276" w:lineRule="auto"/>
        <w:rPr>
          <w:rFonts w:ascii="宋体" w:hAnsi="宋体"/>
          <w:color w:val="000000"/>
          <w:szCs w:val="21"/>
        </w:rPr>
      </w:pPr>
    </w:p>
    <w:p w14:paraId="1EA707BC">
      <w:pPr>
        <w:autoSpaceDE w:val="0"/>
        <w:autoSpaceDN w:val="0"/>
        <w:spacing w:line="276" w:lineRule="auto"/>
        <w:ind w:left="268" w:leftChars="128" w:firstLine="420"/>
        <w:jc w:val="right"/>
        <w:rPr>
          <w:rFonts w:ascii="宋体" w:hAnsi="宋体"/>
          <w:color w:val="000000"/>
          <w:szCs w:val="21"/>
        </w:rPr>
      </w:pPr>
    </w:p>
    <w:p w14:paraId="08E086F3">
      <w:pPr>
        <w:autoSpaceDE w:val="0"/>
        <w:autoSpaceDN w:val="0"/>
        <w:spacing w:line="276" w:lineRule="auto"/>
        <w:ind w:left="268" w:leftChars="128" w:firstLine="420"/>
        <w:jc w:val="right"/>
        <w:rPr>
          <w:rFonts w:ascii="宋体" w:hAnsi="宋体"/>
          <w:color w:val="000000"/>
          <w:szCs w:val="21"/>
        </w:rPr>
      </w:pPr>
    </w:p>
    <w:p w14:paraId="28A5CEFA">
      <w:pPr>
        <w:spacing w:line="276" w:lineRule="auto"/>
        <w:ind w:left="480" w:hanging="480"/>
        <w:jc w:val="right"/>
        <w:rPr>
          <w:rFonts w:ascii="宋体" w:hAnsi="宋体"/>
          <w:color w:val="000000"/>
          <w:szCs w:val="21"/>
        </w:rPr>
      </w:pPr>
    </w:p>
    <w:p w14:paraId="7C021739">
      <w:pPr>
        <w:spacing w:line="276" w:lineRule="auto"/>
        <w:ind w:left="480" w:hanging="480"/>
        <w:jc w:val="right"/>
        <w:rPr>
          <w:rFonts w:eastAsia="Times New Roman"/>
          <w:szCs w:val="21"/>
        </w:rPr>
      </w:pPr>
      <w: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4445" t="4445" r="5080" b="14605"/>
                <wp:wrapNone/>
                <wp:docPr id="3"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3751B25B">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543422ED">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A7vjX1gAAAAoBAAAPAAAAAAAAAAEAIAAAACIAAABkcnMv&#10;ZG93bnJldi54bWxQSwECFAAUAAAACACHTuJAHMDSrncCAAAGBQAADgAAAAAAAAABACAAAAAlAQAA&#10;ZHJzL2Uyb0RvYy54bWxQSwUGAAAAAAYABgBZAQAADgYAAAAA&#10;">
                <v:fill type="gradient" on="t" color2="#FFFFFF" angle="90" focus="100%" focussize="0,0">
                  <o:fill type="gradientUnscaled" v:ext="backwardCompatible"/>
                </v:fill>
                <v:stroke color="#000000" miterlimit="2" joinstyle="miter"/>
                <v:imagedata o:title=""/>
                <o:lock v:ext="edit" aspectratio="f"/>
                <v:textbox>
                  <w:txbxContent>
                    <w:p w14:paraId="3751B25B">
                      <w:pPr>
                        <w:ind w:firstLine="480"/>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4"/>
                    <w:p w14:paraId="543422ED">
                      <w:pPr>
                        <w:ind w:firstLine="420"/>
                      </w:pP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4445" t="4445" r="5080" b="14605"/>
                <wp:wrapNone/>
                <wp:docPr id="4"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a:effectLst/>
                      </wps:spPr>
                      <wps:txbx>
                        <w:txbxContent>
                          <w:p w14:paraId="2284F942">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625B1358">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Aa87q14AgAABgU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H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TCwg&#10;0oiMSu28GjwP29V2tH9l61u0ECWLNOPPAxedha+U9Dg6FfVf1gwEJeqNQdVOi+k0zlraTGcnE9zA&#10;YWR1GGGGI1RFA0Ud4nIRhvlcO5Bth5WK1LyxF/jpNDKZGqkOrMYPDscjeT2Ocpy/w33K+vP7mv8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2YAZldYAAAAKAQAADwAAAAAAAAABACAAAAAiAAAAZHJz&#10;L2Rvd25yZXYueG1sUEsBAhQAFAAAAAgAh07iQAa87q14AgAABgUAAA4AAAAAAAAAAQAgAAAAJQEA&#10;AGRycy9lMm9Eb2MueG1sUEsFBgAAAAAGAAYAWQEAAA8GAAAAAA==&#10;">
                <v:fill type="gradient" on="t" color2="#FFFFFF" angle="90" focus="100%" focussize="0,0">
                  <o:fill type="gradientUnscaled" v:ext="backwardCompatible"/>
                </v:fill>
                <v:stroke color="#000000" miterlimit="2" joinstyle="miter"/>
                <v:imagedata o:title=""/>
                <o:lock v:ext="edit" aspectratio="f"/>
                <v:textbox>
                  <w:txbxContent>
                    <w:p w14:paraId="2284F942">
                      <w:pPr>
                        <w:ind w:firstLine="480"/>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5"/>
                    <w:p w14:paraId="625B1358">
                      <w:pPr>
                        <w:ind w:firstLine="420"/>
                      </w:pPr>
                    </w:p>
                  </w:txbxContent>
                </v:textbox>
              </v:rect>
            </w:pict>
          </mc:Fallback>
        </mc:AlternateContent>
      </w:r>
    </w:p>
    <w:p w14:paraId="7741CDB4">
      <w:pPr>
        <w:spacing w:line="276" w:lineRule="auto"/>
        <w:rPr>
          <w:rFonts w:ascii="宋体" w:hAnsi="宋体"/>
          <w:color w:val="000000"/>
          <w:szCs w:val="21"/>
        </w:rPr>
      </w:pPr>
    </w:p>
    <w:p w14:paraId="327D7717">
      <w:pPr>
        <w:spacing w:line="276" w:lineRule="auto"/>
        <w:rPr>
          <w:rFonts w:ascii="宋体" w:hAnsi="宋体"/>
          <w:color w:val="000000"/>
          <w:szCs w:val="21"/>
        </w:rPr>
      </w:pPr>
    </w:p>
    <w:p w14:paraId="124E7B36">
      <w:pPr>
        <w:spacing w:line="276" w:lineRule="auto"/>
        <w:rPr>
          <w:rFonts w:ascii="宋体" w:hAnsi="宋体"/>
          <w:color w:val="000000"/>
          <w:szCs w:val="21"/>
        </w:rPr>
      </w:pPr>
    </w:p>
    <w:p w14:paraId="67D96F87">
      <w:pPr>
        <w:spacing w:line="276" w:lineRule="auto"/>
        <w:rPr>
          <w:rFonts w:ascii="宋体" w:hAnsi="宋体"/>
          <w:color w:val="000000"/>
          <w:szCs w:val="21"/>
        </w:rPr>
      </w:pPr>
    </w:p>
    <w:p w14:paraId="1B986EA1">
      <w:pPr>
        <w:spacing w:line="276" w:lineRule="auto"/>
        <w:rPr>
          <w:rFonts w:ascii="宋体" w:hAnsi="宋体"/>
          <w:color w:val="000000"/>
          <w:szCs w:val="21"/>
        </w:rPr>
      </w:pPr>
    </w:p>
    <w:p w14:paraId="41D8CF22">
      <w:pPr>
        <w:spacing w:line="276" w:lineRule="auto"/>
        <w:rPr>
          <w:rFonts w:ascii="宋体" w:hAnsi="宋体"/>
          <w:color w:val="000000"/>
          <w:szCs w:val="21"/>
        </w:rPr>
      </w:pPr>
    </w:p>
    <w:p w14:paraId="358F317B">
      <w:pPr>
        <w:spacing w:line="276" w:lineRule="auto"/>
        <w:rPr>
          <w:rFonts w:ascii="宋体" w:hAnsi="宋体"/>
          <w:color w:val="000000"/>
          <w:szCs w:val="21"/>
        </w:rPr>
      </w:pPr>
    </w:p>
    <w:p w14:paraId="516A0543">
      <w:pPr>
        <w:spacing w:line="276" w:lineRule="auto"/>
        <w:rPr>
          <w:rFonts w:ascii="宋体" w:hAnsi="宋体"/>
          <w:color w:val="000000"/>
          <w:szCs w:val="21"/>
        </w:rPr>
      </w:pPr>
    </w:p>
    <w:p w14:paraId="6B58C36A">
      <w:pPr>
        <w:spacing w:line="276" w:lineRule="auto"/>
        <w:rPr>
          <w:rFonts w:ascii="宋体" w:hAnsi="宋体"/>
          <w:color w:val="000000"/>
          <w:szCs w:val="21"/>
        </w:rPr>
      </w:pPr>
      <w:r>
        <w:rPr>
          <w:rFonts w:hint="eastAsia" w:ascii="宋体" w:hAnsi="宋体"/>
          <w:color w:val="000000"/>
          <w:szCs w:val="21"/>
        </w:rPr>
        <w:t>说明：投标人不委托授权代表，而由法定代表人直接参加投标时不需要此授权书。</w:t>
      </w:r>
    </w:p>
    <w:p w14:paraId="474D9ED0">
      <w:pPr>
        <w:spacing w:line="276" w:lineRule="auto"/>
        <w:ind w:firstLine="634" w:firstLineChars="302"/>
        <w:rPr>
          <w:szCs w:val="21"/>
        </w:rPr>
      </w:pPr>
      <w:r>
        <w:rPr>
          <w:rFonts w:hint="eastAsia" w:ascii="宋体" w:hAnsi="宋体"/>
          <w:color w:val="000000"/>
          <w:szCs w:val="21"/>
        </w:rPr>
        <w:t>自然人投标时不需要此授权书。</w:t>
      </w:r>
    </w:p>
    <w:p w14:paraId="07D25B39">
      <w:pPr>
        <w:pStyle w:val="36"/>
        <w:numPr>
          <w:ilvl w:val="0"/>
          <w:numId w:val="60"/>
        </w:numPr>
        <w:spacing w:line="276" w:lineRule="auto"/>
        <w:ind w:firstLineChars="0"/>
        <w:outlineLvl w:val="2"/>
        <w:rPr>
          <w:szCs w:val="21"/>
        </w:rPr>
      </w:pPr>
      <w:r>
        <w:rPr>
          <w:kern w:val="0"/>
          <w:szCs w:val="21"/>
        </w:rPr>
        <w:br w:type="page"/>
      </w:r>
      <w:r>
        <w:rPr>
          <w:szCs w:val="21"/>
        </w:rPr>
        <w:t>资格证明材料</w:t>
      </w:r>
    </w:p>
    <w:p w14:paraId="2C023C07">
      <w:pPr>
        <w:spacing w:line="276" w:lineRule="auto"/>
        <w:ind w:firstLine="210" w:firstLineChars="100"/>
        <w:rPr>
          <w:rFonts w:ascii="宋体" w:hAnsi="宋体"/>
          <w:szCs w:val="21"/>
        </w:rPr>
      </w:pPr>
      <w:r>
        <w:rPr>
          <w:rFonts w:hint="eastAsia" w:ascii="宋体" w:hAnsi="宋体"/>
          <w:szCs w:val="21"/>
        </w:rPr>
        <w:t>说明：</w:t>
      </w:r>
    </w:p>
    <w:p w14:paraId="6CC5935C">
      <w:pPr>
        <w:spacing w:line="276" w:lineRule="auto"/>
        <w:ind w:firstLine="420" w:firstLineChars="200"/>
        <w:rPr>
          <w:rFonts w:ascii="宋体" w:hAnsi="宋体"/>
          <w:szCs w:val="21"/>
        </w:rPr>
      </w:pPr>
      <w:r>
        <w:rPr>
          <w:rFonts w:hint="eastAsia" w:ascii="宋体" w:hAnsi="宋体"/>
          <w:szCs w:val="21"/>
        </w:rPr>
        <w:t>1）</w:t>
      </w:r>
      <w:r>
        <w:rPr>
          <w:rFonts w:hint="eastAsia" w:ascii="宋体" w:hAnsi="宋体"/>
          <w:b/>
          <w:color w:val="FF0000"/>
          <w:szCs w:val="21"/>
        </w:rPr>
        <w:t>投标人应</w:t>
      </w:r>
      <w:r>
        <w:rPr>
          <w:rFonts w:ascii="宋体" w:hAnsi="宋体"/>
          <w:b/>
          <w:color w:val="FF0000"/>
          <w:szCs w:val="21"/>
        </w:rPr>
        <w:t>按</w:t>
      </w:r>
      <w:r>
        <w:rPr>
          <w:rFonts w:hint="eastAsia" w:ascii="宋体" w:hAnsi="宋体"/>
          <w:b/>
          <w:color w:val="FF0000"/>
          <w:szCs w:val="21"/>
        </w:rPr>
        <w:t>招标文件</w:t>
      </w:r>
      <w:r>
        <w:rPr>
          <w:rFonts w:ascii="宋体" w:hAnsi="宋体"/>
          <w:b/>
          <w:color w:val="FF0000"/>
          <w:szCs w:val="21"/>
        </w:rPr>
        <w:t>第四章</w:t>
      </w:r>
      <w:r>
        <w:rPr>
          <w:rFonts w:hint="eastAsia" w:ascii="宋体" w:hAnsi="宋体"/>
          <w:b/>
          <w:color w:val="FF0000"/>
          <w:szCs w:val="21"/>
        </w:rPr>
        <w:t>——资格审查方法及标准《资格审查表》要求内容逐项提供相应证明文件</w:t>
      </w:r>
      <w:r>
        <w:rPr>
          <w:rFonts w:hint="eastAsia" w:ascii="宋体" w:hAnsi="宋体"/>
          <w:szCs w:val="21"/>
        </w:rPr>
        <w:t>；</w:t>
      </w:r>
    </w:p>
    <w:p w14:paraId="72B320D0">
      <w:pPr>
        <w:spacing w:line="276" w:lineRule="auto"/>
        <w:ind w:firstLine="420" w:firstLineChars="200"/>
        <w:rPr>
          <w:rFonts w:ascii="宋体" w:hAnsi="宋体"/>
          <w:szCs w:val="21"/>
        </w:rPr>
      </w:pPr>
      <w:r>
        <w:rPr>
          <w:rFonts w:hint="eastAsia" w:ascii="宋体" w:hAnsi="宋体"/>
          <w:szCs w:val="21"/>
        </w:rPr>
        <w:t>2）证明材料仅限于投标单位本身，参股或控股单位及独立法人子公司的材料不能作为证明材料，但投标单位兼并的企业的材料可作为证明材料。</w:t>
      </w:r>
    </w:p>
    <w:p w14:paraId="5CFEB715">
      <w:pPr>
        <w:widowControl/>
        <w:jc w:val="left"/>
        <w:rPr>
          <w:rFonts w:ascii="宋体" w:hAnsi="宋体"/>
          <w:szCs w:val="21"/>
        </w:rPr>
      </w:pPr>
      <w:r>
        <w:rPr>
          <w:rFonts w:ascii="宋体" w:hAnsi="宋体"/>
          <w:szCs w:val="21"/>
        </w:rPr>
        <w:br w:type="page"/>
      </w:r>
    </w:p>
    <w:p w14:paraId="32C293A5">
      <w:pPr>
        <w:spacing w:line="276" w:lineRule="auto"/>
        <w:outlineLvl w:val="4"/>
        <w:rPr>
          <w:rFonts w:ascii="宋体" w:hAnsi="宋体"/>
          <w:szCs w:val="21"/>
        </w:rPr>
      </w:pPr>
      <w:r>
        <w:rPr>
          <w:rFonts w:hint="eastAsia" w:ascii="宋体" w:hAnsi="宋体"/>
          <w:szCs w:val="21"/>
        </w:rPr>
        <w:t>附件</w:t>
      </w:r>
      <w:r>
        <w:rPr>
          <w:rFonts w:ascii="宋体" w:hAnsi="宋体"/>
          <w:szCs w:val="21"/>
        </w:rPr>
        <w:t>一：部分资格材料格式要求</w:t>
      </w:r>
      <w:r>
        <w:rPr>
          <w:rFonts w:hint="eastAsia" w:ascii="宋体" w:hAnsi="宋体"/>
          <w:szCs w:val="21"/>
        </w:rPr>
        <w:t>——</w:t>
      </w:r>
      <w:r>
        <w:rPr>
          <w:rFonts w:ascii="宋体" w:hAnsi="宋体"/>
          <w:szCs w:val="21"/>
        </w:rPr>
        <w:t>联合体协议书格式</w:t>
      </w:r>
      <w:r>
        <w:rPr>
          <w:rFonts w:hint="eastAsia" w:ascii="宋体" w:hAnsi="宋体"/>
          <w:color w:val="0D0D0D"/>
          <w:szCs w:val="21"/>
          <w:lang w:val="zh-CN"/>
        </w:rPr>
        <w:t>（</w:t>
      </w:r>
      <w:r>
        <w:rPr>
          <w:rFonts w:hint="eastAsia" w:ascii="宋体" w:hAnsi="宋体"/>
          <w:color w:val="FF0000"/>
          <w:szCs w:val="21"/>
          <w:lang w:val="zh-CN"/>
        </w:rPr>
        <w:t>适用于接受联合体投标的项目，如非联合体投标或项目不接受联合体投标，则无需提供</w:t>
      </w:r>
      <w:r>
        <w:rPr>
          <w:rFonts w:hint="eastAsia" w:ascii="宋体" w:hAnsi="宋体"/>
          <w:color w:val="0D0D0D"/>
          <w:szCs w:val="21"/>
          <w:lang w:val="zh-CN"/>
        </w:rPr>
        <w:t>）</w:t>
      </w:r>
    </w:p>
    <w:p w14:paraId="6DA6F3CF">
      <w:pPr>
        <w:adjustRightInd w:val="0"/>
        <w:snapToGrid w:val="0"/>
        <w:jc w:val="center"/>
        <w:rPr>
          <w:rFonts w:ascii="宋体" w:hAnsi="宋体" w:cs="宋体"/>
          <w:b/>
          <w:szCs w:val="21"/>
        </w:rPr>
      </w:pPr>
      <w:r>
        <w:rPr>
          <w:rFonts w:hint="eastAsia" w:ascii="宋体" w:hAnsi="宋体" w:cs="宋体"/>
          <w:b/>
          <w:szCs w:val="21"/>
        </w:rPr>
        <w:t>联合体协议书</w:t>
      </w:r>
    </w:p>
    <w:p w14:paraId="38E4485B">
      <w:pPr>
        <w:topLinePunct/>
        <w:snapToGrid w:val="0"/>
        <w:spacing w:line="276" w:lineRule="auto"/>
        <w:ind w:firstLine="420"/>
        <w:rPr>
          <w:szCs w:val="21"/>
        </w:rPr>
      </w:pPr>
      <w:r>
        <w:rPr>
          <w:rFonts w:hint="eastAsia"/>
          <w:szCs w:val="21"/>
        </w:rPr>
        <w:t>、、（所有成员单位名称）均具备《中华人民共和国政府采购法》第二十二条规定的条件，自愿组成（联合体名称）联合体，共同参加（项目编号</w:t>
      </w:r>
      <w:r>
        <w:rPr>
          <w:szCs w:val="21"/>
        </w:rPr>
        <w:t>/</w:t>
      </w:r>
      <w:r>
        <w:rPr>
          <w:rFonts w:hint="eastAsia"/>
          <w:szCs w:val="21"/>
        </w:rPr>
        <w:t>包号、项目名称）的投标并争取赢得本项目采购合同（以下简称合同）。现就联合体投标事宜订立如下协议。</w:t>
      </w:r>
    </w:p>
    <w:p w14:paraId="28B8A426">
      <w:pPr>
        <w:topLinePunct/>
        <w:snapToGrid w:val="0"/>
        <w:spacing w:line="276" w:lineRule="auto"/>
        <w:ind w:firstLine="420"/>
        <w:rPr>
          <w:rFonts w:ascii="宋体" w:hAnsi="宋体"/>
          <w:szCs w:val="21"/>
        </w:rPr>
      </w:pPr>
      <w:r>
        <w:rPr>
          <w:rFonts w:ascii="宋体" w:hAnsi="宋体"/>
          <w:szCs w:val="21"/>
        </w:rPr>
        <w:t>1</w:t>
      </w:r>
      <w:r>
        <w:rPr>
          <w:rFonts w:hint="eastAsia" w:ascii="宋体" w:hAnsi="宋体"/>
          <w:szCs w:val="21"/>
        </w:rPr>
        <w:t>、（某成员单位名称）为（联合体名称）牵头人。</w:t>
      </w:r>
    </w:p>
    <w:p w14:paraId="4E7E1E85">
      <w:pPr>
        <w:topLinePunct/>
        <w:snapToGrid w:val="0"/>
        <w:spacing w:line="276" w:lineRule="auto"/>
        <w:ind w:firstLine="420"/>
        <w:rPr>
          <w:rFonts w:ascii="宋体" w:hAnsi="宋体"/>
          <w:szCs w:val="21"/>
        </w:rPr>
      </w:pPr>
      <w:r>
        <w:rPr>
          <w:rFonts w:ascii="宋体" w:hAnsi="宋体"/>
          <w:szCs w:val="21"/>
        </w:rPr>
        <w:t>2</w:t>
      </w:r>
      <w:r>
        <w:rPr>
          <w:rFonts w:hint="eastAsia" w:ascii="宋体" w:hAnsi="宋体"/>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14:paraId="5765B08D">
      <w:pPr>
        <w:topLinePunct/>
        <w:snapToGrid w:val="0"/>
        <w:spacing w:line="276" w:lineRule="auto"/>
        <w:ind w:firstLine="420"/>
        <w:rPr>
          <w:rFonts w:ascii="宋体" w:hAnsi="宋体"/>
          <w:szCs w:val="21"/>
        </w:rPr>
      </w:pPr>
      <w:r>
        <w:rPr>
          <w:rFonts w:ascii="宋体" w:hAnsi="宋体"/>
          <w:szCs w:val="21"/>
        </w:rPr>
        <w:t>3</w:t>
      </w:r>
      <w:r>
        <w:rPr>
          <w:rFonts w:hint="eastAsia" w:ascii="宋体" w:hAnsi="宋体"/>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73330210">
      <w:pPr>
        <w:topLinePunct/>
        <w:snapToGrid w:val="0"/>
        <w:spacing w:line="276" w:lineRule="auto"/>
        <w:ind w:firstLine="420"/>
        <w:rPr>
          <w:rFonts w:ascii="宋体" w:hAnsi="宋体"/>
          <w:szCs w:val="21"/>
        </w:rPr>
      </w:pPr>
      <w:r>
        <w:rPr>
          <w:rFonts w:ascii="宋体" w:hAnsi="宋体"/>
          <w:szCs w:val="21"/>
        </w:rPr>
        <w:t>4</w:t>
      </w:r>
      <w:r>
        <w:rPr>
          <w:rFonts w:hint="eastAsia" w:ascii="宋体" w:hAnsi="宋体"/>
          <w:szCs w:val="21"/>
        </w:rPr>
        <w:t>、联合体各成员单位内部的职责分工如下：</w:t>
      </w:r>
    </w:p>
    <w:p w14:paraId="06E30EC9">
      <w:pPr>
        <w:topLinePunct/>
        <w:snapToGrid w:val="0"/>
        <w:spacing w:line="276" w:lineRule="auto"/>
        <w:ind w:firstLine="420"/>
        <w:rPr>
          <w:rFonts w:ascii="宋体" w:hAnsi="宋体"/>
          <w:szCs w:val="21"/>
        </w:rPr>
      </w:pPr>
      <w:r>
        <w:rPr>
          <w:rFonts w:hint="eastAsia" w:ascii="宋体" w:hAnsi="宋体"/>
          <w:szCs w:val="21"/>
        </w:rPr>
        <w:t>承担项目采购合同金额的%，负责的工作为：；</w:t>
      </w:r>
    </w:p>
    <w:p w14:paraId="4FBAE8F2">
      <w:pPr>
        <w:topLinePunct/>
        <w:snapToGrid w:val="0"/>
        <w:spacing w:line="276" w:lineRule="auto"/>
        <w:ind w:firstLine="420"/>
        <w:rPr>
          <w:rFonts w:ascii="宋体" w:hAnsi="宋体"/>
          <w:szCs w:val="21"/>
        </w:rPr>
      </w:pPr>
      <w:r>
        <w:rPr>
          <w:rFonts w:hint="eastAsia" w:ascii="宋体" w:hAnsi="宋体"/>
          <w:szCs w:val="21"/>
        </w:rPr>
        <w:t>承担项目采购合同金额的%，负责的工作为：；</w:t>
      </w:r>
    </w:p>
    <w:p w14:paraId="50876108">
      <w:pPr>
        <w:topLinePunct/>
        <w:snapToGrid w:val="0"/>
        <w:spacing w:line="276" w:lineRule="auto"/>
        <w:ind w:firstLine="420"/>
        <w:rPr>
          <w:rFonts w:ascii="宋体" w:hAnsi="宋体"/>
          <w:szCs w:val="21"/>
        </w:rPr>
      </w:pPr>
      <w:r>
        <w:rPr>
          <w:rFonts w:ascii="宋体" w:hAnsi="宋体"/>
          <w:szCs w:val="21"/>
        </w:rPr>
        <w:t>……</w:t>
      </w:r>
    </w:p>
    <w:p w14:paraId="74A256EE">
      <w:pPr>
        <w:topLinePunct/>
        <w:snapToGrid w:val="0"/>
        <w:spacing w:line="276" w:lineRule="auto"/>
        <w:ind w:firstLine="420"/>
        <w:rPr>
          <w:rFonts w:ascii="宋体" w:hAnsi="宋体"/>
          <w:szCs w:val="21"/>
        </w:rPr>
      </w:pPr>
      <w:r>
        <w:rPr>
          <w:rFonts w:ascii="宋体" w:hAnsi="宋体"/>
          <w:szCs w:val="21"/>
        </w:rPr>
        <w:t>5</w:t>
      </w:r>
      <w:r>
        <w:rPr>
          <w:rFonts w:hint="eastAsia" w:ascii="宋体" w:hAnsi="宋体"/>
          <w:szCs w:val="21"/>
        </w:rPr>
        <w:t>、投标工作以及联合体在中标后项目实施过程中的有关费用按各自承担的工作量分摊。</w:t>
      </w:r>
    </w:p>
    <w:p w14:paraId="12EDDF4D">
      <w:pPr>
        <w:topLinePunct/>
        <w:snapToGrid w:val="0"/>
        <w:spacing w:line="276" w:lineRule="auto"/>
        <w:ind w:firstLine="420"/>
        <w:rPr>
          <w:rFonts w:ascii="宋体" w:hAnsi="宋体"/>
          <w:szCs w:val="21"/>
        </w:rPr>
      </w:pPr>
      <w:r>
        <w:rPr>
          <w:rFonts w:ascii="宋体" w:hAnsi="宋体"/>
          <w:szCs w:val="21"/>
        </w:rPr>
        <w:t>6</w:t>
      </w:r>
      <w:r>
        <w:rPr>
          <w:rFonts w:hint="eastAsia" w:ascii="宋体" w:hAnsi="宋体"/>
          <w:szCs w:val="21"/>
        </w:rPr>
        <w:t>、联合体中标后，本联合体协议是合同的附件，对联合体各成员单位有合同约束力。</w:t>
      </w:r>
    </w:p>
    <w:p w14:paraId="4A9C43BF">
      <w:pPr>
        <w:topLinePunct/>
        <w:snapToGrid w:val="0"/>
        <w:spacing w:line="276" w:lineRule="auto"/>
        <w:ind w:firstLine="420"/>
        <w:rPr>
          <w:rFonts w:ascii="宋体" w:hAnsi="宋体"/>
          <w:szCs w:val="21"/>
        </w:rPr>
      </w:pPr>
      <w:r>
        <w:rPr>
          <w:rFonts w:ascii="宋体" w:hAnsi="宋体"/>
          <w:szCs w:val="21"/>
        </w:rPr>
        <w:t>7</w:t>
      </w:r>
      <w:r>
        <w:rPr>
          <w:rFonts w:hint="eastAsia" w:ascii="宋体" w:hAnsi="宋体"/>
          <w:szCs w:val="21"/>
        </w:rPr>
        <w:t>、本协议书自签署之日起生效，联合体未中标或者中标时合同履行完毕后自动失效。</w:t>
      </w:r>
    </w:p>
    <w:p w14:paraId="67DFC7C2">
      <w:pPr>
        <w:topLinePunct/>
        <w:snapToGrid w:val="0"/>
        <w:spacing w:line="276" w:lineRule="auto"/>
        <w:ind w:firstLine="420"/>
        <w:rPr>
          <w:szCs w:val="21"/>
        </w:rPr>
      </w:pPr>
      <w:r>
        <w:rPr>
          <w:rFonts w:ascii="宋体" w:hAnsi="宋体"/>
          <w:szCs w:val="21"/>
        </w:rPr>
        <w:t>8</w:t>
      </w:r>
      <w:r>
        <w:rPr>
          <w:rFonts w:hint="eastAsia" w:ascii="宋体" w:hAnsi="宋体"/>
          <w:szCs w:val="21"/>
        </w:rPr>
        <w:t>、本</w:t>
      </w:r>
      <w:r>
        <w:rPr>
          <w:rFonts w:hint="eastAsia"/>
          <w:szCs w:val="21"/>
        </w:rPr>
        <w:t>协议书一式份，联合体成员和采购人各执一份。</w:t>
      </w:r>
    </w:p>
    <w:p w14:paraId="0EFF415C">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14:paraId="717B1EC4">
      <w:pPr>
        <w:topLinePunct/>
        <w:ind w:left="2310" w:leftChars="1100" w:firstLine="420"/>
        <w:rPr>
          <w:szCs w:val="21"/>
        </w:rPr>
      </w:pPr>
    </w:p>
    <w:p w14:paraId="1B5835D3">
      <w:pPr>
        <w:topLinePunct/>
        <w:ind w:left="2310" w:leftChars="1100" w:firstLine="420"/>
        <w:rPr>
          <w:szCs w:val="21"/>
        </w:rPr>
      </w:pPr>
      <w:r>
        <w:rPr>
          <w:rFonts w:hint="eastAsia"/>
          <w:szCs w:val="21"/>
        </w:rPr>
        <w:t>牵头人名称：（盖单位章）</w:t>
      </w:r>
    </w:p>
    <w:p w14:paraId="2215936E">
      <w:pPr>
        <w:topLinePunct/>
        <w:ind w:left="2310" w:leftChars="1100" w:firstLine="420"/>
        <w:rPr>
          <w:szCs w:val="21"/>
        </w:rPr>
      </w:pPr>
      <w:r>
        <w:rPr>
          <w:rFonts w:hint="eastAsia"/>
          <w:szCs w:val="21"/>
        </w:rPr>
        <w:t>授权代表：（签名）</w:t>
      </w:r>
    </w:p>
    <w:p w14:paraId="30C5AA25">
      <w:pPr>
        <w:topLinePunct/>
        <w:ind w:left="2310" w:leftChars="1100" w:firstLine="420"/>
        <w:rPr>
          <w:szCs w:val="21"/>
        </w:rPr>
      </w:pPr>
      <w:r>
        <w:rPr>
          <w:rFonts w:hint="eastAsia"/>
          <w:szCs w:val="21"/>
        </w:rPr>
        <w:t>成员一名称：（盖单位章）</w:t>
      </w:r>
    </w:p>
    <w:p w14:paraId="2A1D1659">
      <w:pPr>
        <w:topLinePunct/>
        <w:ind w:left="2310" w:leftChars="1100" w:firstLine="420"/>
        <w:rPr>
          <w:szCs w:val="21"/>
        </w:rPr>
      </w:pPr>
      <w:r>
        <w:rPr>
          <w:rFonts w:hint="eastAsia"/>
          <w:szCs w:val="21"/>
        </w:rPr>
        <w:t>授权代表：（签名）</w:t>
      </w:r>
    </w:p>
    <w:p w14:paraId="38EF240E">
      <w:pPr>
        <w:topLinePunct/>
        <w:ind w:left="2310" w:leftChars="1100" w:firstLine="420"/>
        <w:rPr>
          <w:szCs w:val="21"/>
        </w:rPr>
      </w:pPr>
      <w:r>
        <w:rPr>
          <w:rFonts w:hint="eastAsia"/>
          <w:szCs w:val="21"/>
        </w:rPr>
        <w:t>成员二名称：（盖单位章）</w:t>
      </w:r>
    </w:p>
    <w:p w14:paraId="4947111D">
      <w:pPr>
        <w:topLinePunct/>
        <w:ind w:left="2310" w:leftChars="1100" w:firstLine="420"/>
        <w:rPr>
          <w:szCs w:val="21"/>
        </w:rPr>
      </w:pPr>
      <w:r>
        <w:rPr>
          <w:rFonts w:hint="eastAsia"/>
          <w:szCs w:val="21"/>
        </w:rPr>
        <w:t>授权代表：（签名）</w:t>
      </w:r>
    </w:p>
    <w:p w14:paraId="4668722E">
      <w:pPr>
        <w:topLinePunct/>
        <w:ind w:left="2310" w:leftChars="1100" w:firstLine="420"/>
        <w:rPr>
          <w:szCs w:val="21"/>
        </w:rPr>
      </w:pPr>
      <w:r>
        <w:rPr>
          <w:szCs w:val="21"/>
        </w:rPr>
        <w:t xml:space="preserve">…… </w:t>
      </w:r>
    </w:p>
    <w:p w14:paraId="2FF13716">
      <w:pPr>
        <w:topLinePunct/>
        <w:ind w:left="2310" w:leftChars="1100" w:firstLine="420"/>
        <w:rPr>
          <w:rFonts w:ascii="宋体" w:hAnsi="宋体" w:cs="宋体"/>
          <w:szCs w:val="21"/>
        </w:rPr>
      </w:pPr>
      <w:r>
        <w:rPr>
          <w:rFonts w:hint="eastAsia" w:ascii="宋体" w:hAnsi="宋体" w:cs="宋体"/>
          <w:szCs w:val="21"/>
        </w:rPr>
        <w:t>年月日</w:t>
      </w:r>
      <w:r>
        <w:rPr>
          <w:rFonts w:ascii="宋体" w:hAnsi="宋体" w:cs="宋体"/>
          <w:szCs w:val="21"/>
        </w:rPr>
        <w:br w:type="page"/>
      </w:r>
    </w:p>
    <w:p w14:paraId="53DB21CE">
      <w:pPr>
        <w:spacing w:before="100" w:beforeAutospacing="1" w:after="100" w:afterAutospacing="1" w:line="276" w:lineRule="auto"/>
        <w:outlineLvl w:val="4"/>
        <w:rPr>
          <w:rFonts w:ascii="宋体" w:hAnsi="宋体"/>
          <w:szCs w:val="21"/>
        </w:rPr>
      </w:pPr>
      <w:r>
        <w:rPr>
          <w:rFonts w:hint="eastAsia" w:ascii="宋体" w:hAnsi="宋体"/>
          <w:szCs w:val="21"/>
        </w:rPr>
        <w:t>附件二</w:t>
      </w:r>
      <w:r>
        <w:rPr>
          <w:rFonts w:ascii="宋体" w:hAnsi="宋体"/>
          <w:szCs w:val="21"/>
        </w:rPr>
        <w:t>：部分资格材料格式要求</w:t>
      </w:r>
      <w:r>
        <w:rPr>
          <w:rFonts w:hint="eastAsia" w:ascii="宋体" w:hAnsi="宋体"/>
          <w:szCs w:val="21"/>
        </w:rPr>
        <w:t>——无重大违法记录声明格式</w:t>
      </w:r>
    </w:p>
    <w:p w14:paraId="18ACBB5F">
      <w:pPr>
        <w:spacing w:line="276" w:lineRule="auto"/>
        <w:jc w:val="center"/>
        <w:rPr>
          <w:b/>
          <w:szCs w:val="21"/>
        </w:rPr>
      </w:pPr>
      <w:r>
        <w:rPr>
          <w:rFonts w:hint="eastAsia"/>
          <w:b/>
          <w:szCs w:val="21"/>
        </w:rPr>
        <w:t>无重大违法记录声明</w:t>
      </w:r>
    </w:p>
    <w:p w14:paraId="359CF5B1">
      <w:pPr>
        <w:spacing w:before="100" w:beforeAutospacing="1" w:after="100" w:afterAutospacing="1"/>
        <w:rPr>
          <w:rFonts w:ascii="宋体" w:hAnsi="宋体"/>
          <w:szCs w:val="21"/>
        </w:rPr>
      </w:pPr>
      <w:r>
        <w:rPr>
          <w:rFonts w:hint="eastAsia" w:ascii="宋体" w:hAnsi="宋体"/>
          <w:b/>
          <w:szCs w:val="21"/>
        </w:rPr>
        <w:t>武汉理工大学、</w:t>
      </w:r>
      <w:r>
        <w:rPr>
          <w:rFonts w:hint="eastAsia" w:ascii="宋体" w:hAnsi="宋体"/>
          <w:b/>
          <w:szCs w:val="21"/>
        </w:rPr>
        <w:fldChar w:fldCharType="begin"/>
      </w:r>
      <w:r>
        <w:rPr>
          <w:rFonts w:hint="eastAsia" w:ascii="宋体" w:hAnsi="宋体"/>
          <w:b/>
          <w:szCs w:val="21"/>
        </w:rPr>
        <w:instrText xml:space="preserve"> DOCVARIABLE 招标机构名称 </w:instrText>
      </w:r>
      <w:r>
        <w:rPr>
          <w:rFonts w:hint="eastAsia" w:ascii="宋体" w:hAnsi="宋体"/>
          <w:b/>
          <w:szCs w:val="21"/>
        </w:rPr>
        <w:fldChar w:fldCharType="separate"/>
      </w:r>
      <w:r>
        <w:rPr>
          <w:rFonts w:hint="eastAsia" w:ascii="宋体" w:hAnsi="宋体"/>
          <w:b/>
          <w:szCs w:val="21"/>
        </w:rPr>
        <w:t>${招标机构名称}</w:t>
      </w:r>
      <w:r>
        <w:rPr>
          <w:rFonts w:hint="eastAsia" w:ascii="宋体" w:hAnsi="宋体"/>
          <w:b/>
          <w:szCs w:val="21"/>
        </w:rPr>
        <w:fldChar w:fldCharType="end"/>
      </w:r>
      <w:r>
        <w:rPr>
          <w:rFonts w:hint="eastAsia" w:ascii="宋体" w:hAnsi="宋体"/>
          <w:szCs w:val="21"/>
        </w:rPr>
        <w:t>：</w:t>
      </w:r>
    </w:p>
    <w:p w14:paraId="618A5A65">
      <w:pPr>
        <w:spacing w:before="100" w:beforeAutospacing="1" w:after="100" w:afterAutospacing="1"/>
        <w:ind w:firstLine="420" w:firstLineChars="200"/>
        <w:rPr>
          <w:rFonts w:ascii="宋体" w:hAnsi="宋体"/>
          <w:szCs w:val="21"/>
        </w:rPr>
      </w:pPr>
      <w:r>
        <w:rPr>
          <w:rFonts w:hint="eastAsia" w:ascii="宋体" w:hAnsi="宋体"/>
          <w:szCs w:val="21"/>
        </w:rPr>
        <w:t>(投标人全称) 参加（项目名称）(</w:t>
      </w:r>
      <w:r>
        <w:rPr>
          <w:rFonts w:hint="eastAsia" w:ascii="宋体" w:hAnsi="宋体"/>
          <w:szCs w:val="21"/>
          <w:u w:val="single"/>
        </w:rPr>
        <w:t>项目编号/包号</w:t>
      </w:r>
      <w:r>
        <w:rPr>
          <w:rFonts w:hint="eastAsia" w:ascii="宋体" w:hAnsi="宋体"/>
          <w:szCs w:val="21"/>
        </w:rPr>
        <w:t>)的政府采购活动，本单位郑重声明如下：</w:t>
      </w:r>
    </w:p>
    <w:p w14:paraId="13BABF64">
      <w:pPr>
        <w:spacing w:before="100" w:beforeAutospacing="1" w:after="100" w:afterAutospacing="1"/>
        <w:ind w:firstLine="420" w:firstLineChars="200"/>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参加本项目政府采购活动前三年内，本单位未因违法经营受到刑事处罚或者责令停产停业、吊销许可证或者执照、较大数额罚款等行政处罚；</w:t>
      </w:r>
    </w:p>
    <w:p w14:paraId="7E4D2BFA">
      <w:pPr>
        <w:spacing w:before="100" w:beforeAutospacing="1" w:after="100" w:afterAutospacing="1"/>
        <w:ind w:firstLine="420" w:firstLineChars="200"/>
        <w:rPr>
          <w:rFonts w:ascii="宋体" w:hAnsi="宋体"/>
          <w:szCs w:val="21"/>
        </w:rPr>
      </w:pPr>
      <w:r>
        <w:rPr>
          <w:rFonts w:hint="eastAsia" w:ascii="宋体" w:hAnsi="宋体"/>
          <w:szCs w:val="21"/>
        </w:rPr>
        <w:t>2.</w:t>
      </w:r>
      <w:r>
        <w:rPr>
          <w:rFonts w:hint="eastAsia" w:ascii="宋体" w:hAnsi="宋体"/>
          <w:szCs w:val="21"/>
        </w:rPr>
        <w:tab/>
      </w:r>
      <w:r>
        <w:rPr>
          <w:rFonts w:hint="eastAsia" w:ascii="宋体" w:hAnsi="宋体"/>
          <w:szCs w:val="21"/>
        </w:rPr>
        <w:t>参加本项目政府采购活动前三年内，本单位未受到过全国各级人民政府财政部门依法作出的禁止参加政府采购活动等行政处罚决定；</w:t>
      </w:r>
    </w:p>
    <w:p w14:paraId="719D0F0D">
      <w:pPr>
        <w:spacing w:before="100" w:beforeAutospacing="1" w:after="100" w:afterAutospacing="1"/>
        <w:ind w:firstLine="420" w:firstLineChars="200"/>
        <w:rPr>
          <w:rFonts w:ascii="宋体" w:hAnsi="宋体"/>
          <w:szCs w:val="21"/>
        </w:rPr>
      </w:pPr>
      <w:r>
        <w:rPr>
          <w:rFonts w:hint="eastAsia" w:ascii="宋体" w:hAnsi="宋体"/>
          <w:szCs w:val="21"/>
        </w:rPr>
        <w:t>3.</w:t>
      </w:r>
      <w:r>
        <w:rPr>
          <w:rFonts w:hint="eastAsia" w:ascii="宋体" w:hAnsi="宋体"/>
          <w:szCs w:val="21"/>
        </w:rPr>
        <w:tab/>
      </w:r>
      <w:r>
        <w:rPr>
          <w:rFonts w:hint="eastAsia" w:ascii="宋体" w:hAnsi="宋体"/>
          <w:szCs w:val="21"/>
        </w:rPr>
        <w:t>如上述声明内容不实，本单位自愿接受政府采购监管部门按照</w:t>
      </w:r>
      <w:r>
        <w:rPr>
          <w:rFonts w:hint="eastAsia" w:ascii="宋体" w:hAnsi="宋体"/>
          <w:bCs/>
          <w:color w:val="0D0D0D"/>
          <w:szCs w:val="21"/>
          <w:lang w:val="zh-CN"/>
        </w:rPr>
        <w:t>《中华人民共和国政府采购法》</w:t>
      </w:r>
      <w:r>
        <w:rPr>
          <w:rFonts w:hint="eastAsia" w:ascii="宋体" w:hAnsi="宋体"/>
          <w:szCs w:val="21"/>
        </w:rPr>
        <w:t>关于提供虚假材料的规定给予处罚。</w:t>
      </w:r>
    </w:p>
    <w:p w14:paraId="31576208">
      <w:pPr>
        <w:spacing w:before="100" w:beforeAutospacing="1" w:after="100" w:afterAutospacing="1"/>
        <w:ind w:firstLine="420" w:firstLineChars="200"/>
        <w:rPr>
          <w:rFonts w:ascii="宋体" w:hAnsi="宋体"/>
          <w:szCs w:val="21"/>
        </w:rPr>
      </w:pPr>
      <w:r>
        <w:rPr>
          <w:rFonts w:hint="eastAsia" w:ascii="宋体" w:hAnsi="宋体"/>
          <w:szCs w:val="21"/>
        </w:rPr>
        <w:t>我方保证上述信息的完整、客观、真实、准确，并愿意承担我方因提供虚假材料谋骗取中标、成交所引起的一切法律后果。</w:t>
      </w:r>
    </w:p>
    <w:p w14:paraId="00588D93">
      <w:pPr>
        <w:spacing w:before="100" w:beforeAutospacing="1" w:after="100" w:afterAutospacing="1" w:line="276" w:lineRule="auto"/>
        <w:ind w:firstLine="420" w:firstLineChars="200"/>
        <w:jc w:val="left"/>
        <w:rPr>
          <w:rFonts w:ascii="宋体" w:hAnsi="宋体"/>
          <w:szCs w:val="21"/>
        </w:rPr>
      </w:pPr>
      <w:r>
        <w:rPr>
          <w:rFonts w:hint="eastAsia" w:ascii="宋体" w:hAnsi="宋体"/>
          <w:szCs w:val="21"/>
        </w:rPr>
        <w:t>特此声明！</w:t>
      </w:r>
    </w:p>
    <w:p w14:paraId="603BEA83">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75A08093">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29717F97">
      <w:pPr>
        <w:topLinePunct/>
        <w:ind w:left="2310" w:leftChars="1100" w:firstLine="420"/>
        <w:rPr>
          <w:rFonts w:ascii="宋体" w:hAnsi="宋体" w:cs="宋体"/>
          <w:szCs w:val="21"/>
        </w:rPr>
      </w:pPr>
    </w:p>
    <w:p w14:paraId="023884D3">
      <w:pPr>
        <w:widowControl/>
        <w:jc w:val="left"/>
        <w:rPr>
          <w:rFonts w:ascii="宋体" w:hAnsi="宋体"/>
          <w:szCs w:val="21"/>
        </w:rPr>
      </w:pPr>
      <w:bookmarkStart w:id="97" w:name="_Toc494665952"/>
      <w:bookmarkStart w:id="98" w:name="_Toc494721102"/>
      <w:bookmarkStart w:id="99" w:name="_Toc494665555"/>
      <w:bookmarkStart w:id="100" w:name="_Toc494665002"/>
      <w:bookmarkStart w:id="101" w:name="_Toc494745319"/>
      <w:bookmarkStart w:id="102" w:name="_Toc494702272"/>
      <w:r>
        <w:rPr>
          <w:rFonts w:ascii="宋体" w:hAnsi="宋体"/>
          <w:szCs w:val="21"/>
        </w:rPr>
        <w:br w:type="page"/>
      </w:r>
    </w:p>
    <w:p w14:paraId="4D4C3246">
      <w:pPr>
        <w:spacing w:before="100" w:beforeAutospacing="1" w:after="100" w:afterAutospacing="1" w:line="276" w:lineRule="auto"/>
        <w:outlineLvl w:val="4"/>
        <w:rPr>
          <w:rFonts w:ascii="宋体" w:hAnsi="宋体"/>
          <w:szCs w:val="21"/>
        </w:rPr>
      </w:pPr>
      <w:r>
        <w:rPr>
          <w:rFonts w:hint="eastAsia" w:ascii="宋体" w:hAnsi="宋体"/>
          <w:szCs w:val="21"/>
        </w:rPr>
        <w:t>附件三</w:t>
      </w:r>
      <w:r>
        <w:rPr>
          <w:rFonts w:ascii="宋体" w:hAnsi="宋体"/>
          <w:szCs w:val="21"/>
        </w:rPr>
        <w:t>：部分资格材料格式要求</w:t>
      </w:r>
      <w:r>
        <w:rPr>
          <w:rFonts w:hint="eastAsia" w:ascii="宋体" w:hAnsi="宋体"/>
          <w:szCs w:val="21"/>
        </w:rPr>
        <w:t>——中小企业声明函</w:t>
      </w:r>
      <w:bookmarkEnd w:id="97"/>
      <w:bookmarkEnd w:id="98"/>
      <w:bookmarkEnd w:id="99"/>
      <w:bookmarkEnd w:id="100"/>
      <w:bookmarkEnd w:id="101"/>
      <w:bookmarkEnd w:id="102"/>
      <w:r>
        <w:rPr>
          <w:rFonts w:hint="eastAsia"/>
          <w:szCs w:val="21"/>
        </w:rPr>
        <w:t>（</w:t>
      </w:r>
      <w:r>
        <w:rPr>
          <w:rFonts w:hint="eastAsia"/>
          <w:color w:val="FF0000"/>
          <w:szCs w:val="21"/>
        </w:rPr>
        <w:t>非</w:t>
      </w:r>
      <w:r>
        <w:rPr>
          <w:color w:val="FF0000"/>
          <w:szCs w:val="21"/>
        </w:rPr>
        <w:t>此类企业则无需提供</w:t>
      </w:r>
      <w:r>
        <w:rPr>
          <w:szCs w:val="21"/>
        </w:rPr>
        <w:t>）</w:t>
      </w:r>
    </w:p>
    <w:p w14:paraId="7F3173EE">
      <w:pPr>
        <w:spacing w:line="276" w:lineRule="auto"/>
        <w:jc w:val="center"/>
        <w:rPr>
          <w:rFonts w:ascii="宋体" w:hAnsi="宋体"/>
          <w:b/>
          <w:szCs w:val="21"/>
        </w:rPr>
      </w:pPr>
      <w:r>
        <w:rPr>
          <w:rFonts w:hint="eastAsia" w:ascii="宋体" w:hAnsi="宋体"/>
          <w:b/>
          <w:szCs w:val="21"/>
        </w:rPr>
        <w:t>中小企业声明函</w:t>
      </w:r>
      <w:r>
        <w:rPr>
          <w:rFonts w:hint="eastAsia" w:ascii="宋体" w:hAnsi="宋体" w:cs="宋体"/>
          <w:color w:val="0000FF"/>
          <w:kern w:val="0"/>
          <w:szCs w:val="21"/>
        </w:rPr>
        <w:t>（货物）</w:t>
      </w:r>
    </w:p>
    <w:p w14:paraId="273973C3">
      <w:pPr>
        <w:spacing w:line="276" w:lineRule="auto"/>
        <w:jc w:val="center"/>
        <w:rPr>
          <w:rFonts w:ascii="宋体" w:hAnsi="宋体"/>
          <w:szCs w:val="21"/>
        </w:rPr>
      </w:pPr>
    </w:p>
    <w:p w14:paraId="621AD4E2">
      <w:pPr>
        <w:spacing w:line="276" w:lineRule="auto"/>
        <w:rPr>
          <w:rFonts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14:paraId="3A65C229">
      <w:pPr>
        <w:spacing w:line="360" w:lineRule="auto"/>
        <w:ind w:firstLine="420" w:firstLineChars="200"/>
        <w:rPr>
          <w:rFonts w:ascii="宋体" w:hAnsi="宋体"/>
          <w:szCs w:val="21"/>
        </w:rPr>
      </w:pPr>
    </w:p>
    <w:p w14:paraId="6CD6737C">
      <w:pPr>
        <w:spacing w:line="360" w:lineRule="auto"/>
        <w:ind w:firstLine="420" w:firstLineChars="200"/>
        <w:rPr>
          <w:rFonts w:ascii="宋体" w:hAnsi="宋体"/>
          <w:szCs w:val="21"/>
        </w:rPr>
      </w:pPr>
      <w:r>
        <w:rPr>
          <w:rFonts w:hint="eastAsia" w:ascii="宋体" w:hAnsi="宋体"/>
          <w:szCs w:val="21"/>
        </w:rPr>
        <w:t>本公司（联合体）郑重声明，根据《政府采购促进中小企业发展管理办法》（财库﹝2020﹞46 号）的规定，本公司（联合体）参加</w:t>
      </w:r>
      <w:r>
        <w:rPr>
          <w:rFonts w:hint="eastAsia" w:ascii="宋体" w:hAnsi="宋体"/>
          <w:szCs w:val="21"/>
          <w:u w:val="single"/>
        </w:rPr>
        <w:t xml:space="preserve"> （单位名称） </w:t>
      </w:r>
      <w:r>
        <w:rPr>
          <w:rFonts w:hint="eastAsia" w:ascii="宋体" w:hAnsi="宋体"/>
          <w:szCs w:val="21"/>
        </w:rPr>
        <w:t>的</w:t>
      </w:r>
      <w:r>
        <w:rPr>
          <w:rFonts w:hint="eastAsia" w:ascii="宋体" w:hAnsi="宋体"/>
          <w:szCs w:val="21"/>
          <w:u w:val="single"/>
        </w:rPr>
        <w:t xml:space="preserve"> （项目名称） </w:t>
      </w:r>
      <w:r>
        <w:rPr>
          <w:rFonts w:hint="eastAsia" w:ascii="宋体" w:hAnsi="宋体"/>
          <w:szCs w:val="21"/>
        </w:rPr>
        <w:t>采购活动，提供的货物全部由符合政策要求的中小企业制造。相关企业（含联合体中的中小企业、签订分包意向协议的中小企业）的具体情况如下：</w:t>
      </w:r>
    </w:p>
    <w:p w14:paraId="7A195F05">
      <w:pPr>
        <w:spacing w:line="360" w:lineRule="auto"/>
        <w:ind w:firstLine="420" w:firstLineChars="200"/>
        <w:rPr>
          <w:rFonts w:ascii="宋体" w:hAnsi="宋体"/>
          <w:szCs w:val="21"/>
        </w:rPr>
      </w:pPr>
      <w:r>
        <w:rPr>
          <w:rFonts w:hint="eastAsia" w:ascii="宋体" w:hAnsi="宋体"/>
          <w:szCs w:val="21"/>
        </w:rPr>
        <w:t>1.</w:t>
      </w:r>
      <w:r>
        <w:rPr>
          <w:rFonts w:hint="eastAsia" w:ascii="宋体" w:hAnsi="宋体"/>
          <w:szCs w:val="21"/>
          <w:u w:val="single"/>
        </w:rPr>
        <w:t xml:space="preserve"> （标的名称） </w:t>
      </w:r>
      <w:r>
        <w:rPr>
          <w:rFonts w:hint="eastAsia" w:ascii="宋体" w:hAnsi="宋体"/>
          <w:szCs w:val="21"/>
        </w:rPr>
        <w:t>，属于</w:t>
      </w:r>
      <w:r>
        <w:rPr>
          <w:rFonts w:hint="eastAsia" w:ascii="宋体" w:hAnsi="宋体"/>
          <w:szCs w:val="21"/>
          <w:u w:val="single"/>
        </w:rPr>
        <w:t xml:space="preserve"> （采购文件中明确的所属行业）行业 </w:t>
      </w:r>
      <w:r>
        <w:rPr>
          <w:rFonts w:hint="eastAsia" w:ascii="宋体" w:hAnsi="宋体"/>
          <w:szCs w:val="21"/>
        </w:rPr>
        <w:t>；制造商为</w:t>
      </w:r>
      <w:r>
        <w:rPr>
          <w:rFonts w:hint="eastAsia" w:ascii="宋体" w:hAnsi="宋体"/>
          <w:szCs w:val="21"/>
          <w:u w:val="single"/>
        </w:rPr>
        <w:t xml:space="preserve"> （企业名称） </w:t>
      </w:r>
      <w:r>
        <w:rPr>
          <w:rFonts w:hint="eastAsia" w:ascii="宋体" w:hAnsi="宋体"/>
          <w:szCs w:val="21"/>
        </w:rPr>
        <w:t>，从业人员人，营业收入为万元，资产总额为万元¹，属于</w:t>
      </w:r>
      <w:r>
        <w:rPr>
          <w:rFonts w:hint="eastAsia" w:ascii="宋体" w:hAnsi="宋体"/>
          <w:szCs w:val="21"/>
          <w:u w:val="single"/>
        </w:rPr>
        <w:t xml:space="preserve"> （中型企业、小型企业、微型企业） </w:t>
      </w:r>
      <w:r>
        <w:rPr>
          <w:rFonts w:hint="eastAsia" w:ascii="宋体" w:hAnsi="宋体"/>
          <w:szCs w:val="21"/>
        </w:rPr>
        <w:t>；</w:t>
      </w:r>
    </w:p>
    <w:p w14:paraId="3A5F3023">
      <w:pPr>
        <w:spacing w:line="360" w:lineRule="auto"/>
        <w:ind w:firstLine="420" w:firstLineChars="200"/>
        <w:rPr>
          <w:rFonts w:ascii="宋体" w:hAnsi="宋体"/>
          <w:szCs w:val="21"/>
        </w:rPr>
      </w:pPr>
      <w:r>
        <w:rPr>
          <w:rFonts w:hint="eastAsia" w:ascii="宋体" w:hAnsi="宋体"/>
          <w:szCs w:val="21"/>
        </w:rPr>
        <w:t>2.</w:t>
      </w:r>
      <w:r>
        <w:rPr>
          <w:rFonts w:hint="eastAsia" w:ascii="宋体" w:hAnsi="宋体"/>
          <w:szCs w:val="21"/>
          <w:u w:val="single"/>
        </w:rPr>
        <w:t xml:space="preserve"> （标的名称） </w:t>
      </w:r>
      <w:r>
        <w:rPr>
          <w:rFonts w:hint="eastAsia" w:ascii="宋体" w:hAnsi="宋体"/>
          <w:szCs w:val="21"/>
        </w:rPr>
        <w:t>，属于</w:t>
      </w:r>
      <w:r>
        <w:rPr>
          <w:rFonts w:hint="eastAsia" w:ascii="宋体" w:hAnsi="宋体"/>
          <w:szCs w:val="21"/>
          <w:u w:val="single"/>
        </w:rPr>
        <w:t xml:space="preserve"> （采购文件中明确的所属行业）行业 </w:t>
      </w:r>
      <w:r>
        <w:rPr>
          <w:rFonts w:hint="eastAsia" w:ascii="宋体" w:hAnsi="宋体"/>
          <w:szCs w:val="21"/>
        </w:rPr>
        <w:t>；制造商为</w:t>
      </w:r>
      <w:r>
        <w:rPr>
          <w:rFonts w:hint="eastAsia" w:ascii="宋体" w:hAnsi="宋体"/>
          <w:szCs w:val="21"/>
          <w:u w:val="single"/>
        </w:rPr>
        <w:t xml:space="preserve"> （企业名称） </w:t>
      </w:r>
      <w:r>
        <w:rPr>
          <w:rFonts w:hint="eastAsia" w:ascii="宋体" w:hAnsi="宋体"/>
          <w:szCs w:val="21"/>
        </w:rPr>
        <w:t>，从业人员人，营业收入为万元，资产总额为万元，属于</w:t>
      </w:r>
      <w:r>
        <w:rPr>
          <w:rFonts w:hint="eastAsia" w:ascii="宋体" w:hAnsi="宋体"/>
          <w:szCs w:val="21"/>
          <w:u w:val="single"/>
        </w:rPr>
        <w:t xml:space="preserve"> （中型企业、小型企业、微型企业） </w:t>
      </w:r>
      <w:r>
        <w:rPr>
          <w:rFonts w:hint="eastAsia" w:ascii="宋体" w:hAnsi="宋体"/>
          <w:szCs w:val="21"/>
        </w:rPr>
        <w:t>；</w:t>
      </w:r>
    </w:p>
    <w:p w14:paraId="70C68927">
      <w:pPr>
        <w:spacing w:line="360" w:lineRule="auto"/>
        <w:ind w:firstLine="420" w:firstLineChars="200"/>
        <w:rPr>
          <w:rFonts w:ascii="宋体" w:hAnsi="宋体"/>
          <w:szCs w:val="21"/>
        </w:rPr>
      </w:pPr>
      <w:r>
        <w:rPr>
          <w:rFonts w:hint="eastAsia" w:ascii="宋体" w:hAnsi="宋体"/>
          <w:szCs w:val="21"/>
        </w:rPr>
        <w:t>……</w:t>
      </w:r>
    </w:p>
    <w:p w14:paraId="0B88803A">
      <w:pPr>
        <w:spacing w:line="360" w:lineRule="auto"/>
        <w:ind w:firstLine="420" w:firstLineChars="200"/>
        <w:rPr>
          <w:rFonts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0EABE9A5">
      <w:pPr>
        <w:spacing w:line="360" w:lineRule="auto"/>
        <w:ind w:firstLine="420" w:firstLineChars="200"/>
        <w:rPr>
          <w:rFonts w:ascii="宋体" w:hAnsi="宋体"/>
          <w:szCs w:val="21"/>
        </w:rPr>
      </w:pPr>
      <w:r>
        <w:rPr>
          <w:rFonts w:hint="eastAsia" w:ascii="宋体" w:hAnsi="宋体"/>
          <w:szCs w:val="21"/>
        </w:rPr>
        <w:t>本企业对上述声明内容的真实性负责。如有虚假，将依法承担相应责任。</w:t>
      </w:r>
    </w:p>
    <w:p w14:paraId="742F17BC">
      <w:pPr>
        <w:spacing w:line="360" w:lineRule="auto"/>
        <w:ind w:firstLine="420" w:firstLineChars="200"/>
        <w:rPr>
          <w:rFonts w:ascii="宋体" w:hAnsi="宋体"/>
          <w:szCs w:val="21"/>
        </w:rPr>
      </w:pPr>
    </w:p>
    <w:p w14:paraId="4DAE7B5C">
      <w:pPr>
        <w:spacing w:line="360" w:lineRule="auto"/>
        <w:ind w:firstLine="420" w:firstLineChars="200"/>
        <w:rPr>
          <w:rFonts w:ascii="宋体" w:hAnsi="宋体"/>
          <w:szCs w:val="21"/>
        </w:rPr>
      </w:pPr>
    </w:p>
    <w:p w14:paraId="39BF6033">
      <w:pPr>
        <w:spacing w:line="360" w:lineRule="auto"/>
        <w:ind w:firstLine="420" w:firstLineChars="200"/>
        <w:rPr>
          <w:rFonts w:ascii="宋体" w:hAnsi="宋体"/>
          <w:szCs w:val="21"/>
        </w:rPr>
      </w:pPr>
      <w:r>
        <w:rPr>
          <w:rFonts w:hint="eastAsia" w:ascii="宋体" w:hAnsi="宋体"/>
          <w:szCs w:val="21"/>
        </w:rPr>
        <w:t>企业名称（盖章）：</w:t>
      </w:r>
    </w:p>
    <w:p w14:paraId="7DDA4DF4">
      <w:pPr>
        <w:spacing w:line="360" w:lineRule="auto"/>
        <w:ind w:firstLine="420" w:firstLineChars="200"/>
        <w:rPr>
          <w:rFonts w:ascii="宋体" w:hAnsi="宋体"/>
          <w:szCs w:val="21"/>
        </w:rPr>
      </w:pPr>
      <w:r>
        <w:rPr>
          <w:rFonts w:hint="eastAsia" w:ascii="宋体" w:hAnsi="宋体"/>
          <w:szCs w:val="21"/>
        </w:rPr>
        <w:t>日 期：</w:t>
      </w:r>
    </w:p>
    <w:p w14:paraId="3AED8A25">
      <w:pPr>
        <w:spacing w:line="360" w:lineRule="auto"/>
        <w:ind w:firstLine="420" w:firstLineChars="200"/>
        <w:rPr>
          <w:rFonts w:ascii="宋体" w:hAnsi="宋体"/>
          <w:szCs w:val="21"/>
        </w:rPr>
      </w:pPr>
    </w:p>
    <w:p w14:paraId="45D974B3">
      <w:pPr>
        <w:spacing w:line="360" w:lineRule="auto"/>
        <w:ind w:firstLine="420" w:firstLineChars="200"/>
        <w:rPr>
          <w:rFonts w:ascii="宋体" w:hAnsi="宋体"/>
          <w:szCs w:val="21"/>
        </w:rPr>
      </w:pPr>
      <w:r>
        <w:rPr>
          <w:rFonts w:hint="eastAsia" w:ascii="宋体" w:hAnsi="宋体"/>
          <w:szCs w:val="21"/>
        </w:rPr>
        <w:t>注：从业人员、营业收入、资产总额填报上一年度数据，无上一年度数据的新成立企业可不填报。</w:t>
      </w:r>
    </w:p>
    <w:p w14:paraId="425EC6E7">
      <w:pPr>
        <w:spacing w:line="276" w:lineRule="auto"/>
        <w:ind w:firstLine="420" w:firstLineChars="200"/>
        <w:rPr>
          <w:rFonts w:ascii="宋体" w:hAnsi="宋体"/>
          <w:szCs w:val="21"/>
        </w:rPr>
      </w:pPr>
      <w:r>
        <w:rPr>
          <w:rFonts w:hint="eastAsia" w:ascii="宋体" w:hAnsi="宋体"/>
          <w:szCs w:val="21"/>
        </w:rPr>
        <w:t>说明</w:t>
      </w:r>
      <w:r>
        <w:rPr>
          <w:rFonts w:ascii="宋体" w:hAnsi="宋体"/>
          <w:szCs w:val="21"/>
        </w:rPr>
        <w:t>：</w:t>
      </w:r>
      <w:r>
        <w:rPr>
          <w:rFonts w:hint="eastAsia" w:ascii="宋体" w:hAnsi="宋体"/>
          <w:szCs w:val="21"/>
        </w:rPr>
        <w:t>如以联合体方式参与本项目投标的投标人，则应由联合体各方盖章。</w:t>
      </w:r>
    </w:p>
    <w:p w14:paraId="49015785">
      <w:pPr>
        <w:spacing w:line="276" w:lineRule="auto"/>
        <w:jc w:val="left"/>
        <w:rPr>
          <w:rFonts w:ascii="宋体" w:hAnsi="宋体"/>
          <w:kern w:val="0"/>
          <w:szCs w:val="21"/>
        </w:rPr>
      </w:pPr>
    </w:p>
    <w:p w14:paraId="53876DB8">
      <w:pPr>
        <w:widowControl/>
        <w:jc w:val="left"/>
        <w:rPr>
          <w:rFonts w:ascii="宋体" w:hAnsi="宋体"/>
          <w:kern w:val="0"/>
          <w:szCs w:val="21"/>
        </w:rPr>
      </w:pPr>
      <w:r>
        <w:rPr>
          <w:rFonts w:ascii="宋体" w:hAnsi="宋体"/>
          <w:kern w:val="0"/>
          <w:szCs w:val="21"/>
        </w:rPr>
        <w:br w:type="page"/>
      </w:r>
    </w:p>
    <w:p w14:paraId="0D8914F9">
      <w:pPr>
        <w:widowControl/>
        <w:spacing w:line="600" w:lineRule="exact"/>
        <w:jc w:val="left"/>
        <w:rPr>
          <w:rFonts w:ascii="宋体" w:hAnsi="宋体" w:cs="宋体"/>
          <w:color w:val="000000"/>
          <w:kern w:val="0"/>
          <w:szCs w:val="21"/>
        </w:rPr>
      </w:pPr>
      <w:r>
        <w:rPr>
          <w:rFonts w:hint="eastAsia" w:ascii="宋体" w:hAnsi="宋体" w:cs="宋体"/>
          <w:color w:val="000000"/>
          <w:kern w:val="0"/>
          <w:szCs w:val="21"/>
        </w:rPr>
        <w:t>附表</w:t>
      </w:r>
    </w:p>
    <w:p w14:paraId="5EF641DD">
      <w:pPr>
        <w:widowControl/>
        <w:spacing w:line="330" w:lineRule="atLeast"/>
        <w:jc w:val="center"/>
        <w:rPr>
          <w:rFonts w:ascii="宋体" w:hAnsi="宋体" w:cs="宋体"/>
          <w:color w:val="000000"/>
          <w:kern w:val="0"/>
          <w:szCs w:val="21"/>
        </w:rPr>
      </w:pPr>
      <w:r>
        <w:rPr>
          <w:rFonts w:hint="eastAsia" w:ascii="宋体" w:hAnsi="宋体" w:cs="宋体"/>
          <w:color w:val="000000"/>
          <w:kern w:val="0"/>
          <w:szCs w:val="21"/>
        </w:rPr>
        <w:t>统计上大中小微型企业划分标准</w:t>
      </w:r>
    </w:p>
    <w:tbl>
      <w:tblPr>
        <w:tblStyle w:val="26"/>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14:paraId="34C4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vAlign w:val="center"/>
          </w:tcPr>
          <w:p w14:paraId="284997F9">
            <w:pPr>
              <w:widowControl/>
              <w:spacing w:line="240" w:lineRule="exact"/>
              <w:jc w:val="center"/>
              <w:rPr>
                <w:rFonts w:ascii="宋体" w:hAnsi="宋体" w:cs="宋体"/>
                <w:b/>
                <w:bCs/>
                <w:color w:val="000000"/>
                <w:kern w:val="0"/>
                <w:szCs w:val="21"/>
              </w:rPr>
            </w:pPr>
            <w:r>
              <w:rPr>
                <w:rFonts w:hint="eastAsia" w:ascii="宋体" w:hAnsi="宋体" w:cs="宋体"/>
                <w:b/>
                <w:bCs/>
                <w:color w:val="000000"/>
                <w:kern w:val="0"/>
                <w:szCs w:val="21"/>
              </w:rPr>
              <w:t>行业名称</w:t>
            </w:r>
          </w:p>
        </w:tc>
        <w:tc>
          <w:tcPr>
            <w:tcW w:w="740" w:type="pct"/>
            <w:vAlign w:val="center"/>
          </w:tcPr>
          <w:p w14:paraId="2A57F962">
            <w:pPr>
              <w:widowControl/>
              <w:jc w:val="center"/>
              <w:rPr>
                <w:rFonts w:ascii="宋体" w:hAnsi="宋体" w:cs="宋体"/>
                <w:b/>
                <w:bCs/>
                <w:color w:val="000000"/>
                <w:kern w:val="0"/>
                <w:szCs w:val="21"/>
              </w:rPr>
            </w:pPr>
            <w:r>
              <w:rPr>
                <w:rFonts w:hint="eastAsia" w:ascii="宋体" w:hAnsi="宋体" w:cs="宋体"/>
                <w:b/>
                <w:bCs/>
                <w:color w:val="000000"/>
                <w:kern w:val="0"/>
                <w:szCs w:val="21"/>
              </w:rPr>
              <w:t>指标名称</w:t>
            </w:r>
          </w:p>
        </w:tc>
        <w:tc>
          <w:tcPr>
            <w:tcW w:w="384" w:type="pct"/>
            <w:vAlign w:val="center"/>
          </w:tcPr>
          <w:p w14:paraId="0C06FAD9">
            <w:pPr>
              <w:widowControl/>
              <w:jc w:val="center"/>
              <w:rPr>
                <w:rFonts w:ascii="宋体" w:hAnsi="宋体" w:cs="宋体"/>
                <w:b/>
                <w:bCs/>
                <w:color w:val="000000"/>
                <w:kern w:val="0"/>
                <w:szCs w:val="21"/>
              </w:rPr>
            </w:pPr>
            <w:r>
              <w:rPr>
                <w:rFonts w:hint="eastAsia" w:ascii="宋体" w:hAnsi="宋体" w:cs="宋体"/>
                <w:b/>
                <w:bCs/>
                <w:color w:val="000000"/>
                <w:kern w:val="0"/>
                <w:szCs w:val="21"/>
              </w:rPr>
              <w:t>计量</w:t>
            </w:r>
            <w:r>
              <w:rPr>
                <w:rFonts w:hint="eastAsia" w:ascii="宋体" w:hAnsi="宋体" w:cs="宋体"/>
                <w:b/>
                <w:bCs/>
                <w:color w:val="000000"/>
                <w:kern w:val="0"/>
                <w:szCs w:val="21"/>
              </w:rPr>
              <w:br w:type="textWrapping"/>
            </w:r>
            <w:r>
              <w:rPr>
                <w:rFonts w:hint="eastAsia" w:ascii="宋体" w:hAnsi="宋体" w:cs="宋体"/>
                <w:b/>
                <w:bCs/>
                <w:color w:val="000000"/>
                <w:kern w:val="0"/>
                <w:szCs w:val="21"/>
              </w:rPr>
              <w:t>单位</w:t>
            </w:r>
          </w:p>
        </w:tc>
        <w:tc>
          <w:tcPr>
            <w:tcW w:w="611" w:type="pct"/>
            <w:vAlign w:val="center"/>
          </w:tcPr>
          <w:p w14:paraId="02D20CEF">
            <w:pPr>
              <w:widowControl/>
              <w:jc w:val="center"/>
              <w:rPr>
                <w:rFonts w:ascii="宋体" w:hAnsi="宋体" w:cs="宋体"/>
                <w:b/>
                <w:bCs/>
                <w:color w:val="000000"/>
                <w:kern w:val="0"/>
                <w:szCs w:val="21"/>
              </w:rPr>
            </w:pPr>
            <w:r>
              <w:rPr>
                <w:rFonts w:hint="eastAsia" w:ascii="宋体" w:hAnsi="宋体" w:cs="宋体"/>
                <w:b/>
                <w:bCs/>
                <w:color w:val="000000"/>
                <w:kern w:val="0"/>
                <w:szCs w:val="21"/>
              </w:rPr>
              <w:t>大型</w:t>
            </w:r>
          </w:p>
        </w:tc>
        <w:tc>
          <w:tcPr>
            <w:tcW w:w="986" w:type="pct"/>
            <w:vAlign w:val="center"/>
          </w:tcPr>
          <w:p w14:paraId="4F46E5D8">
            <w:pPr>
              <w:widowControl/>
              <w:jc w:val="center"/>
              <w:rPr>
                <w:rFonts w:ascii="宋体" w:hAnsi="宋体" w:cs="宋体"/>
                <w:b/>
                <w:bCs/>
                <w:color w:val="000000"/>
                <w:kern w:val="0"/>
                <w:szCs w:val="21"/>
              </w:rPr>
            </w:pPr>
            <w:r>
              <w:rPr>
                <w:rFonts w:hint="eastAsia" w:ascii="宋体" w:hAnsi="宋体" w:cs="宋体"/>
                <w:b/>
                <w:bCs/>
                <w:color w:val="000000"/>
                <w:kern w:val="0"/>
                <w:szCs w:val="21"/>
              </w:rPr>
              <w:t>中型</w:t>
            </w:r>
          </w:p>
        </w:tc>
        <w:tc>
          <w:tcPr>
            <w:tcW w:w="889" w:type="pct"/>
            <w:vAlign w:val="center"/>
          </w:tcPr>
          <w:p w14:paraId="6DEC7213">
            <w:pPr>
              <w:widowControl/>
              <w:jc w:val="center"/>
              <w:rPr>
                <w:rFonts w:ascii="宋体" w:hAnsi="宋体" w:cs="宋体"/>
                <w:b/>
                <w:bCs/>
                <w:color w:val="000000"/>
                <w:kern w:val="0"/>
                <w:szCs w:val="21"/>
              </w:rPr>
            </w:pPr>
            <w:r>
              <w:rPr>
                <w:rFonts w:hint="eastAsia" w:ascii="宋体" w:hAnsi="宋体" w:cs="宋体"/>
                <w:b/>
                <w:bCs/>
                <w:color w:val="000000"/>
                <w:kern w:val="0"/>
                <w:szCs w:val="21"/>
              </w:rPr>
              <w:t>小型</w:t>
            </w:r>
          </w:p>
        </w:tc>
        <w:tc>
          <w:tcPr>
            <w:tcW w:w="535" w:type="pct"/>
            <w:vAlign w:val="center"/>
          </w:tcPr>
          <w:p w14:paraId="22E1353F">
            <w:pPr>
              <w:widowControl/>
              <w:jc w:val="center"/>
              <w:rPr>
                <w:rFonts w:ascii="宋体" w:hAnsi="宋体" w:cs="宋体"/>
                <w:b/>
                <w:bCs/>
                <w:color w:val="000000"/>
                <w:kern w:val="0"/>
                <w:szCs w:val="21"/>
              </w:rPr>
            </w:pPr>
            <w:r>
              <w:rPr>
                <w:rFonts w:hint="eastAsia" w:ascii="宋体" w:hAnsi="宋体" w:cs="宋体"/>
                <w:b/>
                <w:bCs/>
                <w:color w:val="000000"/>
                <w:kern w:val="0"/>
                <w:szCs w:val="21"/>
              </w:rPr>
              <w:t>微型</w:t>
            </w:r>
          </w:p>
        </w:tc>
      </w:tr>
      <w:tr w14:paraId="3EA66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Align w:val="center"/>
          </w:tcPr>
          <w:p w14:paraId="6E85660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农、林、牧、渔业</w:t>
            </w:r>
          </w:p>
        </w:tc>
        <w:tc>
          <w:tcPr>
            <w:tcW w:w="740" w:type="pct"/>
            <w:vAlign w:val="center"/>
          </w:tcPr>
          <w:p w14:paraId="0EA88166">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7178F1F4">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47E71DEB">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vAlign w:val="center"/>
          </w:tcPr>
          <w:p w14:paraId="08739904">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vAlign w:val="center"/>
          </w:tcPr>
          <w:p w14:paraId="55C1DD5B">
            <w:pPr>
              <w:widowControl/>
              <w:jc w:val="center"/>
              <w:rPr>
                <w:rFonts w:ascii="宋体" w:hAnsi="宋体" w:cs="宋体"/>
                <w:color w:val="000000"/>
                <w:kern w:val="0"/>
                <w:szCs w:val="21"/>
              </w:rPr>
            </w:pPr>
            <w:r>
              <w:rPr>
                <w:rFonts w:hint="eastAsia" w:ascii="宋体" w:hAnsi="宋体" w:cs="宋体"/>
                <w:color w:val="000000"/>
                <w:kern w:val="0"/>
                <w:szCs w:val="21"/>
              </w:rPr>
              <w:t xml:space="preserve"> 50≤Y＜500</w:t>
            </w:r>
          </w:p>
        </w:tc>
        <w:tc>
          <w:tcPr>
            <w:tcW w:w="535" w:type="pct"/>
            <w:vAlign w:val="center"/>
          </w:tcPr>
          <w:p w14:paraId="0955E106">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02B1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117378E2">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工业 *</w:t>
            </w:r>
          </w:p>
        </w:tc>
        <w:tc>
          <w:tcPr>
            <w:tcW w:w="740" w:type="pct"/>
            <w:vAlign w:val="center"/>
          </w:tcPr>
          <w:p w14:paraId="15F1327F">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612AF50C">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4807AF11">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vAlign w:val="center"/>
          </w:tcPr>
          <w:p w14:paraId="69D3F39E">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vAlign w:val="center"/>
          </w:tcPr>
          <w:p w14:paraId="0335E971">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vAlign w:val="center"/>
          </w:tcPr>
          <w:p w14:paraId="46493CE3">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34222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74D6BB65">
            <w:pPr>
              <w:widowControl/>
              <w:jc w:val="left"/>
              <w:rPr>
                <w:rFonts w:ascii="宋体" w:hAnsi="宋体" w:cs="宋体"/>
                <w:color w:val="000000"/>
                <w:kern w:val="0"/>
                <w:szCs w:val="21"/>
              </w:rPr>
            </w:pPr>
          </w:p>
        </w:tc>
        <w:tc>
          <w:tcPr>
            <w:tcW w:w="740" w:type="pct"/>
            <w:vAlign w:val="center"/>
          </w:tcPr>
          <w:p w14:paraId="6CE014BE">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6B88A1F3">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73B9DAE4">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vAlign w:val="center"/>
          </w:tcPr>
          <w:p w14:paraId="3C0F4128">
            <w:pPr>
              <w:widowControl/>
              <w:jc w:val="center"/>
              <w:rPr>
                <w:rFonts w:ascii="宋体" w:hAnsi="宋体" w:cs="宋体"/>
                <w:color w:val="000000"/>
                <w:kern w:val="0"/>
                <w:szCs w:val="21"/>
              </w:rPr>
            </w:pPr>
            <w:r>
              <w:rPr>
                <w:rFonts w:hint="eastAsia" w:ascii="宋体" w:hAnsi="宋体" w:cs="宋体"/>
                <w:color w:val="000000"/>
                <w:kern w:val="0"/>
                <w:szCs w:val="21"/>
              </w:rPr>
              <w:t>2000≤Y＜40000</w:t>
            </w:r>
          </w:p>
        </w:tc>
        <w:tc>
          <w:tcPr>
            <w:tcW w:w="889" w:type="pct"/>
            <w:vAlign w:val="center"/>
          </w:tcPr>
          <w:p w14:paraId="30437DC3">
            <w:pPr>
              <w:widowControl/>
              <w:jc w:val="center"/>
              <w:rPr>
                <w:rFonts w:ascii="宋体" w:hAnsi="宋体" w:cs="宋体"/>
                <w:color w:val="000000"/>
                <w:kern w:val="0"/>
                <w:szCs w:val="21"/>
              </w:rPr>
            </w:pPr>
            <w:r>
              <w:rPr>
                <w:rFonts w:hint="eastAsia" w:ascii="宋体" w:hAnsi="宋体" w:cs="宋体"/>
                <w:color w:val="000000"/>
                <w:kern w:val="0"/>
                <w:szCs w:val="21"/>
              </w:rPr>
              <w:t xml:space="preserve"> 300≤Y＜2000</w:t>
            </w:r>
          </w:p>
        </w:tc>
        <w:tc>
          <w:tcPr>
            <w:tcW w:w="535" w:type="pct"/>
            <w:vAlign w:val="center"/>
          </w:tcPr>
          <w:p w14:paraId="283C80B3">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7096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1DE0D52B">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建筑业</w:t>
            </w:r>
          </w:p>
        </w:tc>
        <w:tc>
          <w:tcPr>
            <w:tcW w:w="740" w:type="pct"/>
            <w:vAlign w:val="center"/>
          </w:tcPr>
          <w:p w14:paraId="555E9395">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2850A77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3935BFD3">
            <w:pPr>
              <w:widowControl/>
              <w:jc w:val="center"/>
              <w:rPr>
                <w:rFonts w:ascii="宋体" w:hAnsi="宋体" w:cs="宋体"/>
                <w:color w:val="000000"/>
                <w:kern w:val="0"/>
                <w:szCs w:val="21"/>
              </w:rPr>
            </w:pPr>
            <w:r>
              <w:rPr>
                <w:rFonts w:hint="eastAsia" w:ascii="宋体" w:hAnsi="宋体" w:cs="宋体"/>
                <w:color w:val="000000"/>
                <w:kern w:val="0"/>
                <w:szCs w:val="21"/>
              </w:rPr>
              <w:t>Y≥80000</w:t>
            </w:r>
          </w:p>
        </w:tc>
        <w:tc>
          <w:tcPr>
            <w:tcW w:w="986" w:type="pct"/>
            <w:vAlign w:val="center"/>
          </w:tcPr>
          <w:p w14:paraId="5E0CC696">
            <w:pPr>
              <w:widowControl/>
              <w:jc w:val="center"/>
              <w:rPr>
                <w:rFonts w:ascii="宋体" w:hAnsi="宋体" w:cs="宋体"/>
                <w:color w:val="000000"/>
                <w:kern w:val="0"/>
                <w:szCs w:val="21"/>
              </w:rPr>
            </w:pPr>
            <w:r>
              <w:rPr>
                <w:rFonts w:hint="eastAsia" w:ascii="宋体" w:hAnsi="宋体" w:cs="宋体"/>
                <w:color w:val="000000"/>
                <w:kern w:val="0"/>
                <w:szCs w:val="21"/>
              </w:rPr>
              <w:t>6000≤Y＜80000</w:t>
            </w:r>
          </w:p>
        </w:tc>
        <w:tc>
          <w:tcPr>
            <w:tcW w:w="889" w:type="pct"/>
            <w:vAlign w:val="center"/>
          </w:tcPr>
          <w:p w14:paraId="2B2B4687">
            <w:pPr>
              <w:widowControl/>
              <w:jc w:val="center"/>
              <w:rPr>
                <w:rFonts w:ascii="宋体" w:hAnsi="宋体" w:cs="宋体"/>
                <w:color w:val="000000"/>
                <w:kern w:val="0"/>
                <w:szCs w:val="21"/>
              </w:rPr>
            </w:pPr>
            <w:r>
              <w:rPr>
                <w:rFonts w:hint="eastAsia" w:ascii="宋体" w:hAnsi="宋体" w:cs="宋体"/>
                <w:color w:val="000000"/>
                <w:kern w:val="0"/>
                <w:szCs w:val="21"/>
              </w:rPr>
              <w:t xml:space="preserve"> 300≤Y＜6000</w:t>
            </w:r>
          </w:p>
        </w:tc>
        <w:tc>
          <w:tcPr>
            <w:tcW w:w="535" w:type="pct"/>
            <w:vAlign w:val="center"/>
          </w:tcPr>
          <w:p w14:paraId="363D814F">
            <w:pPr>
              <w:widowControl/>
              <w:jc w:val="center"/>
              <w:rPr>
                <w:rFonts w:ascii="宋体" w:hAnsi="宋体" w:cs="宋体"/>
                <w:color w:val="000000"/>
                <w:kern w:val="0"/>
                <w:szCs w:val="21"/>
              </w:rPr>
            </w:pPr>
            <w:r>
              <w:rPr>
                <w:rFonts w:hint="eastAsia" w:ascii="宋体" w:hAnsi="宋体" w:cs="宋体"/>
                <w:color w:val="000000"/>
                <w:kern w:val="0"/>
                <w:szCs w:val="21"/>
              </w:rPr>
              <w:t>Y＜300</w:t>
            </w:r>
          </w:p>
        </w:tc>
      </w:tr>
      <w:tr w14:paraId="5A0E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A987A9D">
            <w:pPr>
              <w:widowControl/>
              <w:jc w:val="left"/>
              <w:rPr>
                <w:rFonts w:ascii="宋体" w:hAnsi="宋体" w:cs="宋体"/>
                <w:color w:val="000000"/>
                <w:kern w:val="0"/>
                <w:szCs w:val="21"/>
              </w:rPr>
            </w:pPr>
          </w:p>
        </w:tc>
        <w:tc>
          <w:tcPr>
            <w:tcW w:w="740" w:type="pct"/>
            <w:vAlign w:val="center"/>
          </w:tcPr>
          <w:p w14:paraId="26A4C5C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vAlign w:val="center"/>
          </w:tcPr>
          <w:p w14:paraId="1A436C76">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27A49B33">
            <w:pPr>
              <w:widowControl/>
              <w:jc w:val="center"/>
              <w:rPr>
                <w:rFonts w:ascii="宋体" w:hAnsi="宋体" w:cs="宋体"/>
                <w:color w:val="000000"/>
                <w:kern w:val="0"/>
                <w:szCs w:val="21"/>
              </w:rPr>
            </w:pPr>
            <w:r>
              <w:rPr>
                <w:rFonts w:hint="eastAsia" w:ascii="宋体" w:hAnsi="宋体" w:cs="宋体"/>
                <w:color w:val="000000"/>
                <w:kern w:val="0"/>
                <w:szCs w:val="21"/>
              </w:rPr>
              <w:t>Z≥80000</w:t>
            </w:r>
          </w:p>
        </w:tc>
        <w:tc>
          <w:tcPr>
            <w:tcW w:w="986" w:type="pct"/>
            <w:vAlign w:val="center"/>
          </w:tcPr>
          <w:p w14:paraId="70E2AD12">
            <w:pPr>
              <w:widowControl/>
              <w:jc w:val="center"/>
              <w:rPr>
                <w:rFonts w:ascii="宋体" w:hAnsi="宋体" w:cs="宋体"/>
                <w:color w:val="000000"/>
                <w:kern w:val="0"/>
                <w:szCs w:val="21"/>
              </w:rPr>
            </w:pPr>
            <w:r>
              <w:rPr>
                <w:rFonts w:hint="eastAsia" w:ascii="宋体" w:hAnsi="宋体" w:cs="宋体"/>
                <w:color w:val="000000"/>
                <w:kern w:val="0"/>
                <w:szCs w:val="21"/>
              </w:rPr>
              <w:t>5000≤Z＜80000</w:t>
            </w:r>
          </w:p>
        </w:tc>
        <w:tc>
          <w:tcPr>
            <w:tcW w:w="889" w:type="pct"/>
            <w:vAlign w:val="center"/>
          </w:tcPr>
          <w:p w14:paraId="4316788F">
            <w:pPr>
              <w:widowControl/>
              <w:jc w:val="center"/>
              <w:rPr>
                <w:rFonts w:ascii="宋体" w:hAnsi="宋体" w:cs="宋体"/>
                <w:color w:val="000000"/>
                <w:kern w:val="0"/>
                <w:szCs w:val="21"/>
              </w:rPr>
            </w:pPr>
            <w:r>
              <w:rPr>
                <w:rFonts w:hint="eastAsia" w:ascii="宋体" w:hAnsi="宋体" w:cs="宋体"/>
                <w:color w:val="000000"/>
                <w:kern w:val="0"/>
                <w:szCs w:val="21"/>
              </w:rPr>
              <w:t xml:space="preserve"> 300≤Z＜5000</w:t>
            </w:r>
          </w:p>
        </w:tc>
        <w:tc>
          <w:tcPr>
            <w:tcW w:w="535" w:type="pct"/>
            <w:vAlign w:val="center"/>
          </w:tcPr>
          <w:p w14:paraId="501BEAE1">
            <w:pPr>
              <w:widowControl/>
              <w:jc w:val="center"/>
              <w:rPr>
                <w:rFonts w:ascii="宋体" w:hAnsi="宋体" w:cs="宋体"/>
                <w:color w:val="000000"/>
                <w:kern w:val="0"/>
                <w:szCs w:val="21"/>
              </w:rPr>
            </w:pPr>
            <w:r>
              <w:rPr>
                <w:rFonts w:hint="eastAsia" w:ascii="宋体" w:hAnsi="宋体" w:cs="宋体"/>
                <w:color w:val="000000"/>
                <w:kern w:val="0"/>
                <w:szCs w:val="21"/>
              </w:rPr>
              <w:t>Z＜300</w:t>
            </w:r>
          </w:p>
        </w:tc>
      </w:tr>
      <w:tr w14:paraId="7B76A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7A5A9C4A">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批发业</w:t>
            </w:r>
          </w:p>
        </w:tc>
        <w:tc>
          <w:tcPr>
            <w:tcW w:w="740" w:type="pct"/>
            <w:vAlign w:val="center"/>
          </w:tcPr>
          <w:p w14:paraId="012AC88F">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615CCB39">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3FED292B">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vAlign w:val="center"/>
          </w:tcPr>
          <w:p w14:paraId="0851254D">
            <w:pPr>
              <w:widowControl/>
              <w:jc w:val="center"/>
              <w:rPr>
                <w:rFonts w:ascii="宋体" w:hAnsi="宋体" w:cs="宋体"/>
                <w:color w:val="000000"/>
                <w:kern w:val="0"/>
                <w:szCs w:val="21"/>
              </w:rPr>
            </w:pPr>
            <w:r>
              <w:rPr>
                <w:rFonts w:hint="eastAsia" w:ascii="宋体" w:hAnsi="宋体" w:cs="宋体"/>
                <w:color w:val="000000"/>
                <w:kern w:val="0"/>
                <w:szCs w:val="21"/>
              </w:rPr>
              <w:t>20≤X＜200</w:t>
            </w:r>
          </w:p>
        </w:tc>
        <w:tc>
          <w:tcPr>
            <w:tcW w:w="889" w:type="pct"/>
            <w:vAlign w:val="center"/>
          </w:tcPr>
          <w:p w14:paraId="2C10A3CF">
            <w:pPr>
              <w:widowControl/>
              <w:jc w:val="center"/>
              <w:rPr>
                <w:rFonts w:ascii="宋体" w:hAnsi="宋体" w:cs="宋体"/>
                <w:color w:val="000000"/>
                <w:kern w:val="0"/>
                <w:szCs w:val="21"/>
              </w:rPr>
            </w:pPr>
            <w:r>
              <w:rPr>
                <w:rFonts w:hint="eastAsia" w:ascii="宋体" w:hAnsi="宋体" w:cs="宋体"/>
                <w:color w:val="000000"/>
                <w:kern w:val="0"/>
                <w:szCs w:val="21"/>
              </w:rPr>
              <w:t xml:space="preserve"> 5≤X＜20</w:t>
            </w:r>
          </w:p>
        </w:tc>
        <w:tc>
          <w:tcPr>
            <w:tcW w:w="535" w:type="pct"/>
            <w:vAlign w:val="center"/>
          </w:tcPr>
          <w:p w14:paraId="156915D1">
            <w:pPr>
              <w:widowControl/>
              <w:jc w:val="center"/>
              <w:rPr>
                <w:rFonts w:ascii="宋体" w:hAnsi="宋体" w:cs="宋体"/>
                <w:color w:val="000000"/>
                <w:kern w:val="0"/>
                <w:szCs w:val="21"/>
              </w:rPr>
            </w:pPr>
            <w:r>
              <w:rPr>
                <w:rFonts w:hint="eastAsia" w:ascii="宋体" w:hAnsi="宋体" w:cs="宋体"/>
                <w:color w:val="000000"/>
                <w:kern w:val="0"/>
                <w:szCs w:val="21"/>
              </w:rPr>
              <w:t>X＜5</w:t>
            </w:r>
          </w:p>
        </w:tc>
      </w:tr>
      <w:tr w14:paraId="5349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33EFF0E">
            <w:pPr>
              <w:widowControl/>
              <w:jc w:val="left"/>
              <w:rPr>
                <w:rFonts w:ascii="宋体" w:hAnsi="宋体" w:cs="宋体"/>
                <w:color w:val="000000"/>
                <w:kern w:val="0"/>
                <w:szCs w:val="21"/>
              </w:rPr>
            </w:pPr>
          </w:p>
        </w:tc>
        <w:tc>
          <w:tcPr>
            <w:tcW w:w="740" w:type="pct"/>
            <w:vAlign w:val="center"/>
          </w:tcPr>
          <w:p w14:paraId="72CB8956">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05608C80">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63FABF79">
            <w:pPr>
              <w:widowControl/>
              <w:jc w:val="center"/>
              <w:rPr>
                <w:rFonts w:ascii="宋体" w:hAnsi="宋体" w:cs="宋体"/>
                <w:color w:val="000000"/>
                <w:kern w:val="0"/>
                <w:szCs w:val="21"/>
              </w:rPr>
            </w:pPr>
            <w:r>
              <w:rPr>
                <w:rFonts w:hint="eastAsia" w:ascii="宋体" w:hAnsi="宋体" w:cs="宋体"/>
                <w:color w:val="000000"/>
                <w:kern w:val="0"/>
                <w:szCs w:val="21"/>
              </w:rPr>
              <w:t>Y≥40000</w:t>
            </w:r>
          </w:p>
        </w:tc>
        <w:tc>
          <w:tcPr>
            <w:tcW w:w="986" w:type="pct"/>
            <w:vAlign w:val="center"/>
          </w:tcPr>
          <w:p w14:paraId="25906EE8">
            <w:pPr>
              <w:widowControl/>
              <w:jc w:val="center"/>
              <w:rPr>
                <w:rFonts w:ascii="宋体" w:hAnsi="宋体" w:cs="宋体"/>
                <w:color w:val="000000"/>
                <w:kern w:val="0"/>
                <w:szCs w:val="21"/>
              </w:rPr>
            </w:pPr>
            <w:r>
              <w:rPr>
                <w:rFonts w:hint="eastAsia" w:ascii="宋体" w:hAnsi="宋体" w:cs="宋体"/>
                <w:color w:val="000000"/>
                <w:kern w:val="0"/>
                <w:szCs w:val="21"/>
              </w:rPr>
              <w:t>5000≤Y＜40000</w:t>
            </w:r>
          </w:p>
        </w:tc>
        <w:tc>
          <w:tcPr>
            <w:tcW w:w="889" w:type="pct"/>
            <w:vAlign w:val="center"/>
          </w:tcPr>
          <w:p w14:paraId="30FB8DFA">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1000≤Y＜5000</w:t>
            </w:r>
          </w:p>
        </w:tc>
        <w:tc>
          <w:tcPr>
            <w:tcW w:w="535" w:type="pct"/>
            <w:vAlign w:val="center"/>
          </w:tcPr>
          <w:p w14:paraId="3D82858A">
            <w:pPr>
              <w:widowControl/>
              <w:jc w:val="center"/>
              <w:rPr>
                <w:rFonts w:ascii="宋体" w:hAnsi="宋体" w:cs="宋体"/>
                <w:color w:val="000000"/>
                <w:kern w:val="0"/>
                <w:szCs w:val="21"/>
              </w:rPr>
            </w:pPr>
            <w:r>
              <w:rPr>
                <w:rFonts w:hint="eastAsia" w:ascii="宋体" w:hAnsi="宋体" w:cs="宋体"/>
                <w:color w:val="000000"/>
                <w:kern w:val="0"/>
                <w:szCs w:val="21"/>
              </w:rPr>
              <w:t>Y＜1000</w:t>
            </w:r>
          </w:p>
        </w:tc>
      </w:tr>
      <w:tr w14:paraId="4E64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51EAA794">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零售业</w:t>
            </w:r>
          </w:p>
        </w:tc>
        <w:tc>
          <w:tcPr>
            <w:tcW w:w="740" w:type="pct"/>
            <w:vAlign w:val="center"/>
          </w:tcPr>
          <w:p w14:paraId="322BB8C0">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525B6B60">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1833229C">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7CC38140">
            <w:pPr>
              <w:widowControl/>
              <w:jc w:val="center"/>
              <w:rPr>
                <w:rFonts w:ascii="宋体" w:hAnsi="宋体" w:cs="宋体"/>
                <w:color w:val="000000"/>
                <w:kern w:val="0"/>
                <w:szCs w:val="21"/>
              </w:rPr>
            </w:pPr>
            <w:r>
              <w:rPr>
                <w:rFonts w:hint="eastAsia" w:ascii="宋体" w:hAnsi="宋体" w:cs="宋体"/>
                <w:color w:val="000000"/>
                <w:kern w:val="0"/>
                <w:szCs w:val="21"/>
              </w:rPr>
              <w:t>50≤X＜300</w:t>
            </w:r>
          </w:p>
        </w:tc>
        <w:tc>
          <w:tcPr>
            <w:tcW w:w="889" w:type="pct"/>
            <w:vAlign w:val="center"/>
          </w:tcPr>
          <w:p w14:paraId="7342787F">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10≤X＜50 </w:t>
            </w:r>
          </w:p>
        </w:tc>
        <w:tc>
          <w:tcPr>
            <w:tcW w:w="535" w:type="pct"/>
            <w:vAlign w:val="center"/>
          </w:tcPr>
          <w:p w14:paraId="581590E7">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569E5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0D725694">
            <w:pPr>
              <w:widowControl/>
              <w:jc w:val="left"/>
              <w:rPr>
                <w:rFonts w:ascii="宋体" w:hAnsi="宋体" w:cs="宋体"/>
                <w:color w:val="000000"/>
                <w:kern w:val="0"/>
                <w:szCs w:val="21"/>
              </w:rPr>
            </w:pPr>
          </w:p>
        </w:tc>
        <w:tc>
          <w:tcPr>
            <w:tcW w:w="740" w:type="pct"/>
            <w:vAlign w:val="center"/>
          </w:tcPr>
          <w:p w14:paraId="7670356B">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49BE38EA">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219A4A58">
            <w:pPr>
              <w:widowControl/>
              <w:jc w:val="center"/>
              <w:rPr>
                <w:rFonts w:ascii="宋体" w:hAnsi="宋体" w:cs="宋体"/>
                <w:color w:val="000000"/>
                <w:kern w:val="0"/>
                <w:szCs w:val="21"/>
              </w:rPr>
            </w:pPr>
            <w:r>
              <w:rPr>
                <w:rFonts w:hint="eastAsia" w:ascii="宋体" w:hAnsi="宋体" w:cs="宋体"/>
                <w:color w:val="000000"/>
                <w:kern w:val="0"/>
                <w:szCs w:val="21"/>
              </w:rPr>
              <w:t>Y≥20000</w:t>
            </w:r>
          </w:p>
        </w:tc>
        <w:tc>
          <w:tcPr>
            <w:tcW w:w="986" w:type="pct"/>
            <w:vAlign w:val="center"/>
          </w:tcPr>
          <w:p w14:paraId="3722C392">
            <w:pPr>
              <w:widowControl/>
              <w:jc w:val="center"/>
              <w:rPr>
                <w:rFonts w:ascii="宋体" w:hAnsi="宋体" w:cs="宋体"/>
                <w:color w:val="000000"/>
                <w:kern w:val="0"/>
                <w:szCs w:val="21"/>
              </w:rPr>
            </w:pPr>
            <w:r>
              <w:rPr>
                <w:rFonts w:hint="eastAsia" w:ascii="宋体" w:hAnsi="宋体" w:cs="宋体"/>
                <w:color w:val="000000"/>
                <w:kern w:val="0"/>
                <w:szCs w:val="21"/>
              </w:rPr>
              <w:t xml:space="preserve"> 500≤Y＜20000</w:t>
            </w:r>
          </w:p>
        </w:tc>
        <w:tc>
          <w:tcPr>
            <w:tcW w:w="889" w:type="pct"/>
            <w:vAlign w:val="center"/>
          </w:tcPr>
          <w:p w14:paraId="4BB59B52">
            <w:pPr>
              <w:widowControl/>
              <w:ind w:left="-1" w:leftChars="-1" w:hanging="1"/>
              <w:jc w:val="center"/>
              <w:rPr>
                <w:rFonts w:ascii="宋体" w:hAnsi="宋体" w:cs="宋体"/>
                <w:color w:val="000000"/>
                <w:kern w:val="0"/>
                <w:szCs w:val="21"/>
              </w:rPr>
            </w:pPr>
            <w:r>
              <w:rPr>
                <w:rFonts w:hint="eastAsia" w:ascii="宋体" w:hAnsi="宋体" w:cs="宋体"/>
                <w:color w:val="000000"/>
                <w:kern w:val="0"/>
                <w:szCs w:val="21"/>
              </w:rPr>
              <w:t xml:space="preserve">100≤Y＜500 </w:t>
            </w:r>
          </w:p>
        </w:tc>
        <w:tc>
          <w:tcPr>
            <w:tcW w:w="535" w:type="pct"/>
            <w:vAlign w:val="center"/>
          </w:tcPr>
          <w:p w14:paraId="1114661E">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03729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12B3568C">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交通运输业 *</w:t>
            </w:r>
          </w:p>
        </w:tc>
        <w:tc>
          <w:tcPr>
            <w:tcW w:w="740" w:type="pct"/>
            <w:vAlign w:val="center"/>
          </w:tcPr>
          <w:p w14:paraId="050BEEE3">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35D82C85">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4130AAAE">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vAlign w:val="center"/>
          </w:tcPr>
          <w:p w14:paraId="0310B02E">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vAlign w:val="center"/>
          </w:tcPr>
          <w:p w14:paraId="32437575">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vAlign w:val="center"/>
          </w:tcPr>
          <w:p w14:paraId="60FDCB71">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36F6F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E608A24">
            <w:pPr>
              <w:widowControl/>
              <w:jc w:val="left"/>
              <w:rPr>
                <w:rFonts w:ascii="宋体" w:hAnsi="宋体" w:cs="宋体"/>
                <w:color w:val="000000"/>
                <w:kern w:val="0"/>
                <w:szCs w:val="21"/>
              </w:rPr>
            </w:pPr>
          </w:p>
        </w:tc>
        <w:tc>
          <w:tcPr>
            <w:tcW w:w="740" w:type="pct"/>
            <w:vAlign w:val="center"/>
          </w:tcPr>
          <w:p w14:paraId="38A0781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7F2B2114">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34A0F49A">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vAlign w:val="center"/>
          </w:tcPr>
          <w:p w14:paraId="1DD486FF">
            <w:pPr>
              <w:widowControl/>
              <w:jc w:val="center"/>
              <w:rPr>
                <w:rFonts w:ascii="宋体" w:hAnsi="宋体" w:cs="宋体"/>
                <w:color w:val="000000"/>
                <w:kern w:val="0"/>
                <w:szCs w:val="21"/>
              </w:rPr>
            </w:pPr>
            <w:r>
              <w:rPr>
                <w:rFonts w:hint="eastAsia" w:ascii="宋体" w:hAnsi="宋体" w:cs="宋体"/>
                <w:color w:val="000000"/>
                <w:kern w:val="0"/>
                <w:szCs w:val="21"/>
              </w:rPr>
              <w:t>3000≤Y＜30000</w:t>
            </w:r>
          </w:p>
        </w:tc>
        <w:tc>
          <w:tcPr>
            <w:tcW w:w="889" w:type="pct"/>
            <w:vAlign w:val="center"/>
          </w:tcPr>
          <w:p w14:paraId="7D4BB050">
            <w:pPr>
              <w:widowControl/>
              <w:jc w:val="center"/>
              <w:rPr>
                <w:rFonts w:ascii="宋体" w:hAnsi="宋体" w:cs="宋体"/>
                <w:color w:val="000000"/>
                <w:kern w:val="0"/>
                <w:szCs w:val="21"/>
              </w:rPr>
            </w:pPr>
            <w:r>
              <w:rPr>
                <w:rFonts w:hint="eastAsia" w:ascii="宋体" w:hAnsi="宋体" w:cs="宋体"/>
                <w:color w:val="000000"/>
                <w:kern w:val="0"/>
                <w:szCs w:val="21"/>
              </w:rPr>
              <w:t xml:space="preserve"> 200≤Y＜3000</w:t>
            </w:r>
          </w:p>
        </w:tc>
        <w:tc>
          <w:tcPr>
            <w:tcW w:w="535" w:type="pct"/>
            <w:vAlign w:val="center"/>
          </w:tcPr>
          <w:p w14:paraId="5BB7D86F">
            <w:pPr>
              <w:widowControl/>
              <w:jc w:val="center"/>
              <w:rPr>
                <w:rFonts w:ascii="宋体" w:hAnsi="宋体" w:cs="宋体"/>
                <w:color w:val="000000"/>
                <w:kern w:val="0"/>
                <w:szCs w:val="21"/>
              </w:rPr>
            </w:pPr>
            <w:r>
              <w:rPr>
                <w:rFonts w:hint="eastAsia" w:ascii="宋体" w:hAnsi="宋体" w:cs="宋体"/>
                <w:color w:val="000000"/>
                <w:kern w:val="0"/>
                <w:szCs w:val="21"/>
              </w:rPr>
              <w:t>Y＜200</w:t>
            </w:r>
          </w:p>
        </w:tc>
      </w:tr>
      <w:tr w14:paraId="1FB2B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3CB0ED88">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仓储业*</w:t>
            </w:r>
          </w:p>
        </w:tc>
        <w:tc>
          <w:tcPr>
            <w:tcW w:w="740" w:type="pct"/>
            <w:vAlign w:val="center"/>
          </w:tcPr>
          <w:p w14:paraId="6A954F73">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7D15CED5">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48ACBC56">
            <w:pPr>
              <w:widowControl/>
              <w:jc w:val="center"/>
              <w:rPr>
                <w:rFonts w:ascii="宋体" w:hAnsi="宋体" w:cs="宋体"/>
                <w:color w:val="000000"/>
                <w:kern w:val="0"/>
                <w:szCs w:val="21"/>
              </w:rPr>
            </w:pPr>
            <w:r>
              <w:rPr>
                <w:rFonts w:hint="eastAsia" w:ascii="宋体" w:hAnsi="宋体" w:cs="宋体"/>
                <w:color w:val="000000"/>
                <w:kern w:val="0"/>
                <w:szCs w:val="21"/>
              </w:rPr>
              <w:t>X≥200</w:t>
            </w:r>
          </w:p>
        </w:tc>
        <w:tc>
          <w:tcPr>
            <w:tcW w:w="986" w:type="pct"/>
            <w:vAlign w:val="center"/>
          </w:tcPr>
          <w:p w14:paraId="25C20BEE">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100≤X＜200</w:t>
            </w:r>
          </w:p>
        </w:tc>
        <w:tc>
          <w:tcPr>
            <w:tcW w:w="889" w:type="pct"/>
            <w:vAlign w:val="center"/>
          </w:tcPr>
          <w:p w14:paraId="20507763">
            <w:pPr>
              <w:widowControl/>
              <w:jc w:val="center"/>
              <w:rPr>
                <w:rFonts w:ascii="宋体" w:hAnsi="宋体" w:cs="宋体"/>
                <w:color w:val="000000"/>
                <w:kern w:val="0"/>
                <w:szCs w:val="21"/>
              </w:rPr>
            </w:pPr>
            <w:r>
              <w:rPr>
                <w:rFonts w:hint="eastAsia" w:ascii="宋体" w:hAnsi="宋体" w:cs="宋体"/>
                <w:color w:val="000000"/>
                <w:kern w:val="0"/>
                <w:szCs w:val="21"/>
              </w:rPr>
              <w:t xml:space="preserve"> 20≤X＜100</w:t>
            </w:r>
          </w:p>
        </w:tc>
        <w:tc>
          <w:tcPr>
            <w:tcW w:w="535" w:type="pct"/>
            <w:vAlign w:val="center"/>
          </w:tcPr>
          <w:p w14:paraId="4A00E735">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321EF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66523DE">
            <w:pPr>
              <w:widowControl/>
              <w:jc w:val="left"/>
              <w:rPr>
                <w:rFonts w:ascii="宋体" w:hAnsi="宋体" w:cs="宋体"/>
                <w:color w:val="000000"/>
                <w:kern w:val="0"/>
                <w:szCs w:val="21"/>
              </w:rPr>
            </w:pPr>
          </w:p>
        </w:tc>
        <w:tc>
          <w:tcPr>
            <w:tcW w:w="740" w:type="pct"/>
            <w:vAlign w:val="center"/>
          </w:tcPr>
          <w:p w14:paraId="111DB7E5">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3C24812B">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5F7C1234">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vAlign w:val="center"/>
          </w:tcPr>
          <w:p w14:paraId="35D34EF3">
            <w:pPr>
              <w:widowControl/>
              <w:jc w:val="center"/>
              <w:rPr>
                <w:rFonts w:ascii="宋体" w:hAnsi="宋体" w:cs="宋体"/>
                <w:color w:val="000000"/>
                <w:kern w:val="0"/>
                <w:szCs w:val="21"/>
              </w:rPr>
            </w:pPr>
            <w:r>
              <w:rPr>
                <w:rFonts w:hint="eastAsia" w:ascii="宋体" w:hAnsi="宋体" w:cs="宋体"/>
                <w:color w:val="000000"/>
                <w:kern w:val="0"/>
                <w:szCs w:val="21"/>
              </w:rPr>
              <w:t>1000≤Y＜30000</w:t>
            </w:r>
          </w:p>
        </w:tc>
        <w:tc>
          <w:tcPr>
            <w:tcW w:w="889" w:type="pct"/>
            <w:vAlign w:val="center"/>
          </w:tcPr>
          <w:p w14:paraId="06889600">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vAlign w:val="center"/>
          </w:tcPr>
          <w:p w14:paraId="40EF29AF">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CBC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68947308">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邮政业</w:t>
            </w:r>
          </w:p>
        </w:tc>
        <w:tc>
          <w:tcPr>
            <w:tcW w:w="740" w:type="pct"/>
            <w:vAlign w:val="center"/>
          </w:tcPr>
          <w:p w14:paraId="220DEDE6">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0B6C4AED">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54832CAE">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vAlign w:val="center"/>
          </w:tcPr>
          <w:p w14:paraId="4755ED19">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vAlign w:val="center"/>
          </w:tcPr>
          <w:p w14:paraId="4675A269">
            <w:pPr>
              <w:widowControl/>
              <w:jc w:val="center"/>
              <w:rPr>
                <w:rFonts w:ascii="宋体" w:hAnsi="宋体" w:cs="宋体"/>
                <w:color w:val="000000"/>
                <w:kern w:val="0"/>
                <w:szCs w:val="21"/>
              </w:rPr>
            </w:pPr>
            <w:r>
              <w:rPr>
                <w:rFonts w:hint="eastAsia" w:ascii="宋体" w:hAnsi="宋体" w:cs="宋体"/>
                <w:color w:val="000000"/>
                <w:kern w:val="0"/>
                <w:szCs w:val="21"/>
              </w:rPr>
              <w:t xml:space="preserve"> 20≤X＜300</w:t>
            </w:r>
          </w:p>
        </w:tc>
        <w:tc>
          <w:tcPr>
            <w:tcW w:w="535" w:type="pct"/>
            <w:vAlign w:val="center"/>
          </w:tcPr>
          <w:p w14:paraId="29E4772E">
            <w:pPr>
              <w:widowControl/>
              <w:jc w:val="center"/>
              <w:rPr>
                <w:rFonts w:ascii="宋体" w:hAnsi="宋体" w:cs="宋体"/>
                <w:color w:val="000000"/>
                <w:kern w:val="0"/>
                <w:szCs w:val="21"/>
              </w:rPr>
            </w:pPr>
            <w:r>
              <w:rPr>
                <w:rFonts w:hint="eastAsia" w:ascii="宋体" w:hAnsi="宋体" w:cs="宋体"/>
                <w:color w:val="000000"/>
                <w:kern w:val="0"/>
                <w:szCs w:val="21"/>
              </w:rPr>
              <w:t>X＜20</w:t>
            </w:r>
          </w:p>
        </w:tc>
      </w:tr>
      <w:tr w14:paraId="2708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4493B3D">
            <w:pPr>
              <w:widowControl/>
              <w:jc w:val="left"/>
              <w:rPr>
                <w:rFonts w:ascii="宋体" w:hAnsi="宋体" w:cs="宋体"/>
                <w:color w:val="000000"/>
                <w:kern w:val="0"/>
                <w:szCs w:val="21"/>
              </w:rPr>
            </w:pPr>
          </w:p>
        </w:tc>
        <w:tc>
          <w:tcPr>
            <w:tcW w:w="740" w:type="pct"/>
            <w:vAlign w:val="center"/>
          </w:tcPr>
          <w:p w14:paraId="78725EFC">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56B2E2DB">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27B5C866">
            <w:pPr>
              <w:widowControl/>
              <w:jc w:val="center"/>
              <w:rPr>
                <w:rFonts w:ascii="宋体" w:hAnsi="宋体" w:cs="宋体"/>
                <w:color w:val="000000"/>
                <w:kern w:val="0"/>
                <w:szCs w:val="21"/>
              </w:rPr>
            </w:pPr>
            <w:r>
              <w:rPr>
                <w:rFonts w:hint="eastAsia" w:ascii="宋体" w:hAnsi="宋体" w:cs="宋体"/>
                <w:color w:val="000000"/>
                <w:kern w:val="0"/>
                <w:szCs w:val="21"/>
              </w:rPr>
              <w:t>Y≥30000</w:t>
            </w:r>
          </w:p>
        </w:tc>
        <w:tc>
          <w:tcPr>
            <w:tcW w:w="986" w:type="pct"/>
            <w:vAlign w:val="center"/>
          </w:tcPr>
          <w:p w14:paraId="03D5A68F">
            <w:pPr>
              <w:widowControl/>
              <w:jc w:val="center"/>
              <w:rPr>
                <w:rFonts w:ascii="宋体" w:hAnsi="宋体" w:cs="宋体"/>
                <w:color w:val="000000"/>
                <w:kern w:val="0"/>
                <w:szCs w:val="21"/>
              </w:rPr>
            </w:pPr>
            <w:r>
              <w:rPr>
                <w:rFonts w:hint="eastAsia" w:ascii="宋体" w:hAnsi="宋体" w:cs="宋体"/>
                <w:color w:val="000000"/>
                <w:kern w:val="0"/>
                <w:szCs w:val="21"/>
              </w:rPr>
              <w:t>2000≤Y＜30000</w:t>
            </w:r>
          </w:p>
        </w:tc>
        <w:tc>
          <w:tcPr>
            <w:tcW w:w="889" w:type="pct"/>
            <w:vAlign w:val="center"/>
          </w:tcPr>
          <w:p w14:paraId="36636396">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vAlign w:val="center"/>
          </w:tcPr>
          <w:p w14:paraId="1DF04EB5">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389D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7EE910B0">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住宿业</w:t>
            </w:r>
          </w:p>
        </w:tc>
        <w:tc>
          <w:tcPr>
            <w:tcW w:w="740" w:type="pct"/>
            <w:vAlign w:val="center"/>
          </w:tcPr>
          <w:p w14:paraId="4E323562">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7736DDC5">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0EE6C15C">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4594A463">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vAlign w:val="center"/>
          </w:tcPr>
          <w:p w14:paraId="72734C1E">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4C3C1927">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6078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84A2501">
            <w:pPr>
              <w:widowControl/>
              <w:jc w:val="left"/>
              <w:rPr>
                <w:rFonts w:ascii="宋体" w:hAnsi="宋体" w:cs="宋体"/>
                <w:color w:val="000000"/>
                <w:kern w:val="0"/>
                <w:szCs w:val="21"/>
              </w:rPr>
            </w:pPr>
          </w:p>
        </w:tc>
        <w:tc>
          <w:tcPr>
            <w:tcW w:w="740" w:type="pct"/>
            <w:vAlign w:val="center"/>
          </w:tcPr>
          <w:p w14:paraId="6F7A57B9">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43845589">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46D23007">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vAlign w:val="center"/>
          </w:tcPr>
          <w:p w14:paraId="08894C6C">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vAlign w:val="center"/>
          </w:tcPr>
          <w:p w14:paraId="1645707A">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vAlign w:val="center"/>
          </w:tcPr>
          <w:p w14:paraId="00F8B65D">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43C5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15E55EA2">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餐饮业</w:t>
            </w:r>
          </w:p>
        </w:tc>
        <w:tc>
          <w:tcPr>
            <w:tcW w:w="740" w:type="pct"/>
            <w:vAlign w:val="center"/>
          </w:tcPr>
          <w:p w14:paraId="1B6C2EA4">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20460F7D">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3ACCF3F2">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63B753F8">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vAlign w:val="center"/>
          </w:tcPr>
          <w:p w14:paraId="0B1D2EC2">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79977DE6">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48213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167AC49D">
            <w:pPr>
              <w:widowControl/>
              <w:jc w:val="left"/>
              <w:rPr>
                <w:rFonts w:ascii="宋体" w:hAnsi="宋体" w:cs="宋体"/>
                <w:color w:val="000000"/>
                <w:kern w:val="0"/>
                <w:szCs w:val="21"/>
              </w:rPr>
            </w:pPr>
          </w:p>
        </w:tc>
        <w:tc>
          <w:tcPr>
            <w:tcW w:w="740" w:type="pct"/>
            <w:vAlign w:val="center"/>
          </w:tcPr>
          <w:p w14:paraId="7ED56CA2">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5CB58C7E">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3BDBB18A">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vAlign w:val="center"/>
          </w:tcPr>
          <w:p w14:paraId="7636C6F5">
            <w:pPr>
              <w:widowControl/>
              <w:jc w:val="center"/>
              <w:rPr>
                <w:rFonts w:ascii="宋体" w:hAnsi="宋体" w:cs="宋体"/>
                <w:color w:val="000000"/>
                <w:kern w:val="0"/>
                <w:szCs w:val="21"/>
              </w:rPr>
            </w:pPr>
            <w:r>
              <w:rPr>
                <w:rFonts w:hint="eastAsia" w:ascii="宋体" w:hAnsi="宋体" w:cs="宋体"/>
                <w:color w:val="000000"/>
                <w:kern w:val="0"/>
                <w:szCs w:val="21"/>
              </w:rPr>
              <w:t>2000≤Y＜10000</w:t>
            </w:r>
          </w:p>
        </w:tc>
        <w:tc>
          <w:tcPr>
            <w:tcW w:w="889" w:type="pct"/>
            <w:vAlign w:val="center"/>
          </w:tcPr>
          <w:p w14:paraId="2E7B9E50">
            <w:pPr>
              <w:widowControl/>
              <w:jc w:val="center"/>
              <w:rPr>
                <w:rFonts w:ascii="宋体" w:hAnsi="宋体" w:cs="宋体"/>
                <w:color w:val="000000"/>
                <w:kern w:val="0"/>
                <w:szCs w:val="21"/>
              </w:rPr>
            </w:pPr>
            <w:r>
              <w:rPr>
                <w:rFonts w:hint="eastAsia" w:ascii="宋体" w:hAnsi="宋体" w:cs="宋体"/>
                <w:color w:val="000000"/>
                <w:kern w:val="0"/>
                <w:szCs w:val="21"/>
              </w:rPr>
              <w:t xml:space="preserve"> 100≤Y＜2000</w:t>
            </w:r>
          </w:p>
        </w:tc>
        <w:tc>
          <w:tcPr>
            <w:tcW w:w="535" w:type="pct"/>
            <w:vAlign w:val="center"/>
          </w:tcPr>
          <w:p w14:paraId="57753FE6">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59A98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3D3174DF">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信息传输业 *</w:t>
            </w:r>
          </w:p>
        </w:tc>
        <w:tc>
          <w:tcPr>
            <w:tcW w:w="740" w:type="pct"/>
            <w:vAlign w:val="center"/>
          </w:tcPr>
          <w:p w14:paraId="2D5D6C39">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740D9F0B">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499B6F1E">
            <w:pPr>
              <w:widowControl/>
              <w:jc w:val="center"/>
              <w:rPr>
                <w:rFonts w:ascii="宋体" w:hAnsi="宋体" w:cs="宋体"/>
                <w:color w:val="000000"/>
                <w:kern w:val="0"/>
                <w:szCs w:val="21"/>
              </w:rPr>
            </w:pPr>
            <w:r>
              <w:rPr>
                <w:rFonts w:hint="eastAsia" w:ascii="宋体" w:hAnsi="宋体" w:cs="宋体"/>
                <w:color w:val="000000"/>
                <w:kern w:val="0"/>
                <w:szCs w:val="21"/>
              </w:rPr>
              <w:t>X≥2000</w:t>
            </w:r>
          </w:p>
        </w:tc>
        <w:tc>
          <w:tcPr>
            <w:tcW w:w="986" w:type="pct"/>
            <w:vAlign w:val="center"/>
          </w:tcPr>
          <w:p w14:paraId="6B02B121">
            <w:pPr>
              <w:widowControl/>
              <w:jc w:val="center"/>
              <w:rPr>
                <w:rFonts w:ascii="宋体" w:hAnsi="宋体" w:cs="宋体"/>
                <w:color w:val="000000"/>
                <w:kern w:val="0"/>
                <w:szCs w:val="21"/>
              </w:rPr>
            </w:pPr>
            <w:r>
              <w:rPr>
                <w:rFonts w:hint="eastAsia" w:ascii="宋体" w:hAnsi="宋体" w:cs="宋体"/>
                <w:color w:val="000000"/>
                <w:kern w:val="0"/>
                <w:szCs w:val="21"/>
              </w:rPr>
              <w:t>100≤X＜2000</w:t>
            </w:r>
          </w:p>
        </w:tc>
        <w:tc>
          <w:tcPr>
            <w:tcW w:w="889" w:type="pct"/>
            <w:vAlign w:val="center"/>
          </w:tcPr>
          <w:p w14:paraId="61523A05">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2A88B58C">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22F42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5884F559">
            <w:pPr>
              <w:widowControl/>
              <w:jc w:val="left"/>
              <w:rPr>
                <w:rFonts w:ascii="宋体" w:hAnsi="宋体" w:cs="宋体"/>
                <w:color w:val="000000"/>
                <w:kern w:val="0"/>
                <w:szCs w:val="21"/>
              </w:rPr>
            </w:pPr>
          </w:p>
        </w:tc>
        <w:tc>
          <w:tcPr>
            <w:tcW w:w="740" w:type="pct"/>
            <w:vAlign w:val="center"/>
          </w:tcPr>
          <w:p w14:paraId="7FC530A5">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4AE81790">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44DCBF43">
            <w:pPr>
              <w:widowControl/>
              <w:jc w:val="center"/>
              <w:rPr>
                <w:rFonts w:ascii="宋体" w:hAnsi="宋体" w:cs="宋体"/>
                <w:color w:val="000000"/>
                <w:kern w:val="0"/>
                <w:szCs w:val="21"/>
              </w:rPr>
            </w:pPr>
            <w:r>
              <w:rPr>
                <w:rFonts w:hint="eastAsia" w:ascii="宋体" w:hAnsi="宋体" w:cs="宋体"/>
                <w:color w:val="000000"/>
                <w:kern w:val="0"/>
                <w:szCs w:val="21"/>
              </w:rPr>
              <w:t>Y≥100000</w:t>
            </w:r>
          </w:p>
        </w:tc>
        <w:tc>
          <w:tcPr>
            <w:tcW w:w="986" w:type="pct"/>
            <w:vAlign w:val="center"/>
          </w:tcPr>
          <w:p w14:paraId="63A23FE9">
            <w:pPr>
              <w:widowControl/>
              <w:jc w:val="center"/>
              <w:rPr>
                <w:rFonts w:ascii="宋体" w:hAnsi="宋体" w:cs="宋体"/>
                <w:color w:val="000000"/>
                <w:kern w:val="0"/>
                <w:szCs w:val="21"/>
              </w:rPr>
            </w:pPr>
            <w:r>
              <w:rPr>
                <w:rFonts w:hint="eastAsia" w:ascii="宋体" w:hAnsi="宋体" w:cs="宋体"/>
                <w:color w:val="000000"/>
                <w:kern w:val="0"/>
                <w:szCs w:val="21"/>
              </w:rPr>
              <w:t xml:space="preserve"> 1000≤Y＜100000</w:t>
            </w:r>
          </w:p>
        </w:tc>
        <w:tc>
          <w:tcPr>
            <w:tcW w:w="889" w:type="pct"/>
            <w:vAlign w:val="center"/>
          </w:tcPr>
          <w:p w14:paraId="627AADED">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vAlign w:val="center"/>
          </w:tcPr>
          <w:p w14:paraId="176F4699">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6ECC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0C425277">
            <w:pPr>
              <w:widowControl/>
              <w:spacing w:line="240" w:lineRule="exact"/>
              <w:jc w:val="left"/>
              <w:rPr>
                <w:rFonts w:ascii="宋体" w:hAnsi="宋体" w:cs="宋体"/>
                <w:color w:val="000000"/>
                <w:spacing w:val="-12"/>
                <w:kern w:val="0"/>
                <w:szCs w:val="21"/>
              </w:rPr>
            </w:pPr>
            <w:r>
              <w:rPr>
                <w:rFonts w:hint="eastAsia" w:ascii="宋体" w:hAnsi="宋体" w:cs="宋体"/>
                <w:color w:val="000000"/>
                <w:spacing w:val="-12"/>
                <w:kern w:val="0"/>
                <w:szCs w:val="21"/>
              </w:rPr>
              <w:t>软件和信息技术服</w:t>
            </w:r>
            <w:r>
              <w:rPr>
                <w:rFonts w:hint="eastAsia" w:ascii="宋体" w:hAnsi="宋体" w:cs="宋体"/>
                <w:color w:val="000000"/>
                <w:kern w:val="0"/>
                <w:szCs w:val="21"/>
              </w:rPr>
              <w:t>务业</w:t>
            </w:r>
          </w:p>
        </w:tc>
        <w:tc>
          <w:tcPr>
            <w:tcW w:w="740" w:type="pct"/>
            <w:vAlign w:val="center"/>
          </w:tcPr>
          <w:p w14:paraId="676248AA">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408A8CC1">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1E46B0A4">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18F345F8">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vAlign w:val="center"/>
          </w:tcPr>
          <w:p w14:paraId="47CFEC06">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0E9E6D1C">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7668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39D24D8F">
            <w:pPr>
              <w:widowControl/>
              <w:jc w:val="left"/>
              <w:rPr>
                <w:rFonts w:ascii="宋体" w:hAnsi="宋体" w:cs="宋体"/>
                <w:color w:val="000000"/>
                <w:spacing w:val="-12"/>
                <w:kern w:val="0"/>
                <w:szCs w:val="21"/>
              </w:rPr>
            </w:pPr>
          </w:p>
        </w:tc>
        <w:tc>
          <w:tcPr>
            <w:tcW w:w="740" w:type="pct"/>
            <w:vAlign w:val="center"/>
          </w:tcPr>
          <w:p w14:paraId="53F6377F">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27BBE718">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6E9D4308">
            <w:pPr>
              <w:widowControl/>
              <w:jc w:val="center"/>
              <w:rPr>
                <w:rFonts w:ascii="宋体" w:hAnsi="宋体" w:cs="宋体"/>
                <w:color w:val="000000"/>
                <w:kern w:val="0"/>
                <w:szCs w:val="21"/>
              </w:rPr>
            </w:pPr>
            <w:r>
              <w:rPr>
                <w:rFonts w:hint="eastAsia" w:ascii="宋体" w:hAnsi="宋体" w:cs="宋体"/>
                <w:color w:val="000000"/>
                <w:kern w:val="0"/>
                <w:szCs w:val="21"/>
              </w:rPr>
              <w:t>Y≥10000</w:t>
            </w:r>
          </w:p>
        </w:tc>
        <w:tc>
          <w:tcPr>
            <w:tcW w:w="986" w:type="pct"/>
            <w:vAlign w:val="center"/>
          </w:tcPr>
          <w:p w14:paraId="22217668">
            <w:pPr>
              <w:widowControl/>
              <w:jc w:val="center"/>
              <w:rPr>
                <w:rFonts w:ascii="宋体" w:hAnsi="宋体" w:cs="宋体"/>
                <w:color w:val="000000"/>
                <w:kern w:val="0"/>
                <w:szCs w:val="21"/>
              </w:rPr>
            </w:pPr>
            <w:r>
              <w:rPr>
                <w:rFonts w:hint="eastAsia" w:ascii="宋体" w:hAnsi="宋体" w:cs="宋体"/>
                <w:color w:val="000000"/>
                <w:kern w:val="0"/>
                <w:szCs w:val="21"/>
              </w:rPr>
              <w:t>1000≤Y＜10000</w:t>
            </w:r>
          </w:p>
        </w:tc>
        <w:tc>
          <w:tcPr>
            <w:tcW w:w="889" w:type="pct"/>
            <w:vAlign w:val="center"/>
          </w:tcPr>
          <w:p w14:paraId="78C827DA">
            <w:pPr>
              <w:widowControl/>
              <w:jc w:val="center"/>
              <w:rPr>
                <w:rFonts w:ascii="宋体" w:hAnsi="宋体" w:cs="宋体"/>
                <w:color w:val="000000"/>
                <w:kern w:val="0"/>
                <w:szCs w:val="21"/>
              </w:rPr>
            </w:pPr>
            <w:r>
              <w:rPr>
                <w:rFonts w:hint="eastAsia" w:ascii="宋体" w:hAnsi="宋体" w:cs="宋体"/>
                <w:color w:val="000000"/>
                <w:kern w:val="0"/>
                <w:szCs w:val="21"/>
              </w:rPr>
              <w:t xml:space="preserve">  50≤Y＜1000</w:t>
            </w:r>
          </w:p>
        </w:tc>
        <w:tc>
          <w:tcPr>
            <w:tcW w:w="535" w:type="pct"/>
            <w:vAlign w:val="center"/>
          </w:tcPr>
          <w:p w14:paraId="31ADDF9D">
            <w:pPr>
              <w:widowControl/>
              <w:jc w:val="center"/>
              <w:rPr>
                <w:rFonts w:ascii="宋体" w:hAnsi="宋体" w:cs="宋体"/>
                <w:color w:val="000000"/>
                <w:kern w:val="0"/>
                <w:szCs w:val="21"/>
              </w:rPr>
            </w:pPr>
            <w:r>
              <w:rPr>
                <w:rFonts w:hint="eastAsia" w:ascii="宋体" w:hAnsi="宋体" w:cs="宋体"/>
                <w:color w:val="000000"/>
                <w:kern w:val="0"/>
                <w:szCs w:val="21"/>
              </w:rPr>
              <w:t>Y＜50</w:t>
            </w:r>
          </w:p>
        </w:tc>
      </w:tr>
      <w:tr w14:paraId="41AD1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1E8FD141">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房地产开发经营</w:t>
            </w:r>
          </w:p>
        </w:tc>
        <w:tc>
          <w:tcPr>
            <w:tcW w:w="740" w:type="pct"/>
            <w:vAlign w:val="center"/>
          </w:tcPr>
          <w:p w14:paraId="0E5B7878">
            <w:pPr>
              <w:widowControl/>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66293C81">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57030172">
            <w:pPr>
              <w:widowControl/>
              <w:jc w:val="center"/>
              <w:rPr>
                <w:rFonts w:ascii="宋体" w:hAnsi="宋体" w:cs="宋体"/>
                <w:color w:val="000000"/>
                <w:kern w:val="0"/>
                <w:szCs w:val="21"/>
              </w:rPr>
            </w:pPr>
            <w:r>
              <w:rPr>
                <w:rFonts w:hint="eastAsia" w:ascii="宋体" w:hAnsi="宋体" w:cs="宋体"/>
                <w:color w:val="000000"/>
                <w:kern w:val="0"/>
                <w:szCs w:val="21"/>
              </w:rPr>
              <w:t>Y≥200000</w:t>
            </w:r>
          </w:p>
        </w:tc>
        <w:tc>
          <w:tcPr>
            <w:tcW w:w="986" w:type="pct"/>
            <w:vAlign w:val="center"/>
          </w:tcPr>
          <w:p w14:paraId="295B516D">
            <w:pPr>
              <w:widowControl/>
              <w:jc w:val="center"/>
              <w:rPr>
                <w:rFonts w:ascii="宋体" w:hAnsi="宋体" w:cs="宋体"/>
                <w:color w:val="000000"/>
                <w:kern w:val="0"/>
                <w:szCs w:val="21"/>
              </w:rPr>
            </w:pPr>
            <w:r>
              <w:rPr>
                <w:rFonts w:hint="eastAsia" w:ascii="宋体" w:hAnsi="宋体" w:cs="宋体"/>
                <w:color w:val="000000"/>
                <w:kern w:val="0"/>
                <w:szCs w:val="21"/>
              </w:rPr>
              <w:t xml:space="preserve"> 1000≤Y＜200000</w:t>
            </w:r>
          </w:p>
        </w:tc>
        <w:tc>
          <w:tcPr>
            <w:tcW w:w="889" w:type="pct"/>
            <w:vAlign w:val="center"/>
          </w:tcPr>
          <w:p w14:paraId="2F4F825D">
            <w:pPr>
              <w:widowControl/>
              <w:jc w:val="center"/>
              <w:rPr>
                <w:rFonts w:ascii="宋体" w:hAnsi="宋体" w:cs="宋体"/>
                <w:color w:val="000000"/>
                <w:kern w:val="0"/>
                <w:szCs w:val="21"/>
              </w:rPr>
            </w:pPr>
            <w:r>
              <w:rPr>
                <w:rFonts w:hint="eastAsia" w:ascii="宋体" w:hAnsi="宋体" w:cs="宋体"/>
                <w:color w:val="000000"/>
                <w:kern w:val="0"/>
                <w:szCs w:val="21"/>
              </w:rPr>
              <w:t xml:space="preserve"> 100≤Y＜1000</w:t>
            </w:r>
          </w:p>
        </w:tc>
        <w:tc>
          <w:tcPr>
            <w:tcW w:w="535" w:type="pct"/>
            <w:vAlign w:val="center"/>
          </w:tcPr>
          <w:p w14:paraId="1848F35E">
            <w:pPr>
              <w:widowControl/>
              <w:jc w:val="center"/>
              <w:rPr>
                <w:rFonts w:ascii="宋体" w:hAnsi="宋体" w:cs="宋体"/>
                <w:color w:val="000000"/>
                <w:kern w:val="0"/>
                <w:szCs w:val="21"/>
              </w:rPr>
            </w:pPr>
            <w:r>
              <w:rPr>
                <w:rFonts w:hint="eastAsia" w:ascii="宋体" w:hAnsi="宋体" w:cs="宋体"/>
                <w:color w:val="000000"/>
                <w:kern w:val="0"/>
                <w:szCs w:val="21"/>
              </w:rPr>
              <w:t>Y＜100</w:t>
            </w:r>
          </w:p>
        </w:tc>
      </w:tr>
      <w:tr w14:paraId="01C81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985C33A">
            <w:pPr>
              <w:widowControl/>
              <w:jc w:val="left"/>
              <w:rPr>
                <w:rFonts w:ascii="宋体" w:hAnsi="宋体" w:cs="宋体"/>
                <w:color w:val="000000"/>
                <w:kern w:val="0"/>
                <w:szCs w:val="21"/>
              </w:rPr>
            </w:pPr>
          </w:p>
        </w:tc>
        <w:tc>
          <w:tcPr>
            <w:tcW w:w="740" w:type="pct"/>
            <w:vAlign w:val="center"/>
          </w:tcPr>
          <w:p w14:paraId="0B9F51BA">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vAlign w:val="center"/>
          </w:tcPr>
          <w:p w14:paraId="7A0F153F">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2FAF196F">
            <w:pPr>
              <w:widowControl/>
              <w:jc w:val="center"/>
              <w:rPr>
                <w:rFonts w:ascii="宋体" w:hAnsi="宋体" w:cs="宋体"/>
                <w:color w:val="000000"/>
                <w:kern w:val="0"/>
                <w:szCs w:val="21"/>
              </w:rPr>
            </w:pPr>
            <w:r>
              <w:rPr>
                <w:rFonts w:hint="eastAsia" w:ascii="宋体" w:hAnsi="宋体" w:cs="宋体"/>
                <w:color w:val="000000"/>
                <w:kern w:val="0"/>
                <w:szCs w:val="21"/>
              </w:rPr>
              <w:t>Z≥10000</w:t>
            </w:r>
          </w:p>
        </w:tc>
        <w:tc>
          <w:tcPr>
            <w:tcW w:w="986" w:type="pct"/>
            <w:vAlign w:val="center"/>
          </w:tcPr>
          <w:p w14:paraId="6B6F816D">
            <w:pPr>
              <w:widowControl/>
              <w:jc w:val="center"/>
              <w:rPr>
                <w:rFonts w:ascii="宋体" w:hAnsi="宋体" w:cs="宋体"/>
                <w:color w:val="000000"/>
                <w:kern w:val="0"/>
                <w:szCs w:val="21"/>
              </w:rPr>
            </w:pPr>
            <w:r>
              <w:rPr>
                <w:rFonts w:hint="eastAsia" w:ascii="宋体" w:hAnsi="宋体" w:cs="宋体"/>
                <w:color w:val="000000"/>
                <w:kern w:val="0"/>
                <w:szCs w:val="21"/>
              </w:rPr>
              <w:t>5000≤Z＜10000</w:t>
            </w:r>
          </w:p>
        </w:tc>
        <w:tc>
          <w:tcPr>
            <w:tcW w:w="889" w:type="pct"/>
            <w:vAlign w:val="center"/>
          </w:tcPr>
          <w:p w14:paraId="2FC52517">
            <w:pPr>
              <w:widowControl/>
              <w:jc w:val="center"/>
              <w:rPr>
                <w:rFonts w:ascii="宋体" w:hAnsi="宋体" w:cs="宋体"/>
                <w:color w:val="000000"/>
                <w:kern w:val="0"/>
                <w:szCs w:val="21"/>
              </w:rPr>
            </w:pPr>
            <w:r>
              <w:rPr>
                <w:rFonts w:hint="eastAsia" w:ascii="宋体" w:hAnsi="宋体" w:cs="宋体"/>
                <w:color w:val="000000"/>
                <w:kern w:val="0"/>
                <w:szCs w:val="21"/>
              </w:rPr>
              <w:t xml:space="preserve">2000≤Z＜5000   </w:t>
            </w:r>
          </w:p>
        </w:tc>
        <w:tc>
          <w:tcPr>
            <w:tcW w:w="535" w:type="pct"/>
            <w:vAlign w:val="center"/>
          </w:tcPr>
          <w:p w14:paraId="392CABD0">
            <w:pPr>
              <w:widowControl/>
              <w:jc w:val="center"/>
              <w:rPr>
                <w:rFonts w:ascii="宋体" w:hAnsi="宋体" w:cs="宋体"/>
                <w:color w:val="000000"/>
                <w:kern w:val="0"/>
                <w:szCs w:val="21"/>
              </w:rPr>
            </w:pPr>
            <w:r>
              <w:rPr>
                <w:rFonts w:hint="eastAsia" w:ascii="宋体" w:hAnsi="宋体" w:cs="宋体"/>
                <w:color w:val="000000"/>
                <w:kern w:val="0"/>
                <w:szCs w:val="21"/>
              </w:rPr>
              <w:t>Z＜2000</w:t>
            </w:r>
          </w:p>
        </w:tc>
      </w:tr>
      <w:tr w14:paraId="6DC99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74210C7F">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物业管理</w:t>
            </w:r>
          </w:p>
        </w:tc>
        <w:tc>
          <w:tcPr>
            <w:tcW w:w="740" w:type="pct"/>
            <w:vAlign w:val="center"/>
          </w:tcPr>
          <w:p w14:paraId="32E94E8A">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3B76CBFD">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577C8A2A">
            <w:pPr>
              <w:widowControl/>
              <w:jc w:val="center"/>
              <w:rPr>
                <w:rFonts w:ascii="宋体" w:hAnsi="宋体" w:cs="宋体"/>
                <w:color w:val="000000"/>
                <w:kern w:val="0"/>
                <w:szCs w:val="21"/>
              </w:rPr>
            </w:pPr>
            <w:r>
              <w:rPr>
                <w:rFonts w:hint="eastAsia" w:ascii="宋体" w:hAnsi="宋体" w:cs="宋体"/>
                <w:color w:val="000000"/>
                <w:kern w:val="0"/>
                <w:szCs w:val="21"/>
              </w:rPr>
              <w:t>X≥1000</w:t>
            </w:r>
          </w:p>
        </w:tc>
        <w:tc>
          <w:tcPr>
            <w:tcW w:w="986" w:type="pct"/>
            <w:vAlign w:val="center"/>
          </w:tcPr>
          <w:p w14:paraId="5FCD649E">
            <w:pPr>
              <w:widowControl/>
              <w:jc w:val="center"/>
              <w:rPr>
                <w:rFonts w:ascii="宋体" w:hAnsi="宋体" w:cs="宋体"/>
                <w:color w:val="000000"/>
                <w:kern w:val="0"/>
                <w:szCs w:val="21"/>
              </w:rPr>
            </w:pPr>
            <w:r>
              <w:rPr>
                <w:rFonts w:hint="eastAsia" w:ascii="宋体" w:hAnsi="宋体" w:cs="宋体"/>
                <w:color w:val="000000"/>
                <w:kern w:val="0"/>
                <w:szCs w:val="21"/>
              </w:rPr>
              <w:t>300≤X＜1000</w:t>
            </w:r>
          </w:p>
        </w:tc>
        <w:tc>
          <w:tcPr>
            <w:tcW w:w="889" w:type="pct"/>
            <w:vAlign w:val="center"/>
          </w:tcPr>
          <w:p w14:paraId="6599E8CC">
            <w:pPr>
              <w:widowControl/>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535" w:type="pct"/>
            <w:vAlign w:val="center"/>
          </w:tcPr>
          <w:p w14:paraId="5C84CD6C">
            <w:pPr>
              <w:widowControl/>
              <w:jc w:val="center"/>
              <w:rPr>
                <w:rFonts w:ascii="宋体" w:hAnsi="宋体" w:cs="宋体"/>
                <w:color w:val="000000"/>
                <w:kern w:val="0"/>
                <w:szCs w:val="21"/>
              </w:rPr>
            </w:pPr>
            <w:r>
              <w:rPr>
                <w:rFonts w:hint="eastAsia" w:ascii="宋体" w:hAnsi="宋体" w:cs="宋体"/>
                <w:color w:val="000000"/>
                <w:kern w:val="0"/>
                <w:szCs w:val="21"/>
              </w:rPr>
              <w:t>X＜100</w:t>
            </w:r>
          </w:p>
        </w:tc>
      </w:tr>
      <w:tr w14:paraId="0D73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69B1E07D">
            <w:pPr>
              <w:widowControl/>
              <w:jc w:val="left"/>
              <w:rPr>
                <w:rFonts w:ascii="宋体" w:hAnsi="宋体" w:cs="宋体"/>
                <w:color w:val="000000"/>
                <w:kern w:val="0"/>
                <w:szCs w:val="21"/>
              </w:rPr>
            </w:pPr>
          </w:p>
        </w:tc>
        <w:tc>
          <w:tcPr>
            <w:tcW w:w="740" w:type="pct"/>
            <w:vAlign w:val="center"/>
          </w:tcPr>
          <w:p w14:paraId="67FE1C5C">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营业收入(Y)</w:t>
            </w:r>
          </w:p>
        </w:tc>
        <w:tc>
          <w:tcPr>
            <w:tcW w:w="384" w:type="pct"/>
            <w:vAlign w:val="center"/>
          </w:tcPr>
          <w:p w14:paraId="1A92E66B">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109E470E">
            <w:pPr>
              <w:widowControl/>
              <w:jc w:val="center"/>
              <w:rPr>
                <w:rFonts w:ascii="宋体" w:hAnsi="宋体" w:cs="宋体"/>
                <w:color w:val="000000"/>
                <w:kern w:val="0"/>
                <w:szCs w:val="21"/>
              </w:rPr>
            </w:pPr>
            <w:r>
              <w:rPr>
                <w:rFonts w:hint="eastAsia" w:ascii="宋体" w:hAnsi="宋体" w:cs="宋体"/>
                <w:color w:val="000000"/>
                <w:kern w:val="0"/>
                <w:szCs w:val="21"/>
              </w:rPr>
              <w:t>Y≥5000</w:t>
            </w:r>
          </w:p>
        </w:tc>
        <w:tc>
          <w:tcPr>
            <w:tcW w:w="986" w:type="pct"/>
            <w:vAlign w:val="center"/>
          </w:tcPr>
          <w:p w14:paraId="23188FB2">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1000≤Y＜5000 </w:t>
            </w:r>
          </w:p>
        </w:tc>
        <w:tc>
          <w:tcPr>
            <w:tcW w:w="889" w:type="pct"/>
            <w:vAlign w:val="center"/>
          </w:tcPr>
          <w:p w14:paraId="004D6E91">
            <w:pPr>
              <w:widowControl/>
              <w:jc w:val="center"/>
              <w:rPr>
                <w:rFonts w:ascii="宋体" w:hAnsi="宋体" w:cs="宋体"/>
                <w:color w:val="000000"/>
                <w:kern w:val="0"/>
                <w:szCs w:val="21"/>
              </w:rPr>
            </w:pPr>
            <w:r>
              <w:rPr>
                <w:rFonts w:hint="eastAsia" w:ascii="宋体" w:hAnsi="宋体" w:cs="宋体"/>
                <w:color w:val="000000"/>
                <w:kern w:val="0"/>
                <w:szCs w:val="21"/>
              </w:rPr>
              <w:t xml:space="preserve"> 500≤Y＜1000</w:t>
            </w:r>
          </w:p>
        </w:tc>
        <w:tc>
          <w:tcPr>
            <w:tcW w:w="535" w:type="pct"/>
            <w:vAlign w:val="center"/>
          </w:tcPr>
          <w:p w14:paraId="35976E6B">
            <w:pPr>
              <w:widowControl/>
              <w:jc w:val="center"/>
              <w:rPr>
                <w:rFonts w:ascii="宋体" w:hAnsi="宋体" w:cs="宋体"/>
                <w:color w:val="000000"/>
                <w:kern w:val="0"/>
                <w:szCs w:val="21"/>
              </w:rPr>
            </w:pPr>
            <w:r>
              <w:rPr>
                <w:rFonts w:hint="eastAsia" w:ascii="宋体" w:hAnsi="宋体" w:cs="宋体"/>
                <w:color w:val="000000"/>
                <w:kern w:val="0"/>
                <w:szCs w:val="21"/>
              </w:rPr>
              <w:t>Y＜500</w:t>
            </w:r>
          </w:p>
        </w:tc>
      </w:tr>
      <w:tr w14:paraId="52D0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14:paraId="2E6AB3E7">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租赁和商务服务业</w:t>
            </w:r>
          </w:p>
        </w:tc>
        <w:tc>
          <w:tcPr>
            <w:tcW w:w="740" w:type="pct"/>
            <w:vAlign w:val="center"/>
          </w:tcPr>
          <w:p w14:paraId="4E847B4F">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4B7B7019">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59884639">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5BFADC10">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vAlign w:val="center"/>
          </w:tcPr>
          <w:p w14:paraId="41D9261B">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4297C0E9">
            <w:pPr>
              <w:widowControl/>
              <w:jc w:val="center"/>
              <w:rPr>
                <w:rFonts w:ascii="宋体" w:hAnsi="宋体" w:cs="宋体"/>
                <w:color w:val="000000"/>
                <w:kern w:val="0"/>
                <w:szCs w:val="21"/>
              </w:rPr>
            </w:pPr>
            <w:r>
              <w:rPr>
                <w:rFonts w:hint="eastAsia" w:ascii="宋体" w:hAnsi="宋体" w:cs="宋体"/>
                <w:color w:val="000000"/>
                <w:kern w:val="0"/>
                <w:szCs w:val="21"/>
              </w:rPr>
              <w:t>X＜10</w:t>
            </w:r>
          </w:p>
        </w:tc>
      </w:tr>
      <w:tr w14:paraId="7DC24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14:paraId="241B5EDC">
            <w:pPr>
              <w:widowControl/>
              <w:jc w:val="left"/>
              <w:rPr>
                <w:rFonts w:ascii="宋体" w:hAnsi="宋体" w:cs="宋体"/>
                <w:color w:val="000000"/>
                <w:kern w:val="0"/>
                <w:szCs w:val="21"/>
              </w:rPr>
            </w:pPr>
          </w:p>
        </w:tc>
        <w:tc>
          <w:tcPr>
            <w:tcW w:w="740" w:type="pct"/>
            <w:vAlign w:val="center"/>
          </w:tcPr>
          <w:p w14:paraId="4912E1BB">
            <w:pPr>
              <w:widowControl/>
              <w:spacing w:line="240" w:lineRule="exact"/>
              <w:jc w:val="center"/>
              <w:rPr>
                <w:rFonts w:ascii="宋体" w:hAnsi="宋体" w:cs="宋体"/>
                <w:color w:val="000000"/>
                <w:kern w:val="0"/>
                <w:szCs w:val="21"/>
              </w:rPr>
            </w:pPr>
            <w:r>
              <w:rPr>
                <w:rFonts w:hint="eastAsia" w:ascii="宋体" w:hAnsi="宋体" w:cs="宋体"/>
                <w:color w:val="000000"/>
                <w:kern w:val="0"/>
                <w:szCs w:val="21"/>
              </w:rPr>
              <w:t>资产总额(Z)</w:t>
            </w:r>
          </w:p>
        </w:tc>
        <w:tc>
          <w:tcPr>
            <w:tcW w:w="384" w:type="pct"/>
            <w:vAlign w:val="center"/>
          </w:tcPr>
          <w:p w14:paraId="746AAB88">
            <w:pPr>
              <w:widowControl/>
              <w:jc w:val="center"/>
              <w:rPr>
                <w:rFonts w:ascii="宋体" w:hAnsi="宋体" w:cs="宋体"/>
                <w:color w:val="000000"/>
                <w:kern w:val="0"/>
                <w:szCs w:val="21"/>
              </w:rPr>
            </w:pPr>
            <w:r>
              <w:rPr>
                <w:rFonts w:hint="eastAsia" w:ascii="宋体" w:hAnsi="宋体" w:cs="宋体"/>
                <w:color w:val="000000"/>
                <w:kern w:val="0"/>
                <w:szCs w:val="21"/>
              </w:rPr>
              <w:t>万元</w:t>
            </w:r>
          </w:p>
        </w:tc>
        <w:tc>
          <w:tcPr>
            <w:tcW w:w="611" w:type="pct"/>
            <w:vAlign w:val="center"/>
          </w:tcPr>
          <w:p w14:paraId="3B437020">
            <w:pPr>
              <w:widowControl/>
              <w:jc w:val="center"/>
              <w:rPr>
                <w:rFonts w:ascii="宋体" w:hAnsi="宋体" w:cs="宋体"/>
                <w:color w:val="000000"/>
                <w:kern w:val="0"/>
                <w:szCs w:val="21"/>
              </w:rPr>
            </w:pPr>
            <w:r>
              <w:rPr>
                <w:rFonts w:hint="eastAsia" w:ascii="宋体" w:hAnsi="宋体" w:cs="宋体"/>
                <w:color w:val="000000"/>
                <w:kern w:val="0"/>
                <w:szCs w:val="21"/>
              </w:rPr>
              <w:t>Z≥120000</w:t>
            </w:r>
          </w:p>
        </w:tc>
        <w:tc>
          <w:tcPr>
            <w:tcW w:w="986" w:type="pct"/>
            <w:vAlign w:val="center"/>
          </w:tcPr>
          <w:p w14:paraId="25314EDF">
            <w:pPr>
              <w:widowControl/>
              <w:jc w:val="center"/>
              <w:rPr>
                <w:rFonts w:ascii="宋体" w:hAnsi="宋体" w:cs="宋体"/>
                <w:color w:val="000000"/>
                <w:kern w:val="0"/>
                <w:szCs w:val="21"/>
              </w:rPr>
            </w:pPr>
            <w:r>
              <w:rPr>
                <w:rFonts w:hint="eastAsia" w:ascii="宋体" w:hAnsi="宋体" w:cs="宋体"/>
                <w:color w:val="000000"/>
                <w:kern w:val="0"/>
                <w:szCs w:val="21"/>
              </w:rPr>
              <w:t xml:space="preserve"> 8000≤Z＜120000</w:t>
            </w:r>
          </w:p>
        </w:tc>
        <w:tc>
          <w:tcPr>
            <w:tcW w:w="889" w:type="pct"/>
            <w:vAlign w:val="center"/>
          </w:tcPr>
          <w:p w14:paraId="6FAB9348">
            <w:pPr>
              <w:widowControl/>
              <w:jc w:val="center"/>
              <w:rPr>
                <w:rFonts w:ascii="宋体" w:hAnsi="宋体" w:cs="宋体"/>
                <w:color w:val="000000"/>
                <w:kern w:val="0"/>
                <w:szCs w:val="21"/>
              </w:rPr>
            </w:pPr>
            <w:r>
              <w:rPr>
                <w:rFonts w:hint="eastAsia" w:ascii="宋体" w:hAnsi="宋体" w:cs="宋体"/>
                <w:color w:val="000000"/>
                <w:kern w:val="0"/>
                <w:szCs w:val="21"/>
              </w:rPr>
              <w:t xml:space="preserve"> 100≤Z＜8000</w:t>
            </w:r>
          </w:p>
        </w:tc>
        <w:tc>
          <w:tcPr>
            <w:tcW w:w="535" w:type="pct"/>
            <w:vAlign w:val="center"/>
          </w:tcPr>
          <w:p w14:paraId="243E1BEE">
            <w:pPr>
              <w:widowControl/>
              <w:jc w:val="center"/>
              <w:rPr>
                <w:rFonts w:ascii="宋体" w:hAnsi="宋体" w:cs="宋体"/>
                <w:color w:val="000000"/>
                <w:kern w:val="0"/>
                <w:szCs w:val="21"/>
              </w:rPr>
            </w:pPr>
            <w:r>
              <w:rPr>
                <w:rFonts w:hint="eastAsia" w:ascii="宋体" w:hAnsi="宋体" w:cs="宋体"/>
                <w:color w:val="000000"/>
                <w:kern w:val="0"/>
                <w:szCs w:val="21"/>
              </w:rPr>
              <w:t>Z＜100</w:t>
            </w:r>
          </w:p>
        </w:tc>
      </w:tr>
      <w:tr w14:paraId="7690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Align w:val="center"/>
          </w:tcPr>
          <w:p w14:paraId="2216CD40">
            <w:pPr>
              <w:widowControl/>
              <w:spacing w:line="240" w:lineRule="exact"/>
              <w:jc w:val="left"/>
              <w:rPr>
                <w:rFonts w:ascii="宋体" w:hAnsi="宋体" w:cs="宋体"/>
                <w:color w:val="000000"/>
                <w:kern w:val="0"/>
                <w:szCs w:val="21"/>
              </w:rPr>
            </w:pPr>
            <w:r>
              <w:rPr>
                <w:rFonts w:hint="eastAsia" w:ascii="宋体" w:hAnsi="宋体" w:cs="宋体"/>
                <w:color w:val="000000"/>
                <w:kern w:val="0"/>
                <w:szCs w:val="21"/>
              </w:rPr>
              <w:t>其他未列明行业 *</w:t>
            </w:r>
          </w:p>
        </w:tc>
        <w:tc>
          <w:tcPr>
            <w:tcW w:w="740" w:type="pct"/>
            <w:vAlign w:val="center"/>
          </w:tcPr>
          <w:p w14:paraId="5FCCE24B">
            <w:pPr>
              <w:widowControl/>
              <w:jc w:val="center"/>
              <w:rPr>
                <w:rFonts w:ascii="宋体" w:hAnsi="宋体" w:cs="宋体"/>
                <w:color w:val="000000"/>
                <w:kern w:val="0"/>
                <w:szCs w:val="21"/>
              </w:rPr>
            </w:pPr>
            <w:r>
              <w:rPr>
                <w:rFonts w:hint="eastAsia" w:ascii="宋体" w:hAnsi="宋体" w:cs="宋体"/>
                <w:color w:val="000000"/>
                <w:kern w:val="0"/>
                <w:szCs w:val="21"/>
              </w:rPr>
              <w:t>从业人员(X)</w:t>
            </w:r>
          </w:p>
        </w:tc>
        <w:tc>
          <w:tcPr>
            <w:tcW w:w="384" w:type="pct"/>
            <w:vAlign w:val="center"/>
          </w:tcPr>
          <w:p w14:paraId="5212537A">
            <w:pPr>
              <w:widowControl/>
              <w:jc w:val="center"/>
              <w:rPr>
                <w:rFonts w:ascii="宋体" w:hAnsi="宋体" w:cs="宋体"/>
                <w:color w:val="000000"/>
                <w:kern w:val="0"/>
                <w:szCs w:val="21"/>
              </w:rPr>
            </w:pPr>
            <w:r>
              <w:rPr>
                <w:rFonts w:hint="eastAsia" w:ascii="宋体" w:hAnsi="宋体" w:cs="宋体"/>
                <w:color w:val="000000"/>
                <w:kern w:val="0"/>
                <w:szCs w:val="21"/>
              </w:rPr>
              <w:t>人</w:t>
            </w:r>
          </w:p>
        </w:tc>
        <w:tc>
          <w:tcPr>
            <w:tcW w:w="611" w:type="pct"/>
            <w:vAlign w:val="center"/>
          </w:tcPr>
          <w:p w14:paraId="24194F4E">
            <w:pPr>
              <w:widowControl/>
              <w:jc w:val="center"/>
              <w:rPr>
                <w:rFonts w:ascii="宋体" w:hAnsi="宋体" w:cs="宋体"/>
                <w:color w:val="000000"/>
                <w:kern w:val="0"/>
                <w:szCs w:val="21"/>
              </w:rPr>
            </w:pPr>
            <w:r>
              <w:rPr>
                <w:rFonts w:hint="eastAsia" w:ascii="宋体" w:hAnsi="宋体" w:cs="宋体"/>
                <w:color w:val="000000"/>
                <w:kern w:val="0"/>
                <w:szCs w:val="21"/>
              </w:rPr>
              <w:t>X≥300</w:t>
            </w:r>
          </w:p>
        </w:tc>
        <w:tc>
          <w:tcPr>
            <w:tcW w:w="986" w:type="pct"/>
            <w:vAlign w:val="center"/>
          </w:tcPr>
          <w:p w14:paraId="7A0430F5">
            <w:pPr>
              <w:widowControl/>
              <w:ind w:left="19" w:leftChars="-51" w:hanging="126" w:hangingChars="60"/>
              <w:jc w:val="center"/>
              <w:rPr>
                <w:rFonts w:ascii="宋体" w:hAnsi="宋体" w:cs="宋体"/>
                <w:color w:val="000000"/>
                <w:kern w:val="0"/>
                <w:szCs w:val="21"/>
              </w:rPr>
            </w:pPr>
            <w:r>
              <w:rPr>
                <w:rFonts w:hint="eastAsia" w:ascii="宋体" w:hAnsi="宋体" w:cs="宋体"/>
                <w:color w:val="000000"/>
                <w:kern w:val="0"/>
                <w:szCs w:val="21"/>
              </w:rPr>
              <w:t xml:space="preserve">100≤X＜300 </w:t>
            </w:r>
          </w:p>
        </w:tc>
        <w:tc>
          <w:tcPr>
            <w:tcW w:w="889" w:type="pct"/>
            <w:vAlign w:val="center"/>
          </w:tcPr>
          <w:p w14:paraId="0DD72E1A">
            <w:pPr>
              <w:widowControl/>
              <w:jc w:val="center"/>
              <w:rPr>
                <w:rFonts w:ascii="宋体" w:hAnsi="宋体" w:cs="宋体"/>
                <w:color w:val="000000"/>
                <w:kern w:val="0"/>
                <w:szCs w:val="21"/>
              </w:rPr>
            </w:pPr>
            <w:r>
              <w:rPr>
                <w:rFonts w:hint="eastAsia" w:ascii="宋体" w:hAnsi="宋体" w:cs="宋体"/>
                <w:color w:val="000000"/>
                <w:kern w:val="0"/>
                <w:szCs w:val="21"/>
              </w:rPr>
              <w:t xml:space="preserve"> 10≤X＜100</w:t>
            </w:r>
          </w:p>
        </w:tc>
        <w:tc>
          <w:tcPr>
            <w:tcW w:w="535" w:type="pct"/>
            <w:vAlign w:val="center"/>
          </w:tcPr>
          <w:p w14:paraId="1310621B">
            <w:pPr>
              <w:widowControl/>
              <w:jc w:val="center"/>
              <w:rPr>
                <w:rFonts w:ascii="宋体" w:hAnsi="宋体" w:cs="宋体"/>
                <w:color w:val="000000"/>
                <w:kern w:val="0"/>
                <w:szCs w:val="21"/>
              </w:rPr>
            </w:pPr>
            <w:r>
              <w:rPr>
                <w:rFonts w:hint="eastAsia" w:ascii="宋体" w:hAnsi="宋体" w:cs="宋体"/>
                <w:color w:val="000000"/>
                <w:kern w:val="0"/>
                <w:szCs w:val="21"/>
              </w:rPr>
              <w:t>X＜10</w:t>
            </w:r>
          </w:p>
        </w:tc>
      </w:tr>
    </w:tbl>
    <w:p w14:paraId="1C64A42F">
      <w:pPr>
        <w:widowControl/>
        <w:spacing w:line="360" w:lineRule="auto"/>
        <w:ind w:firstLine="452" w:firstLineChars="200"/>
        <w:rPr>
          <w:rFonts w:ascii="宋体" w:hAnsi="宋体" w:cs="宋体"/>
          <w:color w:val="000000"/>
          <w:spacing w:val="8"/>
          <w:kern w:val="0"/>
          <w:szCs w:val="21"/>
        </w:rPr>
      </w:pPr>
    </w:p>
    <w:p w14:paraId="5BFB5A31">
      <w:pPr>
        <w:widowControl/>
        <w:spacing w:line="360" w:lineRule="auto"/>
        <w:rPr>
          <w:rFonts w:ascii="宋体" w:hAnsi="宋体" w:cs="宋体"/>
          <w:color w:val="000000"/>
          <w:spacing w:val="8"/>
          <w:kern w:val="0"/>
          <w:szCs w:val="21"/>
        </w:rPr>
      </w:pPr>
      <w:r>
        <w:rPr>
          <w:rFonts w:hint="eastAsia" w:ascii="宋体" w:hAnsi="宋体" w:cs="宋体"/>
          <w:color w:val="000000"/>
          <w:spacing w:val="8"/>
          <w:kern w:val="0"/>
          <w:szCs w:val="21"/>
        </w:rPr>
        <w:t>说明：</w:t>
      </w:r>
    </w:p>
    <w:p w14:paraId="54BFEFB4">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1.</w:t>
      </w:r>
      <w:r>
        <w:rPr>
          <w:rFonts w:hint="eastAsia" w:ascii="宋体" w:hAnsi="宋体" w:cs="宋体"/>
          <w:color w:val="000000"/>
          <w:spacing w:val="8"/>
          <w:kern w:val="0"/>
          <w:szCs w:val="21"/>
        </w:rPr>
        <w:t>大型、中型和小型企业须同时满足所列指标的下限，否则下划一档；微型企业只须满足所列指标中的一项即可。</w:t>
      </w:r>
    </w:p>
    <w:p w14:paraId="625BA76D">
      <w:pPr>
        <w:spacing w:line="360" w:lineRule="auto"/>
        <w:ind w:firstLine="452" w:firstLineChars="200"/>
        <w:rPr>
          <w:rFonts w:ascii="宋体" w:hAnsi="宋体" w:cs="宋体"/>
          <w:color w:val="000000"/>
          <w:spacing w:val="8"/>
          <w:kern w:val="0"/>
          <w:szCs w:val="21"/>
        </w:rPr>
      </w:pPr>
      <w:r>
        <w:rPr>
          <w:rFonts w:hint="eastAsia" w:ascii="宋体" w:hAnsi="宋体"/>
          <w:color w:val="000000"/>
          <w:spacing w:val="8"/>
          <w:kern w:val="0"/>
          <w:szCs w:val="21"/>
        </w:rPr>
        <w:t>2.</w:t>
      </w:r>
      <w:r>
        <w:rPr>
          <w:rFonts w:hint="eastAsia" w:ascii="宋体" w:hAnsi="宋体" w:cs="宋体"/>
          <w:color w:val="000000"/>
          <w:spacing w:val="8"/>
          <w:kern w:val="0"/>
          <w:szCs w:val="21"/>
        </w:rPr>
        <w:t>附表中各行业的范围以《国民经济行业分类》（</w:t>
      </w:r>
      <w:r>
        <w:rPr>
          <w:rFonts w:hint="eastAsia" w:ascii="宋体" w:hAnsi="宋体"/>
          <w:color w:val="000000"/>
          <w:spacing w:val="8"/>
          <w:kern w:val="0"/>
          <w:szCs w:val="21"/>
        </w:rPr>
        <w:t>GB/T4754-2017</w:t>
      </w:r>
      <w:r>
        <w:rPr>
          <w:rFonts w:hint="eastAsia" w:ascii="宋体" w:hAnsi="宋体" w:cs="宋体"/>
          <w:color w:val="000000"/>
          <w:spacing w:val="8"/>
          <w:kern w:val="0"/>
          <w:szCs w:val="21"/>
        </w:rPr>
        <w:t>）为准。带</w:t>
      </w:r>
      <w:r>
        <w:rPr>
          <w:rFonts w:hint="eastAsia" w:ascii="宋体" w:hAnsi="宋体"/>
          <w:color w:val="000000"/>
          <w:spacing w:val="8"/>
          <w:kern w:val="0"/>
          <w:szCs w:val="21"/>
        </w:rPr>
        <w:t>*</w:t>
      </w:r>
      <w:r>
        <w:rPr>
          <w:rFonts w:hint="eastAsia" w:ascii="宋体" w:hAnsi="宋体" w:cs="宋体"/>
          <w:color w:val="000000"/>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132F509">
      <w:pPr>
        <w:spacing w:line="360" w:lineRule="auto"/>
        <w:ind w:firstLine="452" w:firstLineChars="200"/>
        <w:rPr>
          <w:rFonts w:ascii="宋体" w:hAnsi="宋体"/>
          <w:color w:val="000000"/>
          <w:szCs w:val="21"/>
        </w:rPr>
      </w:pPr>
      <w:r>
        <w:rPr>
          <w:rFonts w:hint="eastAsia" w:ascii="宋体" w:hAnsi="宋体"/>
          <w:color w:val="000000"/>
          <w:spacing w:val="8"/>
          <w:kern w:val="0"/>
          <w:szCs w:val="21"/>
        </w:rPr>
        <w:t>3.</w:t>
      </w:r>
      <w:r>
        <w:rPr>
          <w:rFonts w:hint="eastAsia" w:ascii="宋体" w:hAnsi="宋体" w:cs="宋体"/>
          <w:color w:val="000000"/>
          <w:spacing w:val="8"/>
          <w:kern w:val="0"/>
          <w:szCs w:val="21"/>
        </w:rPr>
        <w:t>企业划分指标以现行统计制度为准。（</w:t>
      </w:r>
      <w:r>
        <w:rPr>
          <w:rFonts w:hint="eastAsia" w:ascii="宋体" w:hAnsi="宋体"/>
          <w:color w:val="000000"/>
          <w:spacing w:val="8"/>
          <w:kern w:val="0"/>
          <w:szCs w:val="21"/>
        </w:rPr>
        <w:t>1</w:t>
      </w:r>
      <w:r>
        <w:rPr>
          <w:rFonts w:hint="eastAsia" w:ascii="宋体" w:hAnsi="宋体" w:cs="宋体"/>
          <w:color w:val="000000"/>
          <w:spacing w:val="8"/>
          <w:kern w:val="0"/>
          <w:szCs w:val="21"/>
        </w:rPr>
        <w:t>）从业人员，是指期末从业人员数，没有期末从业人员数的，采用全年平均人员数代替。（</w:t>
      </w:r>
      <w:r>
        <w:rPr>
          <w:rFonts w:hint="eastAsia" w:ascii="宋体" w:hAnsi="宋体"/>
          <w:color w:val="000000"/>
          <w:spacing w:val="8"/>
          <w:kern w:val="0"/>
          <w:szCs w:val="21"/>
        </w:rPr>
        <w:t>2</w:t>
      </w:r>
      <w:r>
        <w:rPr>
          <w:rFonts w:hint="eastAsia" w:ascii="宋体" w:hAnsi="宋体" w:cs="宋体"/>
          <w:color w:val="000000"/>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kern w:val="0"/>
          <w:szCs w:val="21"/>
        </w:rPr>
        <w:t>3</w:t>
      </w:r>
      <w:r>
        <w:rPr>
          <w:rFonts w:hint="eastAsia" w:ascii="宋体" w:hAnsi="宋体" w:cs="宋体"/>
          <w:color w:val="000000"/>
          <w:spacing w:val="8"/>
          <w:kern w:val="0"/>
          <w:szCs w:val="21"/>
        </w:rPr>
        <w:t>）资产总额，采用资产总计代替。</w:t>
      </w:r>
    </w:p>
    <w:p w14:paraId="4AEF3E73">
      <w:pPr>
        <w:pStyle w:val="25"/>
      </w:pPr>
    </w:p>
    <w:p w14:paraId="573B9612">
      <w:pPr>
        <w:spacing w:line="276" w:lineRule="auto"/>
        <w:jc w:val="left"/>
        <w:rPr>
          <w:rFonts w:ascii="宋体" w:hAnsi="宋体"/>
          <w:szCs w:val="21"/>
        </w:rPr>
      </w:pPr>
      <w:r>
        <w:rPr>
          <w:rFonts w:hint="eastAsia" w:ascii="宋体" w:hAnsi="宋体"/>
          <w:kern w:val="0"/>
          <w:szCs w:val="21"/>
        </w:rPr>
        <w:br w:type="page"/>
      </w:r>
    </w:p>
    <w:p w14:paraId="23F917A4">
      <w:pPr>
        <w:spacing w:line="276" w:lineRule="auto"/>
        <w:outlineLvl w:val="4"/>
        <w:rPr>
          <w:szCs w:val="21"/>
        </w:rPr>
      </w:pPr>
      <w:bookmarkStart w:id="103" w:name="_Toc494745321"/>
      <w:bookmarkStart w:id="104" w:name="_Toc494702274"/>
      <w:bookmarkStart w:id="105" w:name="_Toc494665004"/>
      <w:bookmarkStart w:id="106" w:name="_Toc494721104"/>
      <w:bookmarkStart w:id="107" w:name="_Toc494665954"/>
      <w:bookmarkStart w:id="108" w:name="_Toc494665557"/>
      <w:r>
        <w:rPr>
          <w:rFonts w:hint="eastAsia" w:ascii="宋体" w:hAnsi="宋体"/>
          <w:szCs w:val="21"/>
        </w:rPr>
        <w:t>附件四</w:t>
      </w:r>
      <w:r>
        <w:rPr>
          <w:rFonts w:ascii="宋体" w:hAnsi="宋体"/>
          <w:szCs w:val="21"/>
        </w:rPr>
        <w:t>：部分资格材料格式要求</w:t>
      </w:r>
      <w:r>
        <w:rPr>
          <w:rFonts w:hint="eastAsia" w:ascii="宋体" w:hAnsi="宋体"/>
          <w:szCs w:val="21"/>
        </w:rPr>
        <w:t>——残疾人福利性单位声明函</w:t>
      </w:r>
      <w:bookmarkEnd w:id="103"/>
      <w:bookmarkEnd w:id="104"/>
      <w:bookmarkEnd w:id="105"/>
      <w:bookmarkEnd w:id="106"/>
      <w:bookmarkEnd w:id="107"/>
      <w:bookmarkEnd w:id="108"/>
      <w:r>
        <w:rPr>
          <w:rFonts w:hint="eastAsia"/>
          <w:szCs w:val="21"/>
        </w:rPr>
        <w:t>（</w:t>
      </w:r>
      <w:r>
        <w:rPr>
          <w:rFonts w:hint="eastAsia"/>
          <w:color w:val="FF0000"/>
          <w:szCs w:val="21"/>
        </w:rPr>
        <w:t>非</w:t>
      </w:r>
      <w:r>
        <w:rPr>
          <w:color w:val="FF0000"/>
          <w:szCs w:val="21"/>
        </w:rPr>
        <w:t>此类企业则无需提供</w:t>
      </w:r>
      <w:r>
        <w:rPr>
          <w:szCs w:val="21"/>
        </w:rPr>
        <w:t>）</w:t>
      </w:r>
    </w:p>
    <w:p w14:paraId="260CC605">
      <w:pPr>
        <w:spacing w:line="276" w:lineRule="auto"/>
        <w:jc w:val="center"/>
        <w:rPr>
          <w:rFonts w:ascii="宋体" w:hAnsi="宋体"/>
          <w:b/>
          <w:szCs w:val="21"/>
        </w:rPr>
      </w:pPr>
      <w:r>
        <w:rPr>
          <w:rFonts w:hint="eastAsia" w:ascii="宋体" w:hAnsi="宋体"/>
          <w:b/>
          <w:szCs w:val="21"/>
        </w:rPr>
        <w:t>残疾人福利性单位声明函</w:t>
      </w:r>
      <w:r>
        <w:rPr>
          <w:rFonts w:hint="eastAsia" w:ascii="宋体" w:hAnsi="宋体" w:cs="宋体"/>
          <w:color w:val="0000FF"/>
          <w:kern w:val="0"/>
          <w:szCs w:val="21"/>
        </w:rPr>
        <w:t>（货物）</w:t>
      </w:r>
    </w:p>
    <w:p w14:paraId="531586AE">
      <w:pPr>
        <w:spacing w:line="276" w:lineRule="auto"/>
        <w:jc w:val="center"/>
        <w:rPr>
          <w:rFonts w:ascii="宋体" w:hAnsi="宋体"/>
          <w:b/>
          <w:szCs w:val="21"/>
        </w:rPr>
      </w:pPr>
    </w:p>
    <w:p w14:paraId="7BDCAB62">
      <w:pPr>
        <w:spacing w:line="276" w:lineRule="auto"/>
        <w:rPr>
          <w:szCs w:val="21"/>
        </w:rPr>
      </w:pPr>
      <w:r>
        <w:rPr>
          <w:szCs w:val="21"/>
        </w:rPr>
        <w:fldChar w:fldCharType="begin"/>
      </w:r>
      <w:r>
        <w:rPr>
          <w:szCs w:val="21"/>
        </w:rPr>
        <w:instrText xml:space="preserve"> DOCVARIABLE </w:instrText>
      </w:r>
      <w:r>
        <w:rPr>
          <w:rFonts w:hint="eastAsia"/>
          <w:szCs w:val="21"/>
        </w:rPr>
        <w:instrText xml:space="preserve">招标机构名称</w:instrText>
      </w:r>
      <w:r>
        <w:rPr>
          <w:szCs w:val="21"/>
        </w:rPr>
        <w:fldChar w:fldCharType="separate"/>
      </w:r>
      <w:r>
        <w:rPr>
          <w:rFonts w:hint="eastAsia"/>
          <w:szCs w:val="21"/>
        </w:rPr>
        <w:t>武汉理工大学</w:t>
      </w:r>
      <w:r>
        <w:rPr>
          <w:szCs w:val="21"/>
        </w:rPr>
        <w:t>、${</w:t>
      </w:r>
      <w:r>
        <w:rPr>
          <w:rFonts w:hint="eastAsia"/>
          <w:szCs w:val="21"/>
        </w:rPr>
        <w:t>招标机构名称</w:t>
      </w:r>
      <w:r>
        <w:rPr>
          <w:szCs w:val="21"/>
        </w:rPr>
        <w:t>}</w:t>
      </w:r>
      <w:r>
        <w:rPr>
          <w:szCs w:val="21"/>
        </w:rPr>
        <w:fldChar w:fldCharType="end"/>
      </w:r>
      <w:r>
        <w:rPr>
          <w:rFonts w:hint="eastAsia"/>
          <w:szCs w:val="21"/>
        </w:rPr>
        <w:t>：</w:t>
      </w:r>
    </w:p>
    <w:p w14:paraId="5BA7B733">
      <w:pPr>
        <w:spacing w:line="276" w:lineRule="auto"/>
        <w:ind w:firstLine="415" w:firstLineChars="198"/>
        <w:jc w:val="left"/>
        <w:rPr>
          <w:rFonts w:ascii="宋体" w:hAnsi="宋体" w:cs="Courier New"/>
          <w:szCs w:val="21"/>
        </w:rPr>
      </w:pPr>
      <w:r>
        <w:rPr>
          <w:rFonts w:hint="eastAsia" w:ascii="宋体" w:hAnsi="宋体" w:cs="Courier New"/>
          <w:szCs w:val="21"/>
        </w:rPr>
        <w:t>本单位（联合体）郑重声明，根据《财政部 民政部 中国残疾人联合会关于促进残疾人就业政府采购政策的通知》（财库〔2017〕141号）的规定，本</w:t>
      </w:r>
      <w:r>
        <w:rPr>
          <w:rFonts w:hint="eastAsia" w:ascii="宋体" w:hAnsi="宋体" w:cs="Courier New"/>
          <w:color w:val="0C0C0C"/>
          <w:szCs w:val="21"/>
        </w:rPr>
        <w:t>单位为符合条件的残疾人福利性单位（详见“残疾人福利性单位应当满足的条件”）。</w:t>
      </w:r>
    </w:p>
    <w:p w14:paraId="4C2C0F3F">
      <w:pPr>
        <w:spacing w:line="276" w:lineRule="auto"/>
        <w:ind w:firstLine="415" w:firstLineChars="198"/>
        <w:jc w:val="left"/>
        <w:rPr>
          <w:rFonts w:ascii="宋体" w:hAnsi="宋体" w:cs="Courier New"/>
          <w:szCs w:val="21"/>
        </w:rPr>
      </w:pPr>
      <w:r>
        <w:rPr>
          <w:rFonts w:hint="eastAsia" w:ascii="宋体" w:hAnsi="宋体" w:cs="Courier New"/>
          <w:szCs w:val="21"/>
        </w:rPr>
        <w:t>本单位（联合体）参加______单位（采购人名称）的______项目（</w:t>
      </w:r>
      <w:r>
        <w:rPr>
          <w:rFonts w:hint="eastAsia" w:ascii="宋体" w:hAnsi="宋体" w:cs="Courier New"/>
          <w:szCs w:val="21"/>
          <w:u w:val="single"/>
        </w:rPr>
        <w:t>项目编号/包号</w:t>
      </w:r>
      <w:r>
        <w:rPr>
          <w:rFonts w:hint="eastAsia" w:ascii="宋体" w:hAnsi="宋体" w:cs="Courier New"/>
          <w:szCs w:val="21"/>
        </w:rPr>
        <w:t>）采购活动，提供的货物全部由符合政策要求的残疾人福利性单位制造。（不包括使用非残疾人福利性单位注册商标的货物，不包括使用大型企业注册商标的货物），具体情况如下：</w:t>
      </w:r>
    </w:p>
    <w:p w14:paraId="5151B70E">
      <w:pPr>
        <w:spacing w:line="360" w:lineRule="auto"/>
        <w:ind w:firstLine="420"/>
        <w:rPr>
          <w:rFonts w:ascii="宋体" w:hAnsi="宋体"/>
          <w:szCs w:val="21"/>
        </w:rPr>
      </w:pPr>
      <w:r>
        <w:rPr>
          <w:rFonts w:ascii="宋体" w:hAnsi="宋体"/>
          <w:szCs w:val="21"/>
        </w:rPr>
        <w:t>1.</w:t>
      </w:r>
      <w:r>
        <w:rPr>
          <w:rFonts w:hint="eastAsia" w:ascii="宋体" w:hAnsi="宋体"/>
          <w:szCs w:val="21"/>
          <w:u w:val="single"/>
        </w:rPr>
        <w:t>（标的名称）</w:t>
      </w:r>
      <w:r>
        <w:rPr>
          <w:rFonts w:hint="eastAsia" w:ascii="宋体" w:hAnsi="宋体"/>
          <w:szCs w:val="21"/>
        </w:rPr>
        <w:t>，制造商为</w:t>
      </w:r>
      <w:r>
        <w:rPr>
          <w:rFonts w:hint="eastAsia" w:ascii="宋体" w:hAnsi="宋体"/>
          <w:szCs w:val="21"/>
          <w:u w:val="single"/>
        </w:rPr>
        <w:t>（企业名称）</w:t>
      </w:r>
      <w:r>
        <w:rPr>
          <w:rFonts w:hint="eastAsia" w:ascii="宋体" w:hAnsi="宋体"/>
          <w:szCs w:val="21"/>
        </w:rPr>
        <w:t>，属于</w:t>
      </w:r>
      <w:r>
        <w:rPr>
          <w:rFonts w:hint="eastAsia" w:ascii="宋体" w:hAnsi="宋体"/>
          <w:szCs w:val="21"/>
          <w:u w:val="single"/>
        </w:rPr>
        <w:t>（残疾人福利性单位）</w:t>
      </w:r>
      <w:r>
        <w:rPr>
          <w:rFonts w:hint="eastAsia" w:ascii="宋体" w:hAnsi="宋体"/>
          <w:szCs w:val="21"/>
        </w:rPr>
        <w:t>；</w:t>
      </w:r>
    </w:p>
    <w:p w14:paraId="46E885C1">
      <w:pPr>
        <w:spacing w:line="360" w:lineRule="auto"/>
        <w:ind w:firstLine="420"/>
        <w:rPr>
          <w:rFonts w:ascii="宋体" w:hAnsi="宋体"/>
          <w:szCs w:val="21"/>
        </w:rPr>
      </w:pPr>
      <w:r>
        <w:rPr>
          <w:rFonts w:ascii="宋体" w:hAnsi="宋体"/>
          <w:szCs w:val="21"/>
        </w:rPr>
        <w:t xml:space="preserve">2. </w:t>
      </w:r>
      <w:r>
        <w:rPr>
          <w:rFonts w:hint="eastAsia" w:ascii="宋体" w:hAnsi="宋体"/>
          <w:szCs w:val="21"/>
          <w:u w:val="single"/>
        </w:rPr>
        <w:t>（标的名称）</w:t>
      </w:r>
      <w:r>
        <w:rPr>
          <w:rFonts w:hint="eastAsia" w:ascii="宋体" w:hAnsi="宋体"/>
          <w:szCs w:val="21"/>
        </w:rPr>
        <w:t>，制造商为</w:t>
      </w:r>
      <w:r>
        <w:rPr>
          <w:rFonts w:hint="eastAsia" w:ascii="宋体" w:hAnsi="宋体"/>
          <w:szCs w:val="21"/>
          <w:u w:val="single"/>
        </w:rPr>
        <w:t>（企业名称）</w:t>
      </w:r>
      <w:r>
        <w:rPr>
          <w:rFonts w:hint="eastAsia" w:ascii="宋体" w:hAnsi="宋体"/>
          <w:szCs w:val="21"/>
        </w:rPr>
        <w:t>，属于</w:t>
      </w:r>
      <w:r>
        <w:rPr>
          <w:rFonts w:hint="eastAsia" w:ascii="宋体" w:hAnsi="宋体"/>
          <w:szCs w:val="21"/>
          <w:u w:val="single"/>
        </w:rPr>
        <w:t>（残疾人福利性单位）</w:t>
      </w:r>
      <w:r>
        <w:rPr>
          <w:rFonts w:hint="eastAsia" w:ascii="宋体" w:hAnsi="宋体"/>
          <w:szCs w:val="21"/>
        </w:rPr>
        <w:t>；</w:t>
      </w:r>
    </w:p>
    <w:p w14:paraId="616005A4">
      <w:pPr>
        <w:spacing w:line="360" w:lineRule="auto"/>
        <w:ind w:firstLine="420"/>
        <w:rPr>
          <w:rFonts w:ascii="宋体" w:hAnsi="宋体"/>
          <w:szCs w:val="21"/>
        </w:rPr>
      </w:pPr>
      <w:r>
        <w:rPr>
          <w:rFonts w:hint="eastAsia" w:ascii="宋体" w:hAnsi="宋体"/>
          <w:szCs w:val="21"/>
        </w:rPr>
        <w:t>……</w:t>
      </w:r>
    </w:p>
    <w:tbl>
      <w:tblPr>
        <w:tblStyle w:val="26"/>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14:paraId="49D7B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14:paraId="3BC55E30">
            <w:pPr>
              <w:spacing w:line="276" w:lineRule="auto"/>
              <w:ind w:left="-23" w:leftChars="-11" w:right="-65" w:rightChars="-31"/>
              <w:jc w:val="center"/>
              <w:rPr>
                <w:rFonts w:ascii="宋体" w:hAnsi="宋体" w:cs="宋体"/>
                <w:color w:val="0D0D0D"/>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1DBB29B6">
            <w:pPr>
              <w:spacing w:line="276" w:lineRule="auto"/>
              <w:ind w:left="-48" w:leftChars="-23" w:right="-65" w:rightChars="-31"/>
              <w:jc w:val="center"/>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303BEF87">
            <w:pPr>
              <w:spacing w:line="276" w:lineRule="auto"/>
              <w:ind w:left="-48" w:leftChars="-23" w:right="-65" w:rightChars="-31"/>
              <w:jc w:val="center"/>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0660E1AB">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4DBE0582">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DE62266">
            <w:pPr>
              <w:spacing w:line="276" w:lineRule="auto"/>
              <w:ind w:left="-48" w:leftChars="-23" w:right="-65" w:rightChars="-31"/>
              <w:jc w:val="center"/>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50C2522F">
            <w:pPr>
              <w:spacing w:line="276" w:lineRule="auto"/>
              <w:ind w:left="-48" w:leftChars="-23" w:right="-65" w:rightChars="-31"/>
              <w:jc w:val="center"/>
              <w:rPr>
                <w:rFonts w:ascii="宋体" w:hAnsi="宋体" w:cs="宋体"/>
                <w:color w:val="0D0D0D"/>
                <w:kern w:val="0"/>
                <w:szCs w:val="21"/>
              </w:rPr>
            </w:pPr>
          </w:p>
        </w:tc>
      </w:tr>
      <w:tr w14:paraId="573B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73D0E7FE">
            <w:pPr>
              <w:numPr>
                <w:ilvl w:val="0"/>
                <w:numId w:val="62"/>
              </w:num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3061007F">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145CE07B">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4A1C8814">
            <w:pPr>
              <w:spacing w:line="276" w:lineRule="auto"/>
              <w:ind w:left="-48" w:leftChars="-23" w:right="-375" w:rightChars="-179"/>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439D465A">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3A0B16E">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46C38E6B">
            <w:pPr>
              <w:spacing w:line="276" w:lineRule="auto"/>
              <w:ind w:left="-48" w:leftChars="-23" w:right="-65" w:rightChars="-31"/>
              <w:jc w:val="center"/>
              <w:rPr>
                <w:rFonts w:ascii="宋体" w:hAnsi="宋体" w:cs="宋体"/>
                <w:color w:val="0D0D0D"/>
                <w:kern w:val="0"/>
                <w:szCs w:val="21"/>
              </w:rPr>
            </w:pPr>
          </w:p>
        </w:tc>
      </w:tr>
      <w:tr w14:paraId="08544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1C33693">
            <w:pPr>
              <w:numPr>
                <w:ilvl w:val="0"/>
                <w:numId w:val="62"/>
              </w:numPr>
              <w:tabs>
                <w:tab w:val="left" w:pos="82"/>
              </w:tabs>
              <w:adjustRightInd w:val="0"/>
              <w:snapToGrid w:val="0"/>
              <w:spacing w:line="276" w:lineRule="auto"/>
              <w:ind w:left="-2" w:firstLine="2"/>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59115A73">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09C7DEB3">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3B7223D">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33A95441">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2121024">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0A01F658">
            <w:pPr>
              <w:spacing w:line="276" w:lineRule="auto"/>
              <w:ind w:left="-48" w:leftChars="-23" w:right="-65" w:rightChars="-31"/>
              <w:jc w:val="center"/>
              <w:rPr>
                <w:rFonts w:ascii="宋体" w:hAnsi="宋体" w:cs="宋体"/>
                <w:color w:val="0D0D0D"/>
                <w:kern w:val="0"/>
                <w:szCs w:val="21"/>
              </w:rPr>
            </w:pPr>
          </w:p>
        </w:tc>
      </w:tr>
      <w:tr w14:paraId="332D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14:paraId="24932D3E">
            <w:pPr>
              <w:tabs>
                <w:tab w:val="left" w:pos="82"/>
              </w:tabs>
              <w:adjustRightInd w:val="0"/>
              <w:snapToGrid w:val="0"/>
              <w:spacing w:line="276" w:lineRule="auto"/>
              <w:jc w:val="center"/>
              <w:rPr>
                <w:rFonts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14:paraId="3D3B77FF">
            <w:pPr>
              <w:spacing w:line="276" w:lineRule="auto"/>
              <w:ind w:left="-48" w:leftChars="-23" w:right="-65" w:rightChars="-31"/>
              <w:jc w:val="left"/>
              <w:rPr>
                <w:rFonts w:ascii="宋体" w:hAnsi="宋体" w:cs="宋体"/>
                <w:color w:val="0D0D0D"/>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14:paraId="2D7747BB">
            <w:pPr>
              <w:spacing w:line="276" w:lineRule="auto"/>
              <w:ind w:left="-48" w:leftChars="-23" w:right="-65" w:rightChars="-31"/>
              <w:jc w:val="left"/>
              <w:rPr>
                <w:rFonts w:ascii="宋体" w:hAnsi="宋体" w:cs="宋体"/>
                <w:color w:val="0D0D0D"/>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14:paraId="54079F75">
            <w:pPr>
              <w:spacing w:line="276" w:lineRule="auto"/>
              <w:ind w:left="-48" w:leftChars="-23" w:right="-65" w:rightChars="-31"/>
              <w:jc w:val="center"/>
              <w:rPr>
                <w:rFonts w:ascii="宋体" w:hAnsi="宋体" w:cs="宋体"/>
                <w:color w:val="0D0D0D"/>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14:paraId="437D3321">
            <w:pPr>
              <w:spacing w:line="276" w:lineRule="auto"/>
              <w:ind w:left="-48" w:leftChars="-23" w:right="-65" w:rightChars="-31"/>
              <w:jc w:val="center"/>
              <w:rPr>
                <w:rFonts w:ascii="宋体" w:hAnsi="宋体" w:cs="宋体"/>
                <w:color w:val="0D0D0D"/>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51F5AD8">
            <w:pPr>
              <w:spacing w:line="276" w:lineRule="auto"/>
              <w:ind w:left="-48" w:leftChars="-23" w:right="-65" w:rightChars="-31"/>
              <w:jc w:val="left"/>
              <w:rPr>
                <w:rFonts w:ascii="宋体" w:hAnsi="宋体" w:cs="宋体"/>
                <w:color w:val="0D0D0D"/>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14:paraId="0EECF2DA">
            <w:pPr>
              <w:spacing w:line="276" w:lineRule="auto"/>
              <w:ind w:left="-48" w:leftChars="-23" w:right="-65" w:rightChars="-31"/>
              <w:jc w:val="center"/>
              <w:rPr>
                <w:rFonts w:ascii="宋体" w:hAnsi="宋体" w:cs="宋体"/>
                <w:color w:val="0D0D0D"/>
                <w:kern w:val="0"/>
                <w:szCs w:val="21"/>
              </w:rPr>
            </w:pPr>
          </w:p>
        </w:tc>
      </w:tr>
      <w:tr w14:paraId="6F05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14:paraId="6E20FF6F">
            <w:pPr>
              <w:spacing w:line="276" w:lineRule="auto"/>
              <w:ind w:left="-48" w:leftChars="-23" w:right="-65" w:rightChars="-31"/>
              <w:jc w:val="center"/>
              <w:rPr>
                <w:rFonts w:ascii="宋体" w:hAnsi="宋体" w:cs="宋体"/>
                <w:color w:val="0D0D0D"/>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14:paraId="02F43E43">
            <w:pPr>
              <w:spacing w:line="276" w:lineRule="auto"/>
              <w:ind w:left="-48" w:leftChars="-23" w:right="-65" w:rightChars="-31"/>
              <w:jc w:val="left"/>
              <w:rPr>
                <w:rFonts w:ascii="宋体" w:hAnsi="宋体" w:cs="宋体"/>
                <w:color w:val="0D0D0D"/>
                <w:kern w:val="0"/>
                <w:szCs w:val="21"/>
              </w:rPr>
            </w:pPr>
          </w:p>
        </w:tc>
      </w:tr>
    </w:tbl>
    <w:p w14:paraId="39046F38">
      <w:pPr>
        <w:spacing w:line="276" w:lineRule="auto"/>
        <w:ind w:firstLine="420"/>
        <w:rPr>
          <w:rFonts w:ascii="宋体" w:hAnsi="宋体"/>
          <w:szCs w:val="21"/>
        </w:rPr>
      </w:pPr>
      <w:r>
        <w:rPr>
          <w:rFonts w:hint="eastAsia" w:ascii="宋体" w:hAnsi="宋体"/>
          <w:szCs w:val="21"/>
        </w:rPr>
        <w:t>本单位对上述声明的真实性负责。如有虚假，将依法承担相应责任。</w:t>
      </w:r>
    </w:p>
    <w:p w14:paraId="7A2B966D">
      <w:pPr>
        <w:spacing w:line="276" w:lineRule="auto"/>
        <w:rPr>
          <w:rFonts w:ascii="宋体" w:hAnsi="宋体"/>
          <w:bCs/>
          <w:szCs w:val="21"/>
        </w:rPr>
      </w:pPr>
    </w:p>
    <w:p w14:paraId="7536C0B1">
      <w:pPr>
        <w:snapToGrid w:val="0"/>
        <w:spacing w:line="276" w:lineRule="auto"/>
        <w:ind w:left="840" w:hanging="840" w:hangingChars="400"/>
        <w:jc w:val="left"/>
        <w:rPr>
          <w:rFonts w:ascii="宋体" w:hAnsi="宋体" w:cs="Courier New"/>
          <w:szCs w:val="21"/>
        </w:rPr>
      </w:pPr>
      <w:r>
        <w:rPr>
          <w:rFonts w:hint="eastAsia" w:ascii="宋体" w:hAnsi="宋体" w:cs="Courier New"/>
          <w:bCs/>
          <w:szCs w:val="21"/>
        </w:rPr>
        <w:t>说明：</w:t>
      </w:r>
      <w:r>
        <w:rPr>
          <w:rFonts w:hint="eastAsia" w:ascii="宋体" w:hAnsi="宋体" w:cs="Corbel"/>
          <w:color w:val="0C0C0C"/>
          <w:szCs w:val="21"/>
        </w:rPr>
        <w:t>1</w:t>
      </w:r>
      <w:r>
        <w:rPr>
          <w:rFonts w:hint="eastAsia" w:ascii="宋体" w:hAnsi="宋体" w:cs="Courier New"/>
          <w:szCs w:val="21"/>
        </w:rPr>
        <w:t>、组成联合体的大中型企业和其他自然人、法人或者其他组织，与残疾人福利性单位之间不得存在投资关系。</w:t>
      </w:r>
    </w:p>
    <w:p w14:paraId="508B321F">
      <w:pPr>
        <w:snapToGrid w:val="0"/>
        <w:spacing w:line="276" w:lineRule="auto"/>
        <w:ind w:left="1033" w:leftChars="342" w:hanging="315" w:hangingChars="150"/>
        <w:jc w:val="left"/>
        <w:rPr>
          <w:rFonts w:ascii="宋体" w:hAnsi="宋体" w:cs="Courier New"/>
          <w:szCs w:val="21"/>
        </w:rPr>
      </w:pPr>
      <w:r>
        <w:rPr>
          <w:rFonts w:hint="eastAsia" w:ascii="宋体" w:hAnsi="宋体" w:cs="Courier New"/>
          <w:szCs w:val="21"/>
        </w:rPr>
        <w:t>2、如以联合体方式参与本项目投标，则应由联合体各方盖章。</w:t>
      </w:r>
    </w:p>
    <w:p w14:paraId="070EB7CA">
      <w:pPr>
        <w:snapToGrid w:val="0"/>
        <w:rPr>
          <w:rFonts w:ascii="宋体" w:hAnsi="宋体"/>
          <w:szCs w:val="21"/>
        </w:rPr>
      </w:pPr>
    </w:p>
    <w:p w14:paraId="5AAD82C5">
      <w:pPr>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p>
    <w:p w14:paraId="4D7E96DB">
      <w:pPr>
        <w:snapToGrid w:val="0"/>
        <w:spacing w:before="100" w:beforeAutospacing="1" w:after="100" w:afterAutospacing="1"/>
        <w:ind w:firstLine="2902" w:firstLineChars="1382"/>
        <w:rPr>
          <w:szCs w:val="21"/>
        </w:rPr>
      </w:pPr>
      <w:r>
        <w:rPr>
          <w:rFonts w:hint="eastAsia" w:ascii="宋体" w:hAnsi="宋体"/>
          <w:color w:val="000000"/>
          <w:szCs w:val="21"/>
        </w:rPr>
        <w:t>日期：年月日</w:t>
      </w:r>
    </w:p>
    <w:p w14:paraId="0C6E40DB">
      <w:pPr>
        <w:rPr>
          <w:rFonts w:ascii="宋体" w:hAnsi="宋体"/>
          <w:sz w:val="18"/>
          <w:szCs w:val="18"/>
        </w:rPr>
      </w:pPr>
      <w:r>
        <w:rPr>
          <w:rFonts w:hint="eastAsia" w:ascii="宋体" w:hAnsi="宋体"/>
          <w:sz w:val="18"/>
          <w:szCs w:val="18"/>
        </w:rPr>
        <w:t>享受政府采购支持政策的残疾人福利性单位应当同时满足以下条件：</w:t>
      </w:r>
    </w:p>
    <w:p w14:paraId="7CBAB73F">
      <w:pPr>
        <w:rPr>
          <w:rFonts w:ascii="宋体" w:hAnsi="宋体"/>
          <w:sz w:val="18"/>
          <w:szCs w:val="18"/>
        </w:rPr>
      </w:pPr>
      <w:r>
        <w:rPr>
          <w:rFonts w:hint="eastAsia" w:ascii="宋体" w:hAnsi="宋体"/>
          <w:sz w:val="18"/>
          <w:szCs w:val="18"/>
        </w:rPr>
        <w:t>（一）安置的残疾人占本单位在职职工人数的比例不低于</w:t>
      </w:r>
      <w:r>
        <w:rPr>
          <w:rFonts w:ascii="宋体" w:hAnsi="宋体"/>
          <w:sz w:val="18"/>
          <w:szCs w:val="18"/>
        </w:rPr>
        <w:t>25%（含25%），并且安置的残疾人人数不少于10人（含10人）；</w:t>
      </w:r>
    </w:p>
    <w:p w14:paraId="2214D3BD">
      <w:pPr>
        <w:rPr>
          <w:rFonts w:ascii="宋体" w:hAnsi="宋体"/>
          <w:sz w:val="18"/>
          <w:szCs w:val="18"/>
        </w:rPr>
      </w:pPr>
      <w:r>
        <w:rPr>
          <w:rFonts w:hint="eastAsia" w:ascii="宋体" w:hAnsi="宋体"/>
          <w:sz w:val="18"/>
          <w:szCs w:val="18"/>
        </w:rPr>
        <w:t>（二）依法与安置的每位残疾人签订了一年以上（含一年）的劳动合同或服务协议；</w:t>
      </w:r>
    </w:p>
    <w:p w14:paraId="140BCA36">
      <w:pPr>
        <w:rPr>
          <w:rFonts w:ascii="宋体" w:hAnsi="宋体"/>
          <w:sz w:val="18"/>
          <w:szCs w:val="18"/>
        </w:rPr>
      </w:pPr>
      <w:r>
        <w:rPr>
          <w:rFonts w:hint="eastAsia" w:ascii="宋体" w:hAnsi="宋体"/>
          <w:sz w:val="18"/>
          <w:szCs w:val="18"/>
        </w:rPr>
        <w:t>（三）为安置的每位残疾人按月足额缴纳了基本养老保险、基本医疗保险、失业保险、工伤保险和生育保险等社会保险费；</w:t>
      </w:r>
    </w:p>
    <w:p w14:paraId="23593736">
      <w:pPr>
        <w:rPr>
          <w:rFonts w:ascii="宋体" w:hAnsi="宋体"/>
          <w:sz w:val="18"/>
          <w:szCs w:val="18"/>
        </w:rPr>
      </w:pPr>
      <w:r>
        <w:rPr>
          <w:rFonts w:hint="eastAsia" w:ascii="宋体" w:hAnsi="宋体"/>
          <w:sz w:val="18"/>
          <w:szCs w:val="18"/>
        </w:rPr>
        <w:t>（四）通过银行等金融机构向安置的每位残疾人，按月支付了不低于单位所在区县适用的经省级人民政府批准的月最低工资标准的工资；</w:t>
      </w:r>
    </w:p>
    <w:p w14:paraId="30A7D1EF">
      <w:pPr>
        <w:rPr>
          <w:rFonts w:ascii="宋体" w:hAnsi="宋体"/>
          <w:sz w:val="18"/>
          <w:szCs w:val="18"/>
        </w:rPr>
      </w:pPr>
      <w:r>
        <w:rPr>
          <w:rFonts w:hint="eastAsia" w:ascii="宋体" w:hAnsi="宋体"/>
          <w:sz w:val="18"/>
          <w:szCs w:val="18"/>
        </w:rPr>
        <w:t>（五）提供本单位制造的货物、承担的工程或者服务（以下简称产品），或者提供其他残疾人福利性单位制造的货物（不包括使用非残疾人福利性单位注册商标的货物）。</w:t>
      </w:r>
    </w:p>
    <w:p w14:paraId="312D83F5">
      <w:pPr>
        <w:rPr>
          <w:rFonts w:ascii="宋体" w:hAnsi="宋体"/>
          <w:sz w:val="18"/>
          <w:szCs w:val="18"/>
        </w:rPr>
      </w:pPr>
      <w:r>
        <w:rPr>
          <w:rFonts w:hint="eastAsia" w:ascii="宋体" w:hAnsi="宋体"/>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14:paraId="3A2C2871">
      <w:pPr>
        <w:pStyle w:val="25"/>
      </w:pPr>
      <w:r>
        <w:br w:type="page"/>
      </w:r>
    </w:p>
    <w:p w14:paraId="4B185A1B">
      <w:pPr>
        <w:spacing w:before="100" w:beforeAutospacing="1" w:after="100" w:afterAutospacing="1" w:line="276" w:lineRule="auto"/>
        <w:outlineLvl w:val="4"/>
        <w:rPr>
          <w:szCs w:val="21"/>
        </w:rPr>
      </w:pPr>
      <w:bookmarkStart w:id="109" w:name="_Toc494721112"/>
      <w:bookmarkStart w:id="110" w:name="_Toc494665962"/>
      <w:bookmarkStart w:id="111" w:name="_Toc494745329"/>
      <w:bookmarkStart w:id="112" w:name="_Toc494665012"/>
      <w:bookmarkStart w:id="113" w:name="_Toc494702282"/>
      <w:bookmarkStart w:id="114" w:name="_Toc494665565"/>
      <w:r>
        <w:rPr>
          <w:rFonts w:hint="eastAsia" w:ascii="宋体" w:hAnsi="宋体"/>
          <w:szCs w:val="21"/>
        </w:rPr>
        <w:t>附件五</w:t>
      </w:r>
      <w:r>
        <w:rPr>
          <w:rFonts w:ascii="宋体" w:hAnsi="宋体"/>
          <w:szCs w:val="21"/>
        </w:rPr>
        <w:t>：部分资格材料格式要求</w:t>
      </w:r>
      <w:r>
        <w:rPr>
          <w:rFonts w:hint="eastAsia"/>
          <w:szCs w:val="21"/>
        </w:rPr>
        <w:t>（</w:t>
      </w:r>
      <w:r>
        <w:rPr>
          <w:rFonts w:hint="eastAsia"/>
          <w:i/>
          <w:color w:val="FF0000"/>
          <w:szCs w:val="21"/>
        </w:rPr>
        <w:t>非</w:t>
      </w:r>
      <w:r>
        <w:rPr>
          <w:i/>
          <w:color w:val="FF0000"/>
          <w:szCs w:val="21"/>
        </w:rPr>
        <w:t>此类企业则无需提供</w:t>
      </w:r>
      <w:r>
        <w:rPr>
          <w:szCs w:val="21"/>
        </w:rPr>
        <w:t>）</w:t>
      </w:r>
    </w:p>
    <w:p w14:paraId="00459C99">
      <w:pPr>
        <w:spacing w:line="276" w:lineRule="auto"/>
        <w:rPr>
          <w:szCs w:val="21"/>
        </w:rPr>
      </w:pPr>
    </w:p>
    <w:p w14:paraId="09954472">
      <w:pPr>
        <w:spacing w:line="276" w:lineRule="auto"/>
        <w:ind w:firstLine="420" w:firstLineChars="200"/>
        <w:jc w:val="left"/>
        <w:rPr>
          <w:rFonts w:ascii="宋体" w:hAnsi="宋体"/>
          <w:bCs/>
          <w:szCs w:val="21"/>
        </w:rPr>
      </w:pPr>
      <w:r>
        <w:rPr>
          <w:rFonts w:hint="eastAsia" w:ascii="宋体" w:hAnsi="宋体"/>
          <w:bCs/>
          <w:szCs w:val="21"/>
        </w:rPr>
        <w:t>1.省级以上监狱管理局、戒毒管理局（含新疆生产建设兵团）出具的属于监狱企业的证明文件</w:t>
      </w:r>
    </w:p>
    <w:p w14:paraId="3E6F78FF">
      <w:pPr>
        <w:spacing w:line="276" w:lineRule="auto"/>
        <w:ind w:firstLine="420" w:firstLineChars="200"/>
        <w:jc w:val="left"/>
        <w:rPr>
          <w:rFonts w:hAnsi="宋体"/>
          <w:bCs/>
          <w:szCs w:val="21"/>
        </w:rPr>
      </w:pPr>
      <w:r>
        <w:rPr>
          <w:rFonts w:hint="eastAsia" w:hAnsi="宋体"/>
          <w:bCs/>
          <w:szCs w:val="21"/>
        </w:rPr>
        <w:t>2</w:t>
      </w:r>
      <w:r>
        <w:rPr>
          <w:rFonts w:hint="eastAsia" w:ascii="宋体" w:hAnsi="宋体"/>
          <w:bCs/>
          <w:szCs w:val="21"/>
        </w:rPr>
        <w:t>.</w:t>
      </w:r>
      <w:r>
        <w:rPr>
          <w:rFonts w:hint="eastAsia" w:hAnsi="宋体"/>
          <w:bCs/>
          <w:szCs w:val="21"/>
        </w:rPr>
        <w:t>纳入创新产品应用示范推荐目录内的企业</w:t>
      </w:r>
      <w:r>
        <w:rPr>
          <w:rFonts w:hint="eastAsia" w:ascii="宋体" w:hAnsi="宋体"/>
          <w:bCs/>
          <w:szCs w:val="21"/>
        </w:rPr>
        <w:t>出具相关证明文件</w:t>
      </w:r>
    </w:p>
    <w:p w14:paraId="55819D9A">
      <w:pPr>
        <w:snapToGrid w:val="0"/>
        <w:spacing w:before="100" w:beforeAutospacing="1" w:line="360" w:lineRule="auto"/>
        <w:outlineLvl w:val="4"/>
      </w:pPr>
      <w:r>
        <w:rPr>
          <w:rFonts w:hAnsi="宋体"/>
          <w:b/>
          <w:kern w:val="0"/>
          <w:szCs w:val="21"/>
        </w:rPr>
        <w:br w:type="page"/>
      </w:r>
      <w:r>
        <w:rPr>
          <w:rFonts w:hint="eastAsia" w:ascii="宋体" w:hAnsi="宋体"/>
          <w:szCs w:val="21"/>
        </w:rPr>
        <w:t>附件六</w:t>
      </w:r>
      <w:r>
        <w:rPr>
          <w:rFonts w:ascii="宋体" w:hAnsi="宋体"/>
          <w:szCs w:val="21"/>
        </w:rPr>
        <w:t>：部分资格材料格式要求</w:t>
      </w:r>
      <w:r>
        <w:rPr>
          <w:rFonts w:hint="eastAsia" w:ascii="宋体" w:hAnsi="宋体"/>
          <w:szCs w:val="21"/>
        </w:rPr>
        <w:t>——</w:t>
      </w:r>
      <w:r>
        <w:rPr>
          <w:rFonts w:hint="eastAsia"/>
        </w:rPr>
        <w:t>投标人关联企业情况</w:t>
      </w:r>
    </w:p>
    <w:p w14:paraId="6887F8BB">
      <w:pPr>
        <w:snapToGrid w:val="0"/>
        <w:spacing w:before="100" w:beforeAutospacing="1" w:line="360" w:lineRule="auto"/>
        <w:jc w:val="center"/>
        <w:rPr>
          <w:rFonts w:ascii="等线" w:hAnsi="等线"/>
        </w:rPr>
      </w:pPr>
      <w:r>
        <w:rPr>
          <w:rFonts w:hint="eastAsia" w:ascii="等线" w:hAnsi="等线"/>
        </w:rPr>
        <w:t>投标人关联企业情况</w:t>
      </w:r>
    </w:p>
    <w:p w14:paraId="435E0B54">
      <w:pPr>
        <w:widowControl/>
        <w:spacing w:line="360" w:lineRule="auto"/>
        <w:ind w:firstLine="420" w:firstLineChars="200"/>
        <w:rPr>
          <w:rFonts w:ascii="等线" w:hAnsi="等线"/>
        </w:rPr>
      </w:pPr>
      <w:r>
        <w:rPr>
          <w:rFonts w:hint="eastAsia" w:ascii="等线" w:hAnsi="等线"/>
        </w:rPr>
        <w:t>1.与我公司单位负责人为同一人的其他单位名称：</w:t>
      </w:r>
    </w:p>
    <w:p w14:paraId="09E576DA">
      <w:pPr>
        <w:widowControl/>
        <w:spacing w:line="360" w:lineRule="auto"/>
        <w:ind w:firstLine="420" w:firstLineChars="200"/>
        <w:rPr>
          <w:rFonts w:ascii="等线" w:hAnsi="等线"/>
        </w:rPr>
      </w:pPr>
      <w:r>
        <w:rPr>
          <w:rFonts w:hint="eastAsia" w:ascii="等线" w:hAnsi="等线"/>
        </w:rPr>
        <w:t>口无;</w:t>
      </w:r>
    </w:p>
    <w:p w14:paraId="430D3ACC">
      <w:pPr>
        <w:widowControl/>
        <w:spacing w:line="360" w:lineRule="auto"/>
        <w:ind w:firstLine="420" w:firstLineChars="200"/>
        <w:rPr>
          <w:rFonts w:ascii="等线" w:hAnsi="等线"/>
          <w:u w:val="single"/>
        </w:rPr>
      </w:pPr>
      <w:r>
        <w:rPr>
          <w:rFonts w:hint="eastAsia" w:ascii="等线" w:hAnsi="等线"/>
        </w:rPr>
        <w:t>口有:</w:t>
      </w:r>
    </w:p>
    <w:p w14:paraId="6D958763">
      <w:pPr>
        <w:widowControl/>
        <w:spacing w:line="360" w:lineRule="auto"/>
        <w:ind w:firstLine="420" w:firstLineChars="200"/>
        <w:rPr>
          <w:rFonts w:ascii="等线" w:hAnsi="等线"/>
          <w:u w:val="single"/>
        </w:rPr>
      </w:pPr>
    </w:p>
    <w:p w14:paraId="1C77D4A8">
      <w:pPr>
        <w:widowControl/>
        <w:spacing w:line="360" w:lineRule="auto"/>
        <w:ind w:firstLine="420" w:firstLineChars="200"/>
        <w:rPr>
          <w:rFonts w:ascii="等线" w:hAnsi="等线"/>
        </w:rPr>
      </w:pPr>
      <w:r>
        <w:rPr>
          <w:rFonts w:hint="eastAsia" w:ascii="等线" w:hAnsi="等线"/>
        </w:rPr>
        <w:t>2.与我公司存在控股、管理关系的其他单位的名称：</w:t>
      </w:r>
    </w:p>
    <w:p w14:paraId="3C25F5E4">
      <w:pPr>
        <w:widowControl/>
        <w:spacing w:line="360" w:lineRule="auto"/>
        <w:ind w:firstLine="420" w:firstLineChars="200"/>
        <w:rPr>
          <w:rFonts w:ascii="等线" w:hAnsi="等线"/>
        </w:rPr>
      </w:pPr>
      <w:r>
        <w:rPr>
          <w:rFonts w:hint="eastAsia" w:ascii="等线" w:hAnsi="等线"/>
        </w:rPr>
        <w:t>口无；</w:t>
      </w:r>
    </w:p>
    <w:p w14:paraId="175702E6">
      <w:pPr>
        <w:widowControl/>
        <w:spacing w:line="360" w:lineRule="auto"/>
        <w:ind w:firstLine="420" w:firstLineChars="200"/>
        <w:rPr>
          <w:rFonts w:ascii="等线" w:hAnsi="等线"/>
          <w:u w:val="single"/>
        </w:rPr>
      </w:pPr>
      <w:r>
        <w:rPr>
          <w:rFonts w:hint="eastAsia" w:ascii="等线" w:hAnsi="等线"/>
        </w:rPr>
        <w:t>口有:</w:t>
      </w:r>
    </w:p>
    <w:p w14:paraId="0016E795">
      <w:pPr>
        <w:widowControl/>
        <w:spacing w:line="360" w:lineRule="auto"/>
        <w:ind w:firstLine="420" w:firstLineChars="200"/>
        <w:rPr>
          <w:rFonts w:ascii="等线" w:hAnsi="等线"/>
          <w:u w:val="single"/>
        </w:rPr>
      </w:pPr>
    </w:p>
    <w:p w14:paraId="09BEF12F">
      <w:pPr>
        <w:widowControl/>
        <w:spacing w:line="360" w:lineRule="auto"/>
        <w:ind w:firstLine="420" w:firstLineChars="200"/>
        <w:rPr>
          <w:rFonts w:ascii="等线" w:hAnsi="等线"/>
        </w:rPr>
      </w:pPr>
    </w:p>
    <w:p w14:paraId="7D375870">
      <w:pPr>
        <w:widowControl/>
        <w:ind w:firstLine="420" w:firstLineChars="200"/>
        <w:rPr>
          <w:rFonts w:ascii="等线" w:hAnsi="等线"/>
        </w:rPr>
      </w:pPr>
    </w:p>
    <w:p w14:paraId="4F48A94E">
      <w:pPr>
        <w:widowControl/>
        <w:snapToGrid w:val="0"/>
        <w:spacing w:before="100" w:beforeAutospacing="1" w:after="100" w:afterAutospacing="1"/>
        <w:ind w:firstLine="2902" w:firstLineChars="1382"/>
        <w:rPr>
          <w:rFonts w:ascii="宋体" w:hAnsi="宋体"/>
          <w:bCs/>
          <w:szCs w:val="21"/>
          <w:lang w:val="zh-CN"/>
        </w:rPr>
      </w:pPr>
      <w:r>
        <w:rPr>
          <w:rFonts w:hint="eastAsia" w:ascii="宋体" w:hAnsi="宋体"/>
          <w:bCs/>
          <w:szCs w:val="21"/>
          <w:lang w:val="zh-CN"/>
        </w:rPr>
        <w:t>投标人名称（公章）：</w:t>
      </w:r>
    </w:p>
    <w:p w14:paraId="3193FD43">
      <w:pPr>
        <w:widowControl/>
        <w:snapToGrid w:val="0"/>
        <w:spacing w:before="100" w:beforeAutospacing="1" w:after="100" w:afterAutospacing="1"/>
        <w:ind w:firstLine="2902" w:firstLineChars="1382"/>
        <w:rPr>
          <w:rFonts w:ascii="等线" w:hAnsi="等线"/>
        </w:rPr>
      </w:pPr>
      <w:r>
        <w:rPr>
          <w:rFonts w:hint="eastAsia" w:ascii="宋体" w:hAnsi="宋体"/>
          <w:color w:val="000000"/>
          <w:szCs w:val="21"/>
        </w:rPr>
        <w:t>日期：年月日</w:t>
      </w:r>
    </w:p>
    <w:p w14:paraId="1567CAB6">
      <w:pPr>
        <w:widowControl/>
        <w:ind w:firstLine="420" w:firstLineChars="200"/>
        <w:rPr>
          <w:rFonts w:ascii="等线" w:hAnsi="等线"/>
        </w:rPr>
      </w:pPr>
    </w:p>
    <w:p w14:paraId="49D853A6">
      <w:pPr>
        <w:widowControl/>
        <w:ind w:firstLine="420" w:firstLineChars="200"/>
        <w:rPr>
          <w:rFonts w:ascii="等线" w:hAnsi="等线"/>
        </w:rPr>
      </w:pPr>
    </w:p>
    <w:p w14:paraId="0B0DF59A">
      <w:pPr>
        <w:widowControl/>
        <w:rPr>
          <w:rFonts w:ascii="等线" w:hAnsi="等线"/>
        </w:rPr>
      </w:pPr>
      <w:r>
        <w:rPr>
          <w:rFonts w:hint="eastAsia" w:ascii="等线" w:hAnsi="等线"/>
        </w:rPr>
        <w:t>说明:</w:t>
      </w:r>
    </w:p>
    <w:p w14:paraId="3193D6CF">
      <w:pPr>
        <w:widowControl/>
        <w:ind w:firstLine="140" w:firstLineChars="67"/>
        <w:rPr>
          <w:rFonts w:ascii="等线" w:hAnsi="等线"/>
        </w:rPr>
      </w:pPr>
      <w:r>
        <w:rPr>
          <w:rFonts w:hint="eastAsia" w:ascii="等线" w:hAnsi="等线"/>
        </w:rPr>
        <w:t>1.单位负责人指单位法定代表人或者法律、行政法规规定代表单位行使职权的主要负责人；</w:t>
      </w:r>
    </w:p>
    <w:p w14:paraId="0FA49014">
      <w:pPr>
        <w:widowControl/>
        <w:ind w:firstLine="140" w:firstLineChars="67"/>
        <w:rPr>
          <w:rFonts w:ascii="等线" w:hAnsi="等线"/>
        </w:rPr>
      </w:pPr>
      <w:r>
        <w:rPr>
          <w:rFonts w:hint="eastAsia" w:ascii="等线" w:hAnsi="等线"/>
        </w:rPr>
        <w:t>2.控股、管理关系仅限于直接控股、直接管理关系，不包括间接的控股或管理关系。</w:t>
      </w:r>
    </w:p>
    <w:p w14:paraId="373810AE">
      <w:pPr>
        <w:spacing w:before="100" w:beforeAutospacing="1" w:after="100" w:afterAutospacing="1" w:line="276" w:lineRule="auto"/>
        <w:rPr>
          <w:rFonts w:ascii="宋体" w:hAnsi="宋体"/>
          <w:szCs w:val="21"/>
        </w:rPr>
      </w:pPr>
    </w:p>
    <w:p w14:paraId="7CE4ACA3">
      <w:pPr>
        <w:widowControl/>
        <w:jc w:val="left"/>
        <w:rPr>
          <w:rFonts w:ascii="宋体" w:hAnsi="宋体"/>
          <w:szCs w:val="21"/>
        </w:rPr>
      </w:pPr>
      <w:r>
        <w:rPr>
          <w:rFonts w:ascii="宋体" w:hAnsi="宋体"/>
          <w:szCs w:val="21"/>
        </w:rPr>
        <w:br w:type="page"/>
      </w:r>
    </w:p>
    <w:p w14:paraId="6BBFE9B7">
      <w:pPr>
        <w:snapToGrid w:val="0"/>
        <w:spacing w:before="100" w:beforeAutospacing="1" w:line="360" w:lineRule="auto"/>
        <w:outlineLvl w:val="4"/>
        <w:rPr>
          <w:rFonts w:ascii="宋体" w:hAnsi="宋体" w:cs="宋体"/>
          <w:szCs w:val="21"/>
        </w:rPr>
      </w:pPr>
      <w:bookmarkStart w:id="115" w:name="_Toc494665560"/>
      <w:bookmarkStart w:id="116" w:name="_Toc494577412"/>
      <w:bookmarkStart w:id="117" w:name="_Toc494745324"/>
      <w:bookmarkStart w:id="118" w:name="_Toc494665957"/>
      <w:bookmarkStart w:id="119" w:name="_Toc494702277"/>
      <w:bookmarkStart w:id="120" w:name="_Toc494721107"/>
      <w:bookmarkStart w:id="121" w:name="_Toc494665007"/>
      <w:r>
        <w:rPr>
          <w:rFonts w:hint="eastAsia" w:ascii="宋体" w:hAnsi="宋体" w:cs="宋体"/>
          <w:szCs w:val="21"/>
        </w:rPr>
        <w:t>附件七：小型和微型企业、监狱企业、残疾人福利性单位货物汇总表</w:t>
      </w:r>
      <w:bookmarkEnd w:id="115"/>
      <w:bookmarkEnd w:id="116"/>
      <w:bookmarkEnd w:id="117"/>
      <w:bookmarkEnd w:id="118"/>
      <w:bookmarkEnd w:id="119"/>
      <w:bookmarkEnd w:id="120"/>
      <w:bookmarkEnd w:id="121"/>
    </w:p>
    <w:p w14:paraId="3C75FF1A">
      <w:pPr>
        <w:spacing w:line="360" w:lineRule="auto"/>
        <w:jc w:val="center"/>
        <w:rPr>
          <w:rFonts w:ascii="宋体" w:hAnsi="宋体" w:cs="宋体"/>
          <w:b/>
          <w:szCs w:val="21"/>
        </w:rPr>
      </w:pPr>
      <w:r>
        <w:rPr>
          <w:rFonts w:hint="eastAsia" w:ascii="宋体" w:hAnsi="宋体" w:cs="宋体"/>
          <w:b/>
          <w:szCs w:val="21"/>
        </w:rPr>
        <w:t>小型和微型企业、监狱企业、残疾人福利性单位货物汇总表</w:t>
      </w:r>
    </w:p>
    <w:p w14:paraId="15C85866">
      <w:pPr>
        <w:spacing w:line="360" w:lineRule="auto"/>
        <w:jc w:val="center"/>
        <w:rPr>
          <w:rFonts w:ascii="宋体" w:hAnsi="宋体" w:cs="宋体"/>
          <w:b/>
          <w:szCs w:val="21"/>
        </w:rPr>
      </w:pPr>
      <w:r>
        <w:rPr>
          <w:rFonts w:hint="eastAsia" w:ascii="宋体" w:hAnsi="宋体" w:cs="宋体"/>
          <w:b/>
          <w:szCs w:val="21"/>
        </w:rPr>
        <w:t>（非此类企业不填写此表）</w:t>
      </w:r>
    </w:p>
    <w:p w14:paraId="41F3ED43">
      <w:pPr>
        <w:spacing w:line="360" w:lineRule="auto"/>
        <w:rPr>
          <w:rFonts w:ascii="宋体" w:hAnsi="宋体" w:cs="宋体"/>
          <w:szCs w:val="21"/>
        </w:rPr>
      </w:pPr>
      <w:r>
        <w:rPr>
          <w:rFonts w:hint="eastAsia" w:ascii="宋体" w:hAnsi="宋体" w:cs="宋体"/>
          <w:szCs w:val="21"/>
        </w:rPr>
        <w:t>投标人：</w:t>
      </w:r>
    </w:p>
    <w:p w14:paraId="45E2039F">
      <w:pPr>
        <w:spacing w:line="360" w:lineRule="auto"/>
        <w:rPr>
          <w:rFonts w:ascii="宋体" w:hAnsi="宋体" w:cs="宋体"/>
          <w:szCs w:val="21"/>
        </w:rPr>
      </w:pPr>
      <w:r>
        <w:rPr>
          <w:rFonts w:hint="eastAsia" w:ascii="宋体" w:hAnsi="宋体" w:cs="宋体"/>
          <w:szCs w:val="21"/>
        </w:rPr>
        <w:t>项目编号/包号</w:t>
      </w:r>
      <w:r>
        <w:rPr>
          <w:rFonts w:hint="eastAsia" w:ascii="宋体" w:hAnsi="宋体" w:cs="宋体"/>
          <w:szCs w:val="21"/>
          <w:lang w:val="zh-CN"/>
        </w:rPr>
        <w:t>：</w:t>
      </w:r>
      <w:r>
        <w:rPr>
          <w:rFonts w:hint="eastAsia" w:ascii="宋体" w:hAnsi="宋体" w:cs="宋体"/>
          <w:bCs/>
          <w:szCs w:val="21"/>
          <w:lang w:val="zh-CN"/>
        </w:rPr>
        <w:t xml:space="preserve">                项目名称：</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14:paraId="6A39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14:paraId="0AB1D444">
            <w:pPr>
              <w:adjustRightInd w:val="0"/>
              <w:snapToGrid w:val="0"/>
              <w:spacing w:line="360" w:lineRule="auto"/>
              <w:ind w:left="-88" w:leftChars="-42"/>
              <w:jc w:val="center"/>
              <w:rPr>
                <w:rFonts w:ascii="宋体" w:hAnsi="宋体" w:cs="宋体"/>
                <w:szCs w:val="21"/>
              </w:rPr>
            </w:pPr>
            <w:r>
              <w:rPr>
                <w:rFonts w:hint="eastAsia" w:ascii="宋体" w:hAnsi="宋体" w:cs="宋体"/>
                <w:szCs w:val="21"/>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14:paraId="6328DE96">
            <w:pPr>
              <w:adjustRightInd w:val="0"/>
              <w:snapToGrid w:val="0"/>
              <w:spacing w:line="360" w:lineRule="auto"/>
              <w:ind w:left="-88" w:leftChars="-42"/>
              <w:jc w:val="center"/>
              <w:rPr>
                <w:rFonts w:ascii="宋体" w:hAnsi="宋体" w:cs="宋体"/>
                <w:szCs w:val="21"/>
              </w:rPr>
            </w:pPr>
            <w:r>
              <w:rPr>
                <w:rFonts w:hint="eastAsia" w:ascii="宋体" w:hAnsi="宋体" w:cs="宋体"/>
                <w:szCs w:val="21"/>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14:paraId="31F00EF0">
            <w:pPr>
              <w:adjustRightInd w:val="0"/>
              <w:snapToGrid w:val="0"/>
              <w:spacing w:line="360" w:lineRule="auto"/>
              <w:ind w:left="-88" w:leftChars="-42"/>
              <w:jc w:val="center"/>
              <w:rPr>
                <w:rFonts w:ascii="宋体" w:hAnsi="宋体" w:cs="宋体"/>
                <w:szCs w:val="21"/>
              </w:rPr>
            </w:pPr>
            <w:r>
              <w:rPr>
                <w:rFonts w:hint="eastAsia" w:ascii="宋体" w:hAnsi="宋体" w:cs="宋体"/>
                <w:szCs w:val="21"/>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14:paraId="6179DCFC">
            <w:pPr>
              <w:adjustRightInd w:val="0"/>
              <w:snapToGrid w:val="0"/>
              <w:spacing w:line="360" w:lineRule="auto"/>
              <w:ind w:left="-88" w:leftChars="-42"/>
              <w:jc w:val="center"/>
              <w:rPr>
                <w:rFonts w:ascii="宋体" w:hAnsi="宋体" w:cs="宋体"/>
                <w:szCs w:val="21"/>
              </w:rPr>
            </w:pPr>
            <w:r>
              <w:rPr>
                <w:rFonts w:hint="eastAsia" w:ascii="宋体" w:hAnsi="宋体" w:cs="宋体"/>
                <w:szCs w:val="21"/>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14:paraId="1B1F9A8C">
            <w:pPr>
              <w:adjustRightInd w:val="0"/>
              <w:snapToGrid w:val="0"/>
              <w:spacing w:line="360" w:lineRule="auto"/>
              <w:ind w:left="-88" w:leftChars="-42"/>
              <w:jc w:val="center"/>
              <w:rPr>
                <w:rFonts w:ascii="宋体" w:hAnsi="宋体" w:cs="宋体"/>
                <w:szCs w:val="21"/>
              </w:rPr>
            </w:pPr>
            <w:r>
              <w:rPr>
                <w:rFonts w:hint="eastAsia" w:ascii="宋体" w:hAnsi="宋体" w:cs="宋体"/>
                <w:szCs w:val="21"/>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14:paraId="2678AF06">
            <w:pPr>
              <w:adjustRightInd w:val="0"/>
              <w:snapToGrid w:val="0"/>
              <w:spacing w:line="360" w:lineRule="auto"/>
              <w:ind w:left="-88" w:leftChars="-42"/>
              <w:jc w:val="center"/>
              <w:rPr>
                <w:rFonts w:ascii="宋体" w:hAnsi="宋体" w:cs="宋体"/>
                <w:szCs w:val="21"/>
              </w:rPr>
            </w:pPr>
            <w:r>
              <w:rPr>
                <w:rFonts w:hint="eastAsia" w:ascii="宋体" w:hAnsi="宋体" w:cs="宋体"/>
                <w:szCs w:val="21"/>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7EDF3B90">
            <w:pPr>
              <w:adjustRightInd w:val="0"/>
              <w:snapToGrid w:val="0"/>
              <w:spacing w:line="360" w:lineRule="auto"/>
              <w:ind w:left="-88" w:leftChars="-42"/>
              <w:jc w:val="center"/>
              <w:rPr>
                <w:rFonts w:ascii="宋体" w:hAnsi="宋体" w:cs="宋体"/>
                <w:szCs w:val="21"/>
              </w:rPr>
            </w:pPr>
            <w:r>
              <w:rPr>
                <w:rFonts w:hint="eastAsia" w:ascii="宋体" w:hAnsi="宋体" w:cs="宋体"/>
                <w:szCs w:val="21"/>
              </w:rPr>
              <w:t>分项</w:t>
            </w:r>
          </w:p>
          <w:p w14:paraId="54FD00F7">
            <w:pPr>
              <w:adjustRightInd w:val="0"/>
              <w:snapToGrid w:val="0"/>
              <w:spacing w:line="360" w:lineRule="auto"/>
              <w:ind w:left="-88" w:leftChars="-42"/>
              <w:jc w:val="center"/>
              <w:rPr>
                <w:rFonts w:ascii="宋体" w:hAnsi="宋体" w:cs="宋体"/>
                <w:szCs w:val="21"/>
              </w:rPr>
            </w:pPr>
            <w:r>
              <w:rPr>
                <w:rFonts w:hint="eastAsia" w:ascii="宋体" w:hAnsi="宋体" w:cs="宋体"/>
                <w:szCs w:val="21"/>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14:paraId="091AF51A">
            <w:pPr>
              <w:adjustRightInd w:val="0"/>
              <w:snapToGrid w:val="0"/>
              <w:spacing w:line="360" w:lineRule="auto"/>
              <w:ind w:left="-88" w:leftChars="-42"/>
              <w:jc w:val="center"/>
              <w:rPr>
                <w:rFonts w:ascii="宋体" w:hAnsi="宋体" w:cs="宋体"/>
                <w:szCs w:val="21"/>
              </w:rPr>
            </w:pPr>
            <w:r>
              <w:rPr>
                <w:rFonts w:hint="eastAsia" w:ascii="宋体" w:hAnsi="宋体" w:cs="宋体"/>
                <w:szCs w:val="21"/>
              </w:rPr>
              <w:t>对应页码</w:t>
            </w:r>
          </w:p>
        </w:tc>
      </w:tr>
      <w:tr w14:paraId="1DF13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3DCD302D">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1</w:t>
            </w:r>
          </w:p>
        </w:tc>
        <w:tc>
          <w:tcPr>
            <w:tcW w:w="1552" w:type="dxa"/>
            <w:tcBorders>
              <w:top w:val="single" w:color="auto" w:sz="4" w:space="0"/>
              <w:left w:val="single" w:color="auto" w:sz="4" w:space="0"/>
              <w:bottom w:val="single" w:color="auto" w:sz="4" w:space="0"/>
              <w:right w:val="single" w:color="auto" w:sz="4" w:space="0"/>
            </w:tcBorders>
          </w:tcPr>
          <w:p w14:paraId="03BDFF20">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2AF11AC2">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E9C5DCA">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4FC6FC01">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1FBE8250">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A9A09A2">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2706C23">
            <w:pPr>
              <w:tabs>
                <w:tab w:val="left" w:pos="0"/>
                <w:tab w:val="left" w:pos="56"/>
              </w:tabs>
              <w:adjustRightInd w:val="0"/>
              <w:snapToGrid w:val="0"/>
              <w:spacing w:line="360" w:lineRule="auto"/>
              <w:jc w:val="center"/>
              <w:rPr>
                <w:rFonts w:ascii="宋体" w:hAnsi="宋体" w:cs="宋体"/>
                <w:szCs w:val="21"/>
              </w:rPr>
            </w:pPr>
          </w:p>
        </w:tc>
      </w:tr>
      <w:tr w14:paraId="53E8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ADEA471">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2</w:t>
            </w:r>
          </w:p>
        </w:tc>
        <w:tc>
          <w:tcPr>
            <w:tcW w:w="1552" w:type="dxa"/>
            <w:tcBorders>
              <w:top w:val="single" w:color="auto" w:sz="4" w:space="0"/>
              <w:left w:val="single" w:color="auto" w:sz="4" w:space="0"/>
              <w:bottom w:val="single" w:color="auto" w:sz="4" w:space="0"/>
              <w:right w:val="single" w:color="auto" w:sz="4" w:space="0"/>
            </w:tcBorders>
          </w:tcPr>
          <w:p w14:paraId="5A57717E">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67A9E4EF">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BC08FD2">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255A53D1">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154E3B64">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5492339">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11D92EE1">
            <w:pPr>
              <w:tabs>
                <w:tab w:val="left" w:pos="0"/>
                <w:tab w:val="left" w:pos="56"/>
              </w:tabs>
              <w:adjustRightInd w:val="0"/>
              <w:snapToGrid w:val="0"/>
              <w:spacing w:line="360" w:lineRule="auto"/>
              <w:jc w:val="center"/>
              <w:rPr>
                <w:rFonts w:ascii="宋体" w:hAnsi="宋体" w:cs="宋体"/>
                <w:szCs w:val="21"/>
              </w:rPr>
            </w:pPr>
          </w:p>
        </w:tc>
      </w:tr>
      <w:tr w14:paraId="5890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F0F2176">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3</w:t>
            </w:r>
          </w:p>
        </w:tc>
        <w:tc>
          <w:tcPr>
            <w:tcW w:w="1552" w:type="dxa"/>
            <w:tcBorders>
              <w:top w:val="single" w:color="auto" w:sz="4" w:space="0"/>
              <w:left w:val="single" w:color="auto" w:sz="4" w:space="0"/>
              <w:bottom w:val="single" w:color="auto" w:sz="4" w:space="0"/>
              <w:right w:val="single" w:color="auto" w:sz="4" w:space="0"/>
            </w:tcBorders>
          </w:tcPr>
          <w:p w14:paraId="5283638A">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158E7D67">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66D8AD9">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037463AE">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2320AA35">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72E7C3C">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0D60E07E">
            <w:pPr>
              <w:tabs>
                <w:tab w:val="left" w:pos="0"/>
                <w:tab w:val="left" w:pos="56"/>
              </w:tabs>
              <w:adjustRightInd w:val="0"/>
              <w:snapToGrid w:val="0"/>
              <w:spacing w:line="360" w:lineRule="auto"/>
              <w:jc w:val="center"/>
              <w:rPr>
                <w:rFonts w:ascii="宋体" w:hAnsi="宋体" w:cs="宋体"/>
                <w:szCs w:val="21"/>
              </w:rPr>
            </w:pPr>
          </w:p>
        </w:tc>
      </w:tr>
      <w:tr w14:paraId="10D2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4D063F72">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4</w:t>
            </w:r>
          </w:p>
        </w:tc>
        <w:tc>
          <w:tcPr>
            <w:tcW w:w="1552" w:type="dxa"/>
            <w:tcBorders>
              <w:top w:val="single" w:color="auto" w:sz="4" w:space="0"/>
              <w:left w:val="single" w:color="auto" w:sz="4" w:space="0"/>
              <w:bottom w:val="single" w:color="auto" w:sz="4" w:space="0"/>
              <w:right w:val="single" w:color="auto" w:sz="4" w:space="0"/>
            </w:tcBorders>
          </w:tcPr>
          <w:p w14:paraId="03BCDD46">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7F816645">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23D6CD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29852CAE">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750FC801">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978C26D">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28C7B760">
            <w:pPr>
              <w:tabs>
                <w:tab w:val="left" w:pos="0"/>
                <w:tab w:val="left" w:pos="56"/>
              </w:tabs>
              <w:adjustRightInd w:val="0"/>
              <w:snapToGrid w:val="0"/>
              <w:spacing w:line="360" w:lineRule="auto"/>
              <w:jc w:val="center"/>
              <w:rPr>
                <w:rFonts w:ascii="宋体" w:hAnsi="宋体" w:cs="宋体"/>
                <w:szCs w:val="21"/>
              </w:rPr>
            </w:pPr>
          </w:p>
        </w:tc>
      </w:tr>
      <w:tr w14:paraId="71B0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7C6C1558">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5</w:t>
            </w:r>
          </w:p>
        </w:tc>
        <w:tc>
          <w:tcPr>
            <w:tcW w:w="1552" w:type="dxa"/>
            <w:tcBorders>
              <w:top w:val="single" w:color="auto" w:sz="4" w:space="0"/>
              <w:left w:val="single" w:color="auto" w:sz="4" w:space="0"/>
              <w:bottom w:val="single" w:color="auto" w:sz="4" w:space="0"/>
              <w:right w:val="single" w:color="auto" w:sz="4" w:space="0"/>
            </w:tcBorders>
          </w:tcPr>
          <w:p w14:paraId="597BBA64">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7AAA7E0B">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9B2658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4BEDDDDC">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7F651776">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4420233">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535B53F0">
            <w:pPr>
              <w:tabs>
                <w:tab w:val="left" w:pos="0"/>
                <w:tab w:val="left" w:pos="56"/>
              </w:tabs>
              <w:adjustRightInd w:val="0"/>
              <w:snapToGrid w:val="0"/>
              <w:spacing w:line="360" w:lineRule="auto"/>
              <w:jc w:val="center"/>
              <w:rPr>
                <w:rFonts w:ascii="宋体" w:hAnsi="宋体" w:cs="宋体"/>
                <w:szCs w:val="21"/>
              </w:rPr>
            </w:pPr>
          </w:p>
        </w:tc>
      </w:tr>
      <w:tr w14:paraId="78DF2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0A6B6C72">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6</w:t>
            </w:r>
          </w:p>
        </w:tc>
        <w:tc>
          <w:tcPr>
            <w:tcW w:w="1552" w:type="dxa"/>
            <w:tcBorders>
              <w:top w:val="single" w:color="auto" w:sz="4" w:space="0"/>
              <w:left w:val="single" w:color="auto" w:sz="4" w:space="0"/>
              <w:bottom w:val="single" w:color="auto" w:sz="4" w:space="0"/>
              <w:right w:val="single" w:color="auto" w:sz="4" w:space="0"/>
            </w:tcBorders>
          </w:tcPr>
          <w:p w14:paraId="562C1021">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73739D19">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55EC37D">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0F7E728C">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00FD1A10">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8DD89F1">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3601A9E2">
            <w:pPr>
              <w:tabs>
                <w:tab w:val="left" w:pos="0"/>
                <w:tab w:val="left" w:pos="56"/>
              </w:tabs>
              <w:adjustRightInd w:val="0"/>
              <w:snapToGrid w:val="0"/>
              <w:spacing w:line="360" w:lineRule="auto"/>
              <w:jc w:val="center"/>
              <w:rPr>
                <w:rFonts w:ascii="宋体" w:hAnsi="宋体" w:cs="宋体"/>
                <w:szCs w:val="21"/>
              </w:rPr>
            </w:pPr>
          </w:p>
        </w:tc>
      </w:tr>
      <w:tr w14:paraId="109A8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14:paraId="23AC5C95">
            <w:pPr>
              <w:tabs>
                <w:tab w:val="left" w:pos="0"/>
                <w:tab w:val="left" w:pos="56"/>
              </w:tabs>
              <w:adjustRightInd w:val="0"/>
              <w:snapToGrid w:val="0"/>
              <w:spacing w:line="360" w:lineRule="auto"/>
              <w:jc w:val="center"/>
              <w:rPr>
                <w:rFonts w:ascii="宋体" w:hAnsi="宋体" w:cs="宋体"/>
                <w:szCs w:val="21"/>
              </w:rPr>
            </w:pPr>
            <w:r>
              <w:rPr>
                <w:rFonts w:hint="eastAsia" w:ascii="宋体" w:hAnsi="宋体" w:cs="宋体"/>
                <w:szCs w:val="21"/>
              </w:rPr>
              <w:t>…</w:t>
            </w:r>
          </w:p>
        </w:tc>
        <w:tc>
          <w:tcPr>
            <w:tcW w:w="1552" w:type="dxa"/>
            <w:tcBorders>
              <w:top w:val="single" w:color="auto" w:sz="4" w:space="0"/>
              <w:left w:val="single" w:color="auto" w:sz="4" w:space="0"/>
              <w:bottom w:val="single" w:color="auto" w:sz="4" w:space="0"/>
              <w:right w:val="single" w:color="auto" w:sz="4" w:space="0"/>
            </w:tcBorders>
          </w:tcPr>
          <w:p w14:paraId="266895C6">
            <w:pPr>
              <w:tabs>
                <w:tab w:val="left" w:pos="0"/>
                <w:tab w:val="left" w:pos="56"/>
              </w:tabs>
              <w:adjustRightInd w:val="0"/>
              <w:snapToGrid w:val="0"/>
              <w:spacing w:line="360" w:lineRule="auto"/>
              <w:jc w:val="center"/>
              <w:rPr>
                <w:rFonts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14:paraId="15469803">
            <w:pPr>
              <w:tabs>
                <w:tab w:val="left" w:pos="0"/>
                <w:tab w:val="left" w:pos="56"/>
              </w:tabs>
              <w:adjustRightInd w:val="0"/>
              <w:snapToGrid w:val="0"/>
              <w:spacing w:line="360" w:lineRule="auto"/>
              <w:jc w:val="center"/>
              <w:rPr>
                <w:rFonts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0425EB7">
            <w:pPr>
              <w:tabs>
                <w:tab w:val="left" w:pos="0"/>
                <w:tab w:val="left" w:pos="56"/>
              </w:tabs>
              <w:adjustRightInd w:val="0"/>
              <w:snapToGrid w:val="0"/>
              <w:spacing w:line="360" w:lineRule="auto"/>
              <w:jc w:val="center"/>
              <w:rPr>
                <w:rFonts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14:paraId="1D387217">
            <w:pPr>
              <w:tabs>
                <w:tab w:val="left" w:pos="0"/>
                <w:tab w:val="left" w:pos="56"/>
              </w:tabs>
              <w:adjustRightInd w:val="0"/>
              <w:snapToGrid w:val="0"/>
              <w:spacing w:line="360" w:lineRule="auto"/>
              <w:jc w:val="center"/>
              <w:rPr>
                <w:rFonts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14:paraId="197DAD81">
            <w:pPr>
              <w:tabs>
                <w:tab w:val="left" w:pos="0"/>
                <w:tab w:val="left" w:pos="56"/>
              </w:tabs>
              <w:adjustRightInd w:val="0"/>
              <w:snapToGrid w:val="0"/>
              <w:spacing w:line="360" w:lineRule="auto"/>
              <w:jc w:val="center"/>
              <w:rPr>
                <w:rFonts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575FCD7">
            <w:pPr>
              <w:tabs>
                <w:tab w:val="left" w:pos="0"/>
                <w:tab w:val="left" w:pos="56"/>
              </w:tabs>
              <w:adjustRightInd w:val="0"/>
              <w:snapToGrid w:val="0"/>
              <w:spacing w:line="360" w:lineRule="auto"/>
              <w:jc w:val="center"/>
              <w:rPr>
                <w:rFonts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14:paraId="1A7188D1">
            <w:pPr>
              <w:tabs>
                <w:tab w:val="left" w:pos="0"/>
                <w:tab w:val="left" w:pos="56"/>
              </w:tabs>
              <w:adjustRightInd w:val="0"/>
              <w:snapToGrid w:val="0"/>
              <w:spacing w:line="360" w:lineRule="auto"/>
              <w:jc w:val="center"/>
              <w:rPr>
                <w:rFonts w:ascii="宋体" w:hAnsi="宋体" w:cs="宋体"/>
                <w:szCs w:val="21"/>
              </w:rPr>
            </w:pPr>
          </w:p>
        </w:tc>
      </w:tr>
      <w:tr w14:paraId="07B5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14:paraId="12A294B8">
            <w:pPr>
              <w:spacing w:line="360" w:lineRule="auto"/>
              <w:jc w:val="center"/>
              <w:rPr>
                <w:rFonts w:ascii="宋体" w:hAnsi="宋体" w:cs="宋体"/>
                <w:bCs/>
                <w:szCs w:val="21"/>
              </w:rPr>
            </w:pPr>
            <w:r>
              <w:rPr>
                <w:rFonts w:hint="eastAsia" w:ascii="宋体" w:hAnsi="宋体" w:cs="宋体"/>
                <w:bCs/>
                <w:szCs w:val="21"/>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14:paraId="02300827">
            <w:pPr>
              <w:spacing w:line="360" w:lineRule="auto"/>
              <w:rPr>
                <w:rFonts w:ascii="宋体" w:hAnsi="宋体" w:cs="宋体"/>
                <w:bCs/>
                <w:szCs w:val="21"/>
              </w:rPr>
            </w:pPr>
          </w:p>
        </w:tc>
      </w:tr>
    </w:tbl>
    <w:p w14:paraId="545F326E">
      <w:pPr>
        <w:spacing w:line="360" w:lineRule="auto"/>
        <w:ind w:left="918" w:hanging="917" w:hangingChars="437"/>
        <w:rPr>
          <w:rFonts w:ascii="宋体" w:hAnsi="宋体" w:cs="宋体"/>
          <w:szCs w:val="21"/>
        </w:rPr>
      </w:pPr>
      <w:r>
        <w:rPr>
          <w:rFonts w:hint="eastAsia" w:ascii="宋体" w:hAnsi="宋体" w:cs="宋体"/>
          <w:szCs w:val="21"/>
        </w:rPr>
        <w:t>说明： 1．所有价格均用人民币表示，单位为元。</w:t>
      </w:r>
    </w:p>
    <w:p w14:paraId="631E8050">
      <w:pPr>
        <w:spacing w:line="360" w:lineRule="auto"/>
        <w:ind w:left="1017" w:leftChars="339" w:hanging="306" w:hangingChars="146"/>
        <w:rPr>
          <w:rFonts w:ascii="宋体" w:hAnsi="宋体" w:cs="宋体"/>
          <w:szCs w:val="21"/>
        </w:rPr>
      </w:pPr>
      <w:r>
        <w:rPr>
          <w:rFonts w:hint="eastAsia" w:ascii="宋体" w:hAnsi="宋体" w:cs="宋体"/>
          <w:szCs w:val="21"/>
        </w:rPr>
        <w:t>2．投标人提供的相关证明文件对应页码填写到上表“对应页码”中。</w:t>
      </w:r>
    </w:p>
    <w:p w14:paraId="242D703B">
      <w:pPr>
        <w:adjustRightInd w:val="0"/>
        <w:snapToGrid w:val="0"/>
        <w:spacing w:line="360" w:lineRule="auto"/>
        <w:ind w:left="722" w:leftChars="194" w:hanging="315" w:hangingChars="150"/>
        <w:rPr>
          <w:rFonts w:ascii="宋体" w:hAnsi="宋体" w:cs="宋体"/>
          <w:szCs w:val="21"/>
        </w:rPr>
      </w:pPr>
    </w:p>
    <w:p w14:paraId="7E3741E0">
      <w:pPr>
        <w:adjustRightInd w:val="0"/>
        <w:snapToGrid w:val="0"/>
        <w:spacing w:line="360" w:lineRule="auto"/>
        <w:ind w:left="722" w:leftChars="194" w:hanging="315" w:hangingChars="150"/>
        <w:rPr>
          <w:rFonts w:ascii="宋体" w:hAnsi="宋体" w:cs="宋体"/>
          <w:szCs w:val="21"/>
        </w:rPr>
      </w:pPr>
    </w:p>
    <w:p w14:paraId="28E7224A">
      <w:pPr>
        <w:adjustRightInd w:val="0"/>
        <w:snapToGrid w:val="0"/>
        <w:spacing w:line="360" w:lineRule="auto"/>
        <w:ind w:left="722" w:leftChars="194" w:hanging="315" w:hangingChars="150"/>
        <w:rPr>
          <w:rFonts w:ascii="宋体" w:hAnsi="宋体" w:cs="宋体"/>
          <w:szCs w:val="21"/>
        </w:rPr>
      </w:pPr>
    </w:p>
    <w:p w14:paraId="461B4AB9">
      <w:pPr>
        <w:adjustRightInd w:val="0"/>
        <w:snapToGrid w:val="0"/>
        <w:spacing w:line="360" w:lineRule="auto"/>
        <w:ind w:left="722" w:leftChars="194" w:hanging="315" w:hangingChars="150"/>
        <w:rPr>
          <w:rFonts w:ascii="宋体" w:hAnsi="宋体" w:cs="宋体"/>
          <w:szCs w:val="21"/>
        </w:rPr>
      </w:pPr>
    </w:p>
    <w:p w14:paraId="200E6CE2">
      <w:pPr>
        <w:adjustRightInd w:val="0"/>
        <w:snapToGrid w:val="0"/>
        <w:spacing w:line="360" w:lineRule="auto"/>
        <w:ind w:left="722" w:leftChars="194" w:hanging="315" w:hangingChars="150"/>
        <w:rPr>
          <w:rFonts w:ascii="宋体" w:hAnsi="宋体" w:cs="宋体"/>
          <w:szCs w:val="21"/>
        </w:rPr>
      </w:pPr>
    </w:p>
    <w:p w14:paraId="6473CD20">
      <w:pPr>
        <w:spacing w:line="360" w:lineRule="auto"/>
        <w:ind w:firstLine="3968" w:firstLineChars="1890"/>
        <w:rPr>
          <w:rFonts w:ascii="宋体" w:hAnsi="宋体" w:cs="Arial"/>
          <w:szCs w:val="21"/>
        </w:rPr>
      </w:pPr>
      <w:r>
        <w:rPr>
          <w:rFonts w:hint="eastAsia" w:ascii="宋体" w:hAnsi="宋体" w:cs="Arial"/>
          <w:szCs w:val="21"/>
        </w:rPr>
        <w:t>投标人名称（公章）：</w:t>
      </w:r>
    </w:p>
    <w:p w14:paraId="49913937">
      <w:pPr>
        <w:spacing w:line="360" w:lineRule="auto"/>
        <w:ind w:firstLine="3968" w:firstLineChars="1890"/>
        <w:rPr>
          <w:rFonts w:ascii="宋体" w:hAnsi="宋体"/>
          <w:szCs w:val="21"/>
        </w:rPr>
      </w:pPr>
      <w:r>
        <w:rPr>
          <w:rFonts w:hint="eastAsia" w:ascii="宋体" w:hAnsi="宋体"/>
          <w:bCs/>
          <w:szCs w:val="21"/>
        </w:rPr>
        <w:t>日期：年月日</w:t>
      </w:r>
      <w:r>
        <w:rPr>
          <w:rFonts w:hint="eastAsia" w:ascii="宋体" w:hAnsi="宋体"/>
          <w:szCs w:val="21"/>
        </w:rPr>
        <w:br w:type="page"/>
      </w:r>
    </w:p>
    <w:p w14:paraId="634CBEBB">
      <w:pPr>
        <w:spacing w:before="100" w:beforeAutospacing="1" w:after="100" w:afterAutospacing="1" w:line="276" w:lineRule="auto"/>
        <w:outlineLvl w:val="4"/>
        <w:rPr>
          <w:rFonts w:ascii="宋体" w:hAnsi="宋体"/>
          <w:color w:val="0D0D0D"/>
          <w:szCs w:val="21"/>
          <w:lang w:val="zh-CN"/>
        </w:rPr>
      </w:pPr>
      <w:r>
        <w:rPr>
          <w:rFonts w:hint="eastAsia" w:ascii="宋体" w:hAnsi="宋体"/>
          <w:szCs w:val="21"/>
        </w:rPr>
        <w:t>投标人认为需要提供的其他资格证明材料或</w:t>
      </w:r>
      <w:r>
        <w:rPr>
          <w:rFonts w:ascii="宋体" w:hAnsi="宋体"/>
          <w:szCs w:val="21"/>
        </w:rPr>
        <w:t>情况说明</w:t>
      </w:r>
      <w:r>
        <w:rPr>
          <w:rFonts w:hint="eastAsia" w:ascii="宋体" w:hAnsi="宋体"/>
          <w:szCs w:val="21"/>
        </w:rPr>
        <w:t>（</w:t>
      </w:r>
      <w:r>
        <w:rPr>
          <w:rFonts w:hint="eastAsia" w:ascii="宋体" w:hAnsi="宋体"/>
          <w:color w:val="FF0000"/>
          <w:szCs w:val="21"/>
        </w:rPr>
        <w:t>如有</w:t>
      </w:r>
      <w:r>
        <w:rPr>
          <w:rFonts w:ascii="宋体" w:hAnsi="宋体"/>
          <w:szCs w:val="21"/>
        </w:rPr>
        <w:t>）</w:t>
      </w:r>
    </w:p>
    <w:p w14:paraId="123DFE47">
      <w:pPr>
        <w:ind w:firstLine="420"/>
        <w:rPr>
          <w:rFonts w:ascii="宋体" w:hAnsi="宋体"/>
          <w:color w:val="0D0D0D"/>
          <w:szCs w:val="21"/>
          <w:lang w:val="zh-CN"/>
        </w:rPr>
      </w:pPr>
      <w:r>
        <w:rPr>
          <w:rFonts w:ascii="宋体" w:hAnsi="宋体"/>
          <w:color w:val="0D0D0D"/>
          <w:szCs w:val="21"/>
          <w:lang w:val="zh-CN"/>
        </w:rPr>
        <w:br w:type="page"/>
      </w:r>
    </w:p>
    <w:p w14:paraId="6F50A44F">
      <w:pPr>
        <w:pStyle w:val="36"/>
        <w:numPr>
          <w:ilvl w:val="0"/>
          <w:numId w:val="60"/>
        </w:numPr>
        <w:spacing w:line="276" w:lineRule="auto"/>
        <w:ind w:firstLineChars="0"/>
        <w:outlineLvl w:val="2"/>
        <w:rPr>
          <w:szCs w:val="21"/>
        </w:rPr>
      </w:pPr>
      <w:r>
        <w:rPr>
          <w:rFonts w:hint="eastAsia"/>
          <w:szCs w:val="21"/>
        </w:rPr>
        <w:t>节能环保产品清单及证明材料（</w:t>
      </w:r>
      <w:r>
        <w:rPr>
          <w:rFonts w:hint="eastAsia"/>
          <w:color w:val="FF0000"/>
          <w:szCs w:val="21"/>
        </w:rPr>
        <w:t>没有则不填写此表</w:t>
      </w:r>
      <w:r>
        <w:rPr>
          <w:rFonts w:hint="eastAsia"/>
          <w:szCs w:val="21"/>
        </w:rPr>
        <w:t>）</w:t>
      </w:r>
    </w:p>
    <w:p w14:paraId="03BC6596">
      <w:pPr>
        <w:spacing w:line="276" w:lineRule="auto"/>
        <w:jc w:val="center"/>
        <w:rPr>
          <w:rFonts w:ascii="宋体" w:hAnsi="宋体"/>
          <w:b/>
          <w:szCs w:val="21"/>
        </w:rPr>
      </w:pPr>
      <w:r>
        <w:rPr>
          <w:rFonts w:hint="eastAsia" w:ascii="宋体" w:hAnsi="宋体"/>
          <w:b/>
          <w:szCs w:val="21"/>
        </w:rPr>
        <w:t>节能环保产品清单及证明材料</w:t>
      </w:r>
    </w:p>
    <w:p w14:paraId="6D91DAC5">
      <w:pPr>
        <w:spacing w:line="276" w:lineRule="auto"/>
        <w:jc w:val="center"/>
        <w:rPr>
          <w:rFonts w:ascii="宋体" w:hAnsi="宋体"/>
          <w:b/>
          <w:szCs w:val="21"/>
        </w:rPr>
      </w:pPr>
    </w:p>
    <w:p w14:paraId="0F82A903">
      <w:pPr>
        <w:spacing w:line="276" w:lineRule="auto"/>
        <w:jc w:val="left"/>
        <w:rPr>
          <w:rFonts w:hAnsi="宋体"/>
          <w:szCs w:val="21"/>
        </w:rPr>
      </w:pPr>
      <w:r>
        <w:rPr>
          <w:rFonts w:hint="eastAsia" w:hAnsi="宋体"/>
          <w:szCs w:val="21"/>
        </w:rPr>
        <w:t>投标人：</w:t>
      </w:r>
    </w:p>
    <w:p w14:paraId="229A8BDE">
      <w:pPr>
        <w:spacing w:line="276" w:lineRule="auto"/>
        <w:rPr>
          <w:rFonts w:ascii="宋体" w:hAnsi="宋体"/>
          <w:b/>
          <w:szCs w:val="21"/>
        </w:rPr>
      </w:pPr>
      <w:r>
        <w:rPr>
          <w:rFonts w:hint="eastAsia" w:ascii="宋体" w:hAnsi="宋体"/>
          <w:szCs w:val="21"/>
          <w:lang w:val="zh-CN"/>
        </w:rPr>
        <w:t>项目编号/包号：</w:t>
      </w:r>
      <w:r>
        <w:rPr>
          <w:rFonts w:hint="eastAsia" w:ascii="宋体" w:hAnsi="宋体"/>
          <w:bCs/>
          <w:szCs w:val="21"/>
          <w:lang w:val="zh-CN"/>
        </w:rPr>
        <w:t xml:space="preserve">                项目名称：</w:t>
      </w:r>
    </w:p>
    <w:p w14:paraId="1DF48AD5">
      <w:pPr>
        <w:spacing w:line="276" w:lineRule="auto"/>
        <w:rPr>
          <w:rFonts w:ascii="宋体" w:hAnsi="宋体" w:cs="Arial"/>
          <w:b/>
          <w:szCs w:val="21"/>
        </w:rPr>
      </w:pPr>
      <w:r>
        <w:rPr>
          <w:rFonts w:hint="eastAsia" w:ascii="宋体" w:hAnsi="宋体" w:cs="Arial"/>
          <w:b/>
          <w:szCs w:val="21"/>
        </w:rPr>
        <w:t>1）节能产品</w:t>
      </w:r>
    </w:p>
    <w:tbl>
      <w:tblPr>
        <w:tblStyle w:val="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14:paraId="4B02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497ED649">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21EF7E3F">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7BCAF48D">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3414B1DF">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18F87A2D">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0F73D2BD">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69684D96">
            <w:pPr>
              <w:snapToGrid w:val="0"/>
              <w:spacing w:line="276" w:lineRule="auto"/>
              <w:jc w:val="center"/>
              <w:rPr>
                <w:rFonts w:ascii="宋体" w:hAnsi="宋体" w:cs="Arial"/>
                <w:szCs w:val="21"/>
              </w:rPr>
            </w:pPr>
            <w:r>
              <w:rPr>
                <w:rFonts w:hint="eastAsia" w:ascii="宋体" w:hAnsi="宋体" w:cs="Arial"/>
                <w:szCs w:val="21"/>
              </w:rPr>
              <w:t>单价</w:t>
            </w:r>
          </w:p>
          <w:p w14:paraId="617564C8">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6FA83F12">
            <w:pPr>
              <w:snapToGrid w:val="0"/>
              <w:spacing w:line="276" w:lineRule="auto"/>
              <w:jc w:val="center"/>
              <w:rPr>
                <w:rFonts w:ascii="宋体" w:hAnsi="宋体" w:cs="Arial"/>
                <w:szCs w:val="21"/>
              </w:rPr>
            </w:pPr>
            <w:r>
              <w:rPr>
                <w:rFonts w:hint="eastAsia" w:ascii="宋体" w:hAnsi="宋体" w:cs="Arial"/>
                <w:szCs w:val="21"/>
              </w:rPr>
              <w:t>总价</w:t>
            </w:r>
          </w:p>
          <w:p w14:paraId="24887D64">
            <w:pPr>
              <w:snapToGrid w:val="0"/>
              <w:spacing w:line="276" w:lineRule="auto"/>
              <w:jc w:val="center"/>
              <w:rPr>
                <w:rFonts w:ascii="宋体" w:hAnsi="宋体" w:cs="Arial"/>
                <w:szCs w:val="21"/>
              </w:rPr>
            </w:pPr>
            <w:r>
              <w:rPr>
                <w:rFonts w:hint="eastAsia" w:ascii="宋体" w:hAnsi="宋体" w:cs="Arial"/>
                <w:szCs w:val="21"/>
              </w:rPr>
              <w:t>（万元）</w:t>
            </w:r>
          </w:p>
        </w:tc>
        <w:tc>
          <w:tcPr>
            <w:tcW w:w="1247" w:type="dxa"/>
            <w:tcBorders>
              <w:top w:val="single" w:color="auto" w:sz="4" w:space="0"/>
              <w:left w:val="single" w:color="auto" w:sz="4" w:space="0"/>
              <w:bottom w:val="single" w:color="auto" w:sz="4" w:space="0"/>
              <w:right w:val="single" w:color="auto" w:sz="4" w:space="0"/>
            </w:tcBorders>
            <w:vAlign w:val="center"/>
          </w:tcPr>
          <w:p w14:paraId="233F35E1">
            <w:pPr>
              <w:snapToGrid w:val="0"/>
              <w:spacing w:line="276" w:lineRule="auto"/>
              <w:jc w:val="center"/>
              <w:rPr>
                <w:rFonts w:ascii="宋体" w:hAnsi="宋体" w:cs="Arial"/>
                <w:szCs w:val="21"/>
              </w:rPr>
            </w:pPr>
            <w:r>
              <w:rPr>
                <w:rFonts w:hint="eastAsia" w:ascii="宋体" w:hAnsi="宋体" w:cs="Arial"/>
                <w:szCs w:val="21"/>
              </w:rPr>
              <w:t>备注</w:t>
            </w:r>
          </w:p>
        </w:tc>
      </w:tr>
      <w:tr w14:paraId="6651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42199A32">
            <w:pPr>
              <w:numPr>
                <w:ilvl w:val="0"/>
                <w:numId w:val="63"/>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6B3D364B">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658DC0D">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39FE9B7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79FF029">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DCD485C">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75DC7D0">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43C760F6">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52DF9482">
            <w:pPr>
              <w:snapToGrid w:val="0"/>
              <w:spacing w:line="276" w:lineRule="auto"/>
              <w:jc w:val="center"/>
              <w:rPr>
                <w:rFonts w:ascii="宋体" w:hAnsi="宋体" w:cs="Arial"/>
                <w:szCs w:val="21"/>
              </w:rPr>
            </w:pPr>
          </w:p>
        </w:tc>
      </w:tr>
      <w:tr w14:paraId="4A42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51A8826C">
            <w:pPr>
              <w:numPr>
                <w:ilvl w:val="0"/>
                <w:numId w:val="63"/>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48A05056">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4936CAAF">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60A7470">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A21D6DC">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F3C9E86">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39A4409">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1030E071">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3E1F1A5B">
            <w:pPr>
              <w:snapToGrid w:val="0"/>
              <w:spacing w:line="276" w:lineRule="auto"/>
              <w:jc w:val="center"/>
              <w:rPr>
                <w:rFonts w:ascii="宋体" w:hAnsi="宋体" w:cs="Arial"/>
                <w:szCs w:val="21"/>
              </w:rPr>
            </w:pPr>
          </w:p>
        </w:tc>
      </w:tr>
      <w:tr w14:paraId="57F8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023BBD1B">
            <w:pPr>
              <w:numPr>
                <w:ilvl w:val="0"/>
                <w:numId w:val="63"/>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vAlign w:val="center"/>
          </w:tcPr>
          <w:p w14:paraId="48D260B7">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49D53741">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13B5A33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3A4420D8">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62ACD575">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B85E54A">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7AB9FE0D">
            <w:pPr>
              <w:snapToGrid w:val="0"/>
              <w:spacing w:line="276" w:lineRule="auto"/>
              <w:jc w:val="center"/>
              <w:rPr>
                <w:rFonts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14:paraId="4C544570">
            <w:pPr>
              <w:snapToGrid w:val="0"/>
              <w:spacing w:line="276" w:lineRule="auto"/>
              <w:jc w:val="center"/>
              <w:rPr>
                <w:rFonts w:ascii="宋体" w:hAnsi="宋体" w:cs="Arial"/>
                <w:szCs w:val="21"/>
              </w:rPr>
            </w:pPr>
          </w:p>
        </w:tc>
      </w:tr>
    </w:tbl>
    <w:p w14:paraId="7BC40B6F">
      <w:pPr>
        <w:spacing w:line="276" w:lineRule="auto"/>
        <w:rPr>
          <w:rFonts w:ascii="宋体" w:hAnsi="宋体" w:cs="Arial"/>
          <w:szCs w:val="21"/>
        </w:rPr>
      </w:pPr>
    </w:p>
    <w:p w14:paraId="2AF7A5E0">
      <w:pPr>
        <w:spacing w:line="276" w:lineRule="auto"/>
        <w:rPr>
          <w:rFonts w:ascii="宋体" w:hAnsi="宋体" w:cs="Arial"/>
          <w:b/>
          <w:szCs w:val="21"/>
        </w:rPr>
      </w:pPr>
      <w:r>
        <w:rPr>
          <w:rFonts w:hint="eastAsia" w:ascii="宋体" w:hAnsi="宋体" w:cs="Arial"/>
          <w:b/>
          <w:szCs w:val="21"/>
        </w:rPr>
        <w:t>2）环保产品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14:paraId="4674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9A34249">
            <w:pPr>
              <w:snapToGrid w:val="0"/>
              <w:spacing w:line="276" w:lineRule="auto"/>
              <w:jc w:val="center"/>
              <w:rPr>
                <w:rFonts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14:paraId="0732E867">
            <w:pPr>
              <w:snapToGrid w:val="0"/>
              <w:spacing w:line="276" w:lineRule="auto"/>
              <w:jc w:val="center"/>
              <w:rPr>
                <w:rFonts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14:paraId="470A70E3">
            <w:pPr>
              <w:snapToGrid w:val="0"/>
              <w:spacing w:line="276" w:lineRule="auto"/>
              <w:jc w:val="center"/>
              <w:rPr>
                <w:rFonts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14:paraId="76999A84">
            <w:pPr>
              <w:snapToGrid w:val="0"/>
              <w:spacing w:line="276" w:lineRule="auto"/>
              <w:jc w:val="center"/>
              <w:rPr>
                <w:rFonts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14:paraId="7DC9A2ED">
            <w:pPr>
              <w:snapToGrid w:val="0"/>
              <w:spacing w:line="276" w:lineRule="auto"/>
              <w:jc w:val="center"/>
              <w:rPr>
                <w:rFonts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14:paraId="3B7C4A5F">
            <w:pPr>
              <w:snapToGrid w:val="0"/>
              <w:spacing w:line="276" w:lineRule="auto"/>
              <w:jc w:val="center"/>
              <w:rPr>
                <w:rFonts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14:paraId="2A3DE41F">
            <w:pPr>
              <w:snapToGrid w:val="0"/>
              <w:spacing w:line="276" w:lineRule="auto"/>
              <w:jc w:val="center"/>
              <w:rPr>
                <w:rFonts w:ascii="宋体" w:hAnsi="宋体" w:cs="Arial"/>
                <w:szCs w:val="21"/>
              </w:rPr>
            </w:pPr>
            <w:r>
              <w:rPr>
                <w:rFonts w:hint="eastAsia" w:ascii="宋体" w:hAnsi="宋体" w:cs="Arial"/>
                <w:szCs w:val="21"/>
              </w:rPr>
              <w:t>单价</w:t>
            </w:r>
          </w:p>
          <w:p w14:paraId="2365494A">
            <w:pPr>
              <w:snapToGrid w:val="0"/>
              <w:spacing w:line="276" w:lineRule="auto"/>
              <w:jc w:val="center"/>
              <w:rPr>
                <w:rFonts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14:paraId="7FB94F0E">
            <w:pPr>
              <w:snapToGrid w:val="0"/>
              <w:spacing w:line="276" w:lineRule="auto"/>
              <w:jc w:val="center"/>
              <w:rPr>
                <w:rFonts w:ascii="宋体" w:hAnsi="宋体" w:cs="Arial"/>
                <w:szCs w:val="21"/>
              </w:rPr>
            </w:pPr>
            <w:r>
              <w:rPr>
                <w:rFonts w:hint="eastAsia" w:ascii="宋体" w:hAnsi="宋体" w:cs="Arial"/>
                <w:szCs w:val="21"/>
              </w:rPr>
              <w:t>总价</w:t>
            </w:r>
          </w:p>
          <w:p w14:paraId="031ACE9D">
            <w:pPr>
              <w:snapToGrid w:val="0"/>
              <w:spacing w:line="276" w:lineRule="auto"/>
              <w:jc w:val="center"/>
              <w:rPr>
                <w:rFonts w:ascii="宋体" w:hAnsi="宋体" w:cs="Arial"/>
                <w:szCs w:val="21"/>
              </w:rPr>
            </w:pPr>
            <w:r>
              <w:rPr>
                <w:rFonts w:hint="eastAsia" w:ascii="宋体" w:hAnsi="宋体" w:cs="Arial"/>
                <w:szCs w:val="21"/>
              </w:rPr>
              <w:t>（万元）</w:t>
            </w:r>
          </w:p>
        </w:tc>
        <w:tc>
          <w:tcPr>
            <w:tcW w:w="1296" w:type="dxa"/>
            <w:tcBorders>
              <w:top w:val="single" w:color="auto" w:sz="4" w:space="0"/>
              <w:left w:val="single" w:color="auto" w:sz="4" w:space="0"/>
              <w:bottom w:val="single" w:color="auto" w:sz="4" w:space="0"/>
              <w:right w:val="single" w:color="auto" w:sz="4" w:space="0"/>
            </w:tcBorders>
            <w:vAlign w:val="center"/>
          </w:tcPr>
          <w:p w14:paraId="367520B2">
            <w:pPr>
              <w:snapToGrid w:val="0"/>
              <w:spacing w:line="276" w:lineRule="auto"/>
              <w:jc w:val="center"/>
              <w:rPr>
                <w:rFonts w:ascii="宋体" w:hAnsi="宋体" w:cs="Arial"/>
                <w:szCs w:val="21"/>
              </w:rPr>
            </w:pPr>
            <w:r>
              <w:rPr>
                <w:rFonts w:hint="eastAsia" w:ascii="宋体" w:hAnsi="宋体" w:cs="Arial"/>
                <w:szCs w:val="21"/>
              </w:rPr>
              <w:t>备注</w:t>
            </w:r>
          </w:p>
        </w:tc>
      </w:tr>
      <w:tr w14:paraId="11463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7115AA1D">
            <w:pPr>
              <w:numPr>
                <w:ilvl w:val="0"/>
                <w:numId w:val="64"/>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672C0A40">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1F9232DC">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46B5F431">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D65E693">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94B6905">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D08D9EE">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179D55A2">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09EAD6FC">
            <w:pPr>
              <w:snapToGrid w:val="0"/>
              <w:spacing w:line="276" w:lineRule="auto"/>
              <w:jc w:val="center"/>
              <w:rPr>
                <w:rFonts w:ascii="宋体" w:hAnsi="宋体" w:cs="Arial"/>
                <w:szCs w:val="21"/>
              </w:rPr>
            </w:pPr>
          </w:p>
        </w:tc>
      </w:tr>
      <w:tr w14:paraId="1B94A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4EDFC82B">
            <w:pPr>
              <w:numPr>
                <w:ilvl w:val="0"/>
                <w:numId w:val="64"/>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7A0EF87A">
            <w:pPr>
              <w:snapToGrid w:val="0"/>
              <w:spacing w:line="276" w:lineRule="auto"/>
              <w:rPr>
                <w:rFonts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14:paraId="2B5F5EE0">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04C78947">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75EA0A5C">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E9C53A6">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E41D442">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7E78B05B">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77127EBA">
            <w:pPr>
              <w:snapToGrid w:val="0"/>
              <w:spacing w:line="276" w:lineRule="auto"/>
              <w:jc w:val="center"/>
              <w:rPr>
                <w:rFonts w:ascii="宋体" w:hAnsi="宋体" w:cs="Arial"/>
                <w:szCs w:val="21"/>
              </w:rPr>
            </w:pPr>
          </w:p>
        </w:tc>
      </w:tr>
      <w:tr w14:paraId="7A30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14:paraId="30C52D62">
            <w:pPr>
              <w:numPr>
                <w:ilvl w:val="0"/>
                <w:numId w:val="64"/>
              </w:numPr>
              <w:snapToGrid w:val="0"/>
              <w:spacing w:line="276" w:lineRule="auto"/>
              <w:jc w:val="center"/>
              <w:rPr>
                <w:rFonts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14:paraId="176AE61D">
            <w:pPr>
              <w:snapToGrid w:val="0"/>
              <w:spacing w:line="276" w:lineRule="auto"/>
              <w:jc w:val="center"/>
              <w:rPr>
                <w:rFonts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14:paraId="7B0AB462">
            <w:pPr>
              <w:snapToGrid w:val="0"/>
              <w:spacing w:line="276" w:lineRule="auto"/>
              <w:jc w:val="center"/>
              <w:rPr>
                <w:rFonts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4B7093D">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CEA49E4">
            <w:pPr>
              <w:snapToGrid w:val="0"/>
              <w:spacing w:line="276" w:lineRule="auto"/>
              <w:jc w:val="center"/>
              <w:rPr>
                <w:rFonts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23219CC7">
            <w:pPr>
              <w:snapToGrid w:val="0"/>
              <w:spacing w:line="276" w:lineRule="auto"/>
              <w:jc w:val="center"/>
              <w:rPr>
                <w:rFonts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B8835D0">
            <w:pPr>
              <w:snapToGrid w:val="0"/>
              <w:spacing w:line="276" w:lineRule="auto"/>
              <w:jc w:val="center"/>
              <w:rPr>
                <w:rFonts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14:paraId="13855D42">
            <w:pPr>
              <w:snapToGrid w:val="0"/>
              <w:spacing w:line="276" w:lineRule="auto"/>
              <w:jc w:val="center"/>
              <w:rPr>
                <w:rFonts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14:paraId="7E5767A4">
            <w:pPr>
              <w:snapToGrid w:val="0"/>
              <w:spacing w:line="276" w:lineRule="auto"/>
              <w:jc w:val="center"/>
              <w:rPr>
                <w:rFonts w:ascii="宋体" w:hAnsi="宋体" w:cs="Arial"/>
                <w:szCs w:val="21"/>
              </w:rPr>
            </w:pPr>
          </w:p>
        </w:tc>
      </w:tr>
    </w:tbl>
    <w:p w14:paraId="1F98A19C">
      <w:pPr>
        <w:spacing w:line="276" w:lineRule="auto"/>
        <w:rPr>
          <w:rFonts w:ascii="宋体" w:hAnsi="宋体" w:cs="Arial"/>
          <w:szCs w:val="21"/>
        </w:rPr>
      </w:pPr>
      <w:r>
        <w:rPr>
          <w:rFonts w:hint="eastAsia" w:ascii="宋体" w:hAnsi="宋体" w:cs="Arial"/>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14:paraId="3D7C9126">
      <w:pPr>
        <w:spacing w:line="276" w:lineRule="auto"/>
        <w:rPr>
          <w:rFonts w:ascii="宋体" w:hAnsi="宋体" w:cs="Arial"/>
          <w:szCs w:val="21"/>
        </w:rPr>
      </w:pPr>
    </w:p>
    <w:p w14:paraId="6ED93079">
      <w:pPr>
        <w:spacing w:line="360" w:lineRule="auto"/>
        <w:ind w:firstLine="3968" w:firstLineChars="1890"/>
        <w:rPr>
          <w:rFonts w:ascii="宋体" w:hAnsi="宋体" w:cs="Arial"/>
          <w:szCs w:val="21"/>
        </w:rPr>
      </w:pPr>
      <w:r>
        <w:rPr>
          <w:rFonts w:hint="eastAsia" w:ascii="宋体" w:hAnsi="宋体" w:cs="Arial"/>
          <w:szCs w:val="21"/>
        </w:rPr>
        <w:t>投标人名称（公章）：</w:t>
      </w:r>
    </w:p>
    <w:p w14:paraId="1D2591B6">
      <w:pPr>
        <w:spacing w:line="360" w:lineRule="auto"/>
        <w:ind w:firstLine="3968" w:firstLineChars="1890"/>
        <w:rPr>
          <w:rFonts w:ascii="宋体" w:hAnsi="宋体"/>
          <w:bCs/>
          <w:szCs w:val="21"/>
        </w:rPr>
      </w:pPr>
      <w:r>
        <w:rPr>
          <w:rFonts w:hint="eastAsia" w:ascii="宋体" w:hAnsi="宋体"/>
          <w:bCs/>
          <w:szCs w:val="21"/>
        </w:rPr>
        <w:t>日期：年月日</w:t>
      </w:r>
    </w:p>
    <w:p w14:paraId="4553C16B">
      <w:pPr>
        <w:widowControl/>
        <w:jc w:val="left"/>
        <w:rPr>
          <w:rFonts w:ascii="宋体" w:hAnsi="宋体"/>
          <w:bCs/>
          <w:kern w:val="0"/>
          <w:szCs w:val="21"/>
        </w:rPr>
      </w:pPr>
      <w:r>
        <w:rPr>
          <w:rFonts w:ascii="宋体" w:hAnsi="宋体"/>
          <w:bCs/>
          <w:kern w:val="0"/>
          <w:szCs w:val="21"/>
        </w:rPr>
        <w:br w:type="page"/>
      </w:r>
    </w:p>
    <w:p w14:paraId="7FE4DA7C">
      <w:pPr>
        <w:pStyle w:val="36"/>
        <w:numPr>
          <w:ilvl w:val="0"/>
          <w:numId w:val="60"/>
        </w:numPr>
        <w:spacing w:line="276" w:lineRule="auto"/>
        <w:ind w:firstLineChars="0"/>
        <w:outlineLvl w:val="2"/>
        <w:rPr>
          <w:rFonts w:ascii="宋体" w:hAnsi="宋体" w:cs="Courier New"/>
          <w:color w:val="0D0D0D"/>
          <w:szCs w:val="21"/>
        </w:rPr>
      </w:pPr>
      <w:r>
        <w:rPr>
          <w:rFonts w:hint="eastAsia"/>
          <w:szCs w:val="21"/>
        </w:rPr>
        <w:t>关于符合本国产品标准的声明函或财政部会同有关部门规定的有关证明文件（如适用）</w:t>
      </w:r>
    </w:p>
    <w:p w14:paraId="099ECF0C">
      <w:pPr>
        <w:spacing w:line="588" w:lineRule="exact"/>
        <w:jc w:val="center"/>
        <w:rPr>
          <w:rFonts w:ascii="宋体" w:hAnsi="宋体"/>
          <w:b/>
          <w:spacing w:val="6"/>
          <w:szCs w:val="21"/>
        </w:rPr>
      </w:pPr>
      <w:r>
        <w:rPr>
          <w:rFonts w:hint="eastAsia" w:ascii="宋体" w:hAnsi="宋体"/>
          <w:b/>
          <w:spacing w:val="6"/>
          <w:szCs w:val="21"/>
        </w:rPr>
        <w:t>关于符合本国产品标准的声明函</w:t>
      </w:r>
    </w:p>
    <w:p w14:paraId="2C79A68C">
      <w:pPr>
        <w:snapToGrid w:val="0"/>
        <w:spacing w:line="300" w:lineRule="auto"/>
        <w:ind w:firstLine="420" w:firstLineChars="200"/>
        <w:rPr>
          <w:rFonts w:ascii="宋体" w:hAnsi="宋体"/>
          <w:szCs w:val="21"/>
        </w:rPr>
      </w:pPr>
    </w:p>
    <w:p w14:paraId="51F7229F">
      <w:pPr>
        <w:snapToGrid w:val="0"/>
        <w:spacing w:line="360" w:lineRule="auto"/>
        <w:ind w:firstLine="420" w:firstLineChars="200"/>
        <w:jc w:val="left"/>
        <w:rPr>
          <w:rFonts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本公司（单位）郑重声明，根据《国务院办公厅关于在政府采购中实施本国产品标准及相关政策的通知》（国办发〔2025〕34号）的规定，本公司（单位）提供的以下产品属于本国产品。具体情况如下：</w:t>
      </w:r>
    </w:p>
    <w:p w14:paraId="10F81ED5">
      <w:pPr>
        <w:snapToGrid w:val="0"/>
        <w:spacing w:line="360" w:lineRule="auto"/>
        <w:ind w:firstLine="420" w:firstLineChars="200"/>
        <w:jc w:val="left"/>
        <w:rPr>
          <w:rFonts w:ascii="宋体" w:hAnsi="宋体"/>
          <w:szCs w:val="21"/>
        </w:rPr>
      </w:pPr>
      <w:r>
        <w:rPr>
          <w:rFonts w:hint="eastAsia" w:ascii="宋体" w:hAnsi="宋体"/>
          <w:szCs w:val="21"/>
        </w:rPr>
        <w:t>1.（产品名称1）1，生产厂为（厂名）2，厂址为（生产厂址）。（产品名称1）的中国境内生产的组件成本占比≥（规定比例）3。（产品名称1）的（关键组件）4在中国境内生产。（产品名称1）的（关键工序）5在中国境内完成。</w:t>
      </w:r>
    </w:p>
    <w:p w14:paraId="19C38887">
      <w:pPr>
        <w:snapToGrid w:val="0"/>
        <w:spacing w:line="360" w:lineRule="auto"/>
        <w:ind w:firstLine="420" w:firstLineChars="200"/>
        <w:jc w:val="left"/>
        <w:rPr>
          <w:rFonts w:ascii="宋体" w:hAnsi="宋体"/>
          <w:szCs w:val="21"/>
        </w:rPr>
      </w:pPr>
      <w:r>
        <w:rPr>
          <w:rFonts w:hint="eastAsia" w:ascii="宋体" w:hAnsi="宋体"/>
          <w:szCs w:val="21"/>
        </w:rPr>
        <w:t>2.（产品名称2），生产厂为（厂名），厂址为（生产厂址）。（产品名称2）的中国境内生产的组件成本占比≥（规定比例）。（产品名称2）的（关键组件）在中国境内生产。（产品名称2）的（关键工序）在中国境内完成。</w:t>
      </w:r>
    </w:p>
    <w:p w14:paraId="7D5970E4">
      <w:pPr>
        <w:snapToGrid w:val="0"/>
        <w:spacing w:line="360" w:lineRule="auto"/>
        <w:ind w:firstLine="420" w:firstLineChars="200"/>
        <w:jc w:val="left"/>
        <w:rPr>
          <w:rFonts w:ascii="宋体" w:hAnsi="宋体"/>
          <w:szCs w:val="21"/>
        </w:rPr>
      </w:pPr>
      <w:r>
        <w:rPr>
          <w:rFonts w:hint="eastAsia" w:ascii="宋体" w:hAnsi="宋体"/>
          <w:szCs w:val="21"/>
        </w:rPr>
        <w:t>……</w:t>
      </w:r>
    </w:p>
    <w:p w14:paraId="6B4CD077">
      <w:pPr>
        <w:snapToGrid w:val="0"/>
        <w:spacing w:line="360" w:lineRule="auto"/>
        <w:ind w:firstLine="420" w:firstLineChars="200"/>
        <w:jc w:val="left"/>
        <w:rPr>
          <w:rFonts w:ascii="宋体" w:hAnsi="宋体"/>
          <w:szCs w:val="21"/>
        </w:rPr>
      </w:pPr>
      <w:r>
        <w:rPr>
          <w:rFonts w:hint="eastAsia" w:ascii="宋体" w:hAnsi="宋体"/>
          <w:szCs w:val="21"/>
        </w:rPr>
        <w:t>本公司（单位）对上述声明内容的真实性负责。如有虚假，愿承担相应法律责任。</w:t>
      </w:r>
    </w:p>
    <w:p w14:paraId="7CE645F6">
      <w:pPr>
        <w:snapToGrid w:val="0"/>
        <w:spacing w:line="360" w:lineRule="auto"/>
        <w:ind w:firstLine="420" w:firstLineChars="200"/>
        <w:jc w:val="left"/>
        <w:rPr>
          <w:rFonts w:ascii="宋体" w:hAnsi="宋体"/>
          <w:szCs w:val="21"/>
        </w:rPr>
      </w:pPr>
      <w:r>
        <w:rPr>
          <w:rFonts w:hint="eastAsia" w:ascii="宋体" w:hAnsi="宋体"/>
          <w:szCs w:val="21"/>
        </w:rPr>
        <w:t>公司（单位）名称（盖章）：</w:t>
      </w:r>
      <w:r>
        <w:rPr>
          <w:rFonts w:ascii="宋体" w:hAnsi="宋体"/>
          <w:szCs w:val="21"/>
        </w:rPr>
        <w:t>      </w:t>
      </w:r>
    </w:p>
    <w:p w14:paraId="2916DB64">
      <w:pPr>
        <w:snapToGrid w:val="0"/>
        <w:spacing w:line="360" w:lineRule="auto"/>
        <w:ind w:firstLine="420" w:firstLineChars="200"/>
        <w:jc w:val="left"/>
        <w:rPr>
          <w:rFonts w:ascii="宋体" w:hAnsi="宋体"/>
          <w:szCs w:val="21"/>
        </w:rPr>
      </w:pPr>
      <w:r>
        <w:rPr>
          <w:rFonts w:hint="eastAsia" w:ascii="宋体" w:hAnsi="宋体"/>
          <w:szCs w:val="21"/>
        </w:rPr>
        <w:t>日期：　　　　　年　　月　日</w:t>
      </w:r>
      <w:r>
        <w:rPr>
          <w:rFonts w:ascii="宋体" w:hAnsi="宋体"/>
          <w:szCs w:val="21"/>
        </w:rPr>
        <w:t>    </w:t>
      </w:r>
    </w:p>
    <w:p w14:paraId="6CEB49E4">
      <w:pPr>
        <w:snapToGrid w:val="0"/>
        <w:spacing w:line="360" w:lineRule="auto"/>
        <w:ind w:firstLine="420" w:firstLineChars="200"/>
        <w:jc w:val="left"/>
        <w:rPr>
          <w:rFonts w:ascii="宋体" w:hAnsi="宋体"/>
          <w:szCs w:val="21"/>
        </w:rPr>
      </w:pPr>
    </w:p>
    <w:p w14:paraId="197EA35F">
      <w:pPr>
        <w:snapToGrid w:val="0"/>
        <w:spacing w:line="360" w:lineRule="auto"/>
        <w:ind w:firstLine="420" w:firstLineChars="200"/>
        <w:jc w:val="left"/>
        <w:rPr>
          <w:rFonts w:ascii="宋体" w:hAnsi="宋体"/>
          <w:szCs w:val="21"/>
        </w:rPr>
      </w:pPr>
      <w:r>
        <w:rPr>
          <w:rFonts w:ascii="宋体" w:hAnsi="宋体"/>
          <w:szCs w:val="21"/>
        </w:rPr>
        <w:t>_____________________________</w:t>
      </w:r>
    </w:p>
    <w:p w14:paraId="2A4E2A96">
      <w:pPr>
        <w:snapToGrid w:val="0"/>
        <w:spacing w:line="360" w:lineRule="auto"/>
        <w:ind w:firstLine="420" w:firstLineChars="200"/>
        <w:jc w:val="left"/>
        <w:rPr>
          <w:rFonts w:ascii="宋体" w:hAnsi="宋体"/>
          <w:szCs w:val="21"/>
        </w:rPr>
      </w:pPr>
      <w:r>
        <w:rPr>
          <w:rFonts w:hint="eastAsia" w:ascii="宋体" w:hAnsi="宋体"/>
          <w:szCs w:val="21"/>
        </w:rPr>
        <w:t>1.产品如有型号，请在“产品名称”栏一并填写。</w:t>
      </w:r>
    </w:p>
    <w:p w14:paraId="13C48361">
      <w:pPr>
        <w:snapToGrid w:val="0"/>
        <w:spacing w:line="360" w:lineRule="auto"/>
        <w:ind w:firstLine="420" w:firstLineChars="200"/>
        <w:jc w:val="left"/>
        <w:rPr>
          <w:rFonts w:ascii="宋体" w:hAnsi="宋体"/>
          <w:szCs w:val="21"/>
        </w:rPr>
      </w:pPr>
      <w:r>
        <w:rPr>
          <w:rFonts w:hint="eastAsia" w:ascii="宋体" w:hAnsi="宋体"/>
          <w:szCs w:val="21"/>
        </w:rPr>
        <w:t>2.生产厂名与厂址应与生产厂营业执照载明的相关信息保持一致。</w:t>
      </w:r>
    </w:p>
    <w:p w14:paraId="74F0CD44">
      <w:pPr>
        <w:snapToGrid w:val="0"/>
        <w:spacing w:line="360" w:lineRule="auto"/>
        <w:ind w:firstLine="420" w:firstLineChars="200"/>
        <w:jc w:val="left"/>
        <w:rPr>
          <w:rFonts w:ascii="宋体" w:hAnsi="宋体"/>
          <w:szCs w:val="21"/>
        </w:rPr>
      </w:pPr>
      <w:r>
        <w:rPr>
          <w:rFonts w:hint="eastAsia" w:ascii="宋体" w:hAnsi="宋体"/>
          <w:szCs w:val="21"/>
        </w:rPr>
        <w:t>3.该产品的中国境内生产的组件成本占比相关要求实施前，“规定比例”栏可不填，下同。</w:t>
      </w:r>
    </w:p>
    <w:p w14:paraId="54FFB046">
      <w:pPr>
        <w:snapToGrid w:val="0"/>
        <w:spacing w:line="360" w:lineRule="auto"/>
        <w:ind w:firstLine="420" w:firstLineChars="200"/>
        <w:jc w:val="left"/>
        <w:rPr>
          <w:rFonts w:ascii="宋体" w:hAnsi="宋体"/>
          <w:szCs w:val="21"/>
        </w:rPr>
      </w:pPr>
      <w:r>
        <w:rPr>
          <w:rFonts w:hint="eastAsia" w:ascii="宋体" w:hAnsi="宋体"/>
          <w:szCs w:val="21"/>
        </w:rPr>
        <w:t>4.该产品的关键组件要求实施前，“关键组件”栏可不填，下同。</w:t>
      </w:r>
    </w:p>
    <w:p w14:paraId="701A4FF5">
      <w:pPr>
        <w:snapToGrid w:val="0"/>
        <w:spacing w:line="360" w:lineRule="auto"/>
        <w:ind w:firstLine="420" w:firstLineChars="200"/>
        <w:jc w:val="left"/>
        <w:rPr>
          <w:rFonts w:ascii="宋体" w:hAnsi="宋体"/>
          <w:szCs w:val="21"/>
        </w:rPr>
      </w:pPr>
      <w:r>
        <w:rPr>
          <w:rFonts w:hint="eastAsia" w:ascii="宋体" w:hAnsi="宋体"/>
          <w:szCs w:val="21"/>
        </w:rPr>
        <w:t>5.该产品的关键工序要求实施前，“关键工序”栏可不填，下同。</w:t>
      </w:r>
    </w:p>
    <w:p w14:paraId="7DE972C5">
      <w:pPr>
        <w:widowControl/>
        <w:jc w:val="left"/>
        <w:rPr>
          <w:rFonts w:ascii="宋体" w:hAnsi="宋体"/>
          <w:b/>
          <w:spacing w:val="6"/>
          <w:szCs w:val="21"/>
        </w:rPr>
      </w:pPr>
      <w:r>
        <w:rPr>
          <w:rFonts w:ascii="宋体" w:hAnsi="宋体"/>
          <w:b/>
          <w:spacing w:val="6"/>
          <w:szCs w:val="21"/>
        </w:rPr>
        <w:br w:type="page"/>
      </w:r>
    </w:p>
    <w:p w14:paraId="235DEDA0">
      <w:pPr>
        <w:pStyle w:val="22"/>
        <w:shd w:val="clear" w:color="auto" w:fill="FFFFFF"/>
        <w:spacing w:before="264" w:beforeAutospacing="0" w:after="24" w:afterAutospacing="0" w:line="720" w:lineRule="auto"/>
        <w:jc w:val="center"/>
        <w:rPr>
          <w:sz w:val="22"/>
          <w:szCs w:val="22"/>
          <w:shd w:val="clear" w:color="auto" w:fill="FFFFFF"/>
        </w:rPr>
      </w:pPr>
      <w:r>
        <w:rPr>
          <w:rStyle w:val="29"/>
          <w:rFonts w:hint="eastAsia"/>
          <w:sz w:val="22"/>
          <w:szCs w:val="22"/>
          <w:shd w:val="clear" w:color="auto" w:fill="FFFFFF"/>
        </w:rPr>
        <w:t>财政部会同有关部门规定的有关证明文件</w:t>
      </w:r>
    </w:p>
    <w:p w14:paraId="6571DCED">
      <w:pPr>
        <w:widowControl/>
        <w:ind w:firstLine="440" w:firstLineChars="200"/>
        <w:jc w:val="left"/>
        <w:rPr>
          <w:rFonts w:ascii="宋体" w:hAnsi="宋体" w:cs="宋体"/>
          <w:sz w:val="22"/>
          <w:shd w:val="clear" w:color="auto" w:fill="FFFFFF"/>
        </w:rPr>
      </w:pPr>
      <w:r>
        <w:rPr>
          <w:rFonts w:hint="eastAsia" w:ascii="宋体" w:hAnsi="宋体" w:cs="宋体"/>
          <w:kern w:val="0"/>
          <w:sz w:val="22"/>
          <w:shd w:val="clear" w:color="auto" w:fill="FFFFFF"/>
          <w:lang w:bidi="ar"/>
        </w:rPr>
        <w:t>（</w:t>
      </w:r>
      <w:r>
        <w:rPr>
          <w:rFonts w:hint="eastAsia" w:ascii="宋体" w:hAnsi="宋体" w:cs="宋体"/>
          <w:i/>
          <w:iCs/>
          <w:kern w:val="0"/>
          <w:sz w:val="22"/>
          <w:shd w:val="clear" w:color="auto" w:fill="FFFFFF"/>
          <w:lang w:bidi="ar"/>
        </w:rPr>
        <w:t>出具符合要求的《声明函》或有关证明文件的，该产品视为本国产品，采购人、采购代理机构不得再要求供应商提供其他证明材料。</w:t>
      </w:r>
      <w:r>
        <w:rPr>
          <w:rFonts w:hint="eastAsia" w:ascii="宋体" w:hAnsi="宋体" w:cs="宋体"/>
          <w:kern w:val="0"/>
          <w:sz w:val="22"/>
          <w:shd w:val="clear" w:color="auto" w:fill="FFFFFF"/>
          <w:lang w:bidi="ar"/>
        </w:rPr>
        <w:t>）</w:t>
      </w:r>
    </w:p>
    <w:p w14:paraId="5C356D14">
      <w:pPr>
        <w:widowControl/>
        <w:spacing w:before="1404" w:beforeLines="450" w:line="360" w:lineRule="auto"/>
        <w:jc w:val="right"/>
        <w:rPr>
          <w:rFonts w:ascii="宋体" w:hAnsi="宋体" w:cs="宋体"/>
          <w:sz w:val="22"/>
        </w:rPr>
      </w:pPr>
      <w:r>
        <w:rPr>
          <w:rFonts w:hint="eastAsia" w:ascii="宋体" w:hAnsi="宋体" w:cs="宋体"/>
          <w:kern w:val="0"/>
          <w:sz w:val="22"/>
          <w:lang w:bidi="ar"/>
        </w:rPr>
        <w:t>投标人名称（加盖公章）：____________</w:t>
      </w:r>
    </w:p>
    <w:p w14:paraId="79ECA297">
      <w:pPr>
        <w:spacing w:line="588" w:lineRule="exact"/>
        <w:jc w:val="right"/>
        <w:rPr>
          <w:rFonts w:ascii="宋体" w:hAnsi="宋体" w:cs="宋体"/>
          <w:kern w:val="0"/>
          <w:sz w:val="22"/>
          <w:lang w:bidi="ar"/>
        </w:rPr>
      </w:pPr>
      <w:r>
        <w:rPr>
          <w:rFonts w:hint="eastAsia" w:ascii="宋体" w:hAnsi="宋体" w:cs="宋体"/>
          <w:kern w:val="0"/>
          <w:sz w:val="22"/>
          <w:lang w:bidi="ar"/>
        </w:rPr>
        <w:t>日期：_____年______月______日</w:t>
      </w:r>
    </w:p>
    <w:p w14:paraId="4074BE20">
      <w:pPr>
        <w:widowControl/>
        <w:jc w:val="left"/>
        <w:rPr>
          <w:rFonts w:ascii="宋体" w:hAnsi="宋体" w:cs="宋体"/>
          <w:kern w:val="0"/>
          <w:sz w:val="22"/>
          <w:lang w:bidi="ar"/>
        </w:rPr>
      </w:pPr>
      <w:r>
        <w:rPr>
          <w:rFonts w:ascii="宋体" w:hAnsi="宋体" w:cs="宋体"/>
          <w:kern w:val="0"/>
          <w:sz w:val="22"/>
          <w:lang w:bidi="ar"/>
        </w:rPr>
        <w:br w:type="page"/>
      </w:r>
    </w:p>
    <w:p w14:paraId="52363C20">
      <w:pPr>
        <w:pStyle w:val="22"/>
        <w:shd w:val="clear" w:color="auto" w:fill="FFFFFF"/>
        <w:spacing w:before="264" w:beforeAutospacing="0" w:after="24" w:afterAutospacing="0" w:line="360" w:lineRule="auto"/>
        <w:jc w:val="center"/>
        <w:rPr>
          <w:sz w:val="22"/>
          <w:szCs w:val="22"/>
          <w:shd w:val="clear" w:color="auto" w:fill="FFFFFF"/>
        </w:rPr>
      </w:pPr>
      <w:r>
        <w:rPr>
          <w:rFonts w:hint="eastAsia"/>
          <w:sz w:val="22"/>
          <w:szCs w:val="22"/>
          <w:shd w:val="clear" w:color="auto" w:fill="FFFFFF"/>
        </w:rPr>
        <w:t>关于符合本国产品标准的成本占比的承诺函【如适用】</w:t>
      </w:r>
    </w:p>
    <w:p w14:paraId="05AD8579">
      <w:pPr>
        <w:widowControl/>
        <w:spacing w:before="312" w:beforeLines="100"/>
        <w:jc w:val="left"/>
        <w:rPr>
          <w:rFonts w:ascii="宋体" w:hAnsi="宋体" w:cs="宋体"/>
          <w:sz w:val="22"/>
        </w:rPr>
      </w:pPr>
      <w:r>
        <w:rPr>
          <w:rFonts w:hint="eastAsia" w:ascii="宋体" w:hAnsi="宋体" w:cs="宋体"/>
          <w:i/>
          <w:iCs/>
          <w:kern w:val="0"/>
          <w:sz w:val="22"/>
          <w:lang w:bidi="ar"/>
        </w:rPr>
        <w:t>（当采购项目或者采购包中含有多种产品，供应商应声明为该采购项目或者采购包提供的符合本国产品标准的产品成本之和占提供的全部产品成本之和的比例。）</w:t>
      </w:r>
    </w:p>
    <w:p w14:paraId="6CE6315F">
      <w:pPr>
        <w:widowControl/>
        <w:spacing w:before="936" w:beforeLines="300" w:line="480" w:lineRule="auto"/>
        <w:jc w:val="left"/>
        <w:rPr>
          <w:rFonts w:ascii="宋体" w:hAnsi="宋体" w:cs="宋体"/>
          <w:sz w:val="22"/>
        </w:rPr>
      </w:pPr>
      <w:r>
        <w:rPr>
          <w:rFonts w:hint="eastAsia" w:ascii="宋体" w:hAnsi="宋体" w:cs="宋体"/>
          <w:kern w:val="0"/>
          <w:sz w:val="22"/>
          <w:lang w:bidi="ar"/>
        </w:rPr>
        <w:t>致：</w:t>
      </w:r>
      <w:r>
        <w:rPr>
          <w:rFonts w:hint="eastAsia" w:ascii="宋体" w:hAnsi="宋体" w:cs="宋体"/>
          <w:kern w:val="0"/>
          <w:sz w:val="22"/>
          <w:u w:val="single"/>
          <w:lang w:bidi="ar"/>
        </w:rPr>
        <w:t>采购人或采购代理机构</w:t>
      </w:r>
    </w:p>
    <w:p w14:paraId="5600EF1D">
      <w:pPr>
        <w:widowControl/>
        <w:spacing w:line="480" w:lineRule="auto"/>
        <w:ind w:firstLine="440" w:firstLineChars="200"/>
        <w:jc w:val="left"/>
        <w:rPr>
          <w:rFonts w:ascii="宋体" w:hAnsi="宋体" w:cs="宋体"/>
          <w:sz w:val="22"/>
          <w:lang w:bidi="ar"/>
        </w:rPr>
      </w:pPr>
      <w:r>
        <w:rPr>
          <w:rFonts w:hint="eastAsia" w:ascii="宋体" w:hAnsi="宋体" w:cs="宋体"/>
          <w:kern w:val="0"/>
          <w:sz w:val="22"/>
          <w:lang w:bidi="ar"/>
        </w:rPr>
        <w:t>我方为该采购项目或者采购包提供的符合本国产品标准的产品成本之和占提供的全部产品成本之和的比例为</w:t>
      </w:r>
      <w:r>
        <w:rPr>
          <w:rFonts w:hint="eastAsia" w:ascii="宋体" w:hAnsi="宋体" w:cs="宋体"/>
          <w:kern w:val="0"/>
          <w:sz w:val="22"/>
          <w:u w:val="single"/>
          <w:lang w:bidi="ar"/>
        </w:rPr>
        <w:t xml:space="preserve">    </w:t>
      </w:r>
      <w:r>
        <w:rPr>
          <w:rFonts w:hint="eastAsia" w:ascii="宋体" w:hAnsi="宋体" w:cs="宋体"/>
          <w:kern w:val="0"/>
          <w:sz w:val="22"/>
          <w:lang w:bidi="ar"/>
        </w:rPr>
        <w:t>%。</w:t>
      </w:r>
    </w:p>
    <w:p w14:paraId="7CE2110F">
      <w:pPr>
        <w:widowControl/>
        <w:spacing w:line="480" w:lineRule="auto"/>
        <w:ind w:firstLine="440" w:firstLineChars="200"/>
        <w:jc w:val="left"/>
        <w:rPr>
          <w:rFonts w:ascii="宋体" w:hAnsi="宋体" w:cs="宋体"/>
          <w:sz w:val="22"/>
        </w:rPr>
      </w:pPr>
      <w:r>
        <w:rPr>
          <w:rFonts w:hint="eastAsia" w:ascii="宋体" w:hAnsi="宋体" w:cs="宋体"/>
          <w:kern w:val="0"/>
          <w:sz w:val="22"/>
          <w:lang w:bidi="ar"/>
        </w:rPr>
        <w:t>上述声明真实有效，否则我方负全部责任。</w:t>
      </w:r>
    </w:p>
    <w:p w14:paraId="07B57160">
      <w:pPr>
        <w:widowControl/>
        <w:spacing w:before="312" w:beforeLines="100" w:line="360" w:lineRule="auto"/>
        <w:jc w:val="right"/>
        <w:rPr>
          <w:rFonts w:ascii="宋体" w:hAnsi="宋体" w:cs="宋体"/>
          <w:sz w:val="22"/>
          <w:lang w:bidi="ar"/>
        </w:rPr>
      </w:pPr>
      <w:r>
        <w:rPr>
          <w:rFonts w:hint="eastAsia" w:ascii="宋体" w:hAnsi="宋体" w:cs="宋体"/>
          <w:kern w:val="0"/>
          <w:sz w:val="22"/>
          <w:lang w:bidi="ar"/>
        </w:rPr>
        <w:t>投标人名称（加盖公章）：____________</w:t>
      </w:r>
    </w:p>
    <w:p w14:paraId="56CB2C57">
      <w:pPr>
        <w:widowControl/>
        <w:spacing w:before="312" w:beforeLines="100" w:line="360" w:lineRule="auto"/>
        <w:jc w:val="right"/>
        <w:rPr>
          <w:rFonts w:ascii="宋体" w:hAnsi="宋体" w:cs="宋体"/>
          <w:sz w:val="22"/>
          <w:shd w:val="clear" w:color="auto" w:fill="FFFFFF"/>
        </w:rPr>
      </w:pPr>
      <w:r>
        <w:rPr>
          <w:rFonts w:hint="eastAsia" w:ascii="宋体" w:hAnsi="宋体" w:cs="宋体"/>
          <w:kern w:val="0"/>
          <w:sz w:val="22"/>
          <w:lang w:bidi="ar"/>
        </w:rPr>
        <w:t>日期：_____年______月______日</w:t>
      </w:r>
    </w:p>
    <w:p w14:paraId="4B70F5D9">
      <w:pPr>
        <w:widowControl/>
        <w:spacing w:before="312" w:beforeLines="100"/>
        <w:rPr>
          <w:rFonts w:ascii="宋体" w:hAnsi="宋体" w:cs="宋体"/>
          <w:sz w:val="22"/>
          <w:shd w:val="clear" w:color="auto" w:fill="FFFFFF"/>
        </w:rPr>
      </w:pPr>
      <w:r>
        <w:rPr>
          <w:rFonts w:hint="eastAsia" w:ascii="宋体" w:hAnsi="宋体" w:cs="宋体"/>
          <w:sz w:val="22"/>
          <w:shd w:val="clear" w:color="auto" w:fill="FFFFFF"/>
        </w:rPr>
        <w:t>注：</w:t>
      </w:r>
    </w:p>
    <w:p w14:paraId="4794636B">
      <w:pPr>
        <w:widowControl/>
        <w:spacing w:before="312" w:beforeLines="100" w:line="360" w:lineRule="auto"/>
        <w:ind w:firstLine="660" w:firstLineChars="300"/>
        <w:rPr>
          <w:rFonts w:ascii="宋体" w:hAnsi="宋体" w:cs="宋体"/>
          <w:sz w:val="22"/>
          <w:shd w:val="clear" w:color="auto" w:fill="FFFFFF"/>
        </w:rPr>
      </w:pPr>
      <w:r>
        <w:rPr>
          <w:rFonts w:hint="eastAsia" w:ascii="宋体" w:hAnsi="宋体" w:cs="宋体"/>
          <w:sz w:val="22"/>
          <w:shd w:val="clear" w:color="auto" w:fill="FFFFFF"/>
        </w:rPr>
        <w:t>依据《国务院办公厅关于在政府采购中实施本国产品标准及相关政策的通知》（国办发〔2025〕34号）的相关规定。</w:t>
      </w:r>
    </w:p>
    <w:p w14:paraId="22B6D4B1">
      <w:pPr>
        <w:widowControl/>
        <w:spacing w:before="468" w:beforeLines="150" w:line="360" w:lineRule="auto"/>
        <w:ind w:firstLine="440" w:firstLineChars="200"/>
        <w:jc w:val="center"/>
        <w:rPr>
          <w:rFonts w:ascii="宋体" w:hAnsi="宋体" w:cs="宋体"/>
          <w:b/>
          <w:bCs/>
          <w:sz w:val="22"/>
          <w:shd w:val="clear" w:color="auto" w:fill="FFFFFF"/>
        </w:rPr>
      </w:pPr>
      <w:r>
        <w:rPr>
          <w:rFonts w:hint="eastAsia" w:ascii="宋体" w:hAnsi="宋体" w:cs="宋体"/>
          <w:b/>
          <w:bCs/>
          <w:sz w:val="22"/>
          <w:shd w:val="clear" w:color="auto" w:fill="FFFFFF"/>
        </w:rPr>
        <w:t>附：中国境内生产的组件成本核算基本规则</w:t>
      </w:r>
    </w:p>
    <w:p w14:paraId="5B0A5574">
      <w:pPr>
        <w:spacing w:line="360" w:lineRule="auto"/>
        <w:ind w:firstLine="440" w:firstLineChars="200"/>
        <w:rPr>
          <w:rFonts w:ascii="宋体" w:hAnsi="宋体" w:cs="宋体"/>
          <w:sz w:val="22"/>
          <w:shd w:val="clear" w:color="auto" w:fill="FFFFFF"/>
        </w:rPr>
      </w:pPr>
      <w:r>
        <w:rPr>
          <w:rFonts w:hint="eastAsia" w:ascii="宋体" w:hAnsi="宋体" w:cs="宋体"/>
          <w:sz w:val="22"/>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67D2419">
      <w:pPr>
        <w:spacing w:line="360" w:lineRule="auto"/>
        <w:ind w:firstLine="440" w:firstLineChars="200"/>
        <w:rPr>
          <w:rFonts w:ascii="宋体" w:hAnsi="宋体" w:cs="宋体"/>
          <w:sz w:val="22"/>
          <w:shd w:val="clear" w:color="auto" w:fill="FFFFFF"/>
        </w:rPr>
      </w:pPr>
      <w:r>
        <w:rPr>
          <w:rFonts w:hint="eastAsia" w:ascii="宋体" w:hAnsi="宋体" w:cs="宋体"/>
          <w:sz w:val="22"/>
          <w:shd w:val="clear" w:color="auto" w:fill="FFFFFF"/>
        </w:rPr>
        <w:t>一、产品的一级组件是指直接组成产品的组件。产品的二级组件是指直接组成产品一级组件的组件。一级组件不可分解的，视同二级组件。</w:t>
      </w:r>
    </w:p>
    <w:p w14:paraId="79DEAE91">
      <w:pPr>
        <w:spacing w:line="360" w:lineRule="auto"/>
        <w:ind w:firstLine="440" w:firstLineChars="200"/>
        <w:rPr>
          <w:rFonts w:ascii="宋体" w:hAnsi="宋体" w:cs="宋体"/>
          <w:sz w:val="22"/>
          <w:shd w:val="clear" w:color="auto" w:fill="FFFFFF"/>
        </w:rPr>
      </w:pPr>
      <w:r>
        <w:rPr>
          <w:rFonts w:hint="eastAsia" w:ascii="宋体" w:hAnsi="宋体" w:cs="宋体"/>
          <w:sz w:val="22"/>
          <w:shd w:val="clear" w:color="auto" w:fill="FFFFFF"/>
        </w:rPr>
        <w:t>二、二级组件在中国境内生产的，其全部成本计入中国境内生产的组件成本；二级组件不在中国境内生产的，其成本不计入中国境内生产的组件成本。</w:t>
      </w:r>
    </w:p>
    <w:p w14:paraId="6EDBE88F">
      <w:pPr>
        <w:spacing w:line="360" w:lineRule="auto"/>
        <w:ind w:firstLine="440" w:firstLineChars="200"/>
        <w:rPr>
          <w:rFonts w:ascii="宋体" w:hAnsi="宋体" w:cs="宋体"/>
          <w:sz w:val="22"/>
          <w:shd w:val="clear" w:color="auto" w:fill="FFFFFF"/>
        </w:rPr>
      </w:pPr>
      <w:r>
        <w:rPr>
          <w:rFonts w:hint="eastAsia" w:ascii="宋体" w:hAnsi="宋体" w:cs="宋体"/>
          <w:sz w:val="22"/>
          <w:shd w:val="clear" w:color="auto" w:fill="FFFFFF"/>
        </w:rPr>
        <w:t>三、产品总成本和组件成本以相关会计核算数据、采购合同、进货记录等为基础进行计算。</w:t>
      </w:r>
    </w:p>
    <w:p w14:paraId="1DBDFCDA">
      <w:pPr>
        <w:spacing w:line="588" w:lineRule="exact"/>
        <w:jc w:val="right"/>
        <w:rPr>
          <w:rFonts w:ascii="宋体" w:hAnsi="宋体"/>
          <w:b/>
          <w:spacing w:val="6"/>
          <w:szCs w:val="21"/>
        </w:rPr>
      </w:pPr>
      <w:r>
        <w:rPr>
          <w:rFonts w:hint="eastAsia" w:ascii="宋体" w:hAnsi="宋体" w:cs="宋体"/>
          <w:sz w:val="22"/>
          <w:shd w:val="clear" w:color="auto" w:fill="FFFFFF"/>
        </w:rPr>
        <w:t>四、需要对成本核算规则予以进一步明确的其他有关事项，由财政部会同有关部门另行规定。</w:t>
      </w:r>
    </w:p>
    <w:p w14:paraId="5BF73298">
      <w:pPr>
        <w:widowControl/>
        <w:jc w:val="left"/>
        <w:rPr>
          <w:b/>
          <w:bCs/>
        </w:rPr>
      </w:pPr>
      <w:r>
        <w:rPr>
          <w:b/>
          <w:bCs/>
        </w:rPr>
        <w:br w:type="page"/>
      </w:r>
    </w:p>
    <w:p w14:paraId="392FF898">
      <w:pPr>
        <w:pStyle w:val="36"/>
        <w:numPr>
          <w:ilvl w:val="0"/>
          <w:numId w:val="60"/>
        </w:numPr>
        <w:spacing w:line="276" w:lineRule="auto"/>
        <w:ind w:firstLineChars="0"/>
        <w:outlineLvl w:val="2"/>
        <w:rPr>
          <w:rFonts w:ascii="宋体" w:hAnsi="宋体" w:cs="Courier New"/>
          <w:color w:val="0D0D0D"/>
          <w:szCs w:val="21"/>
        </w:rPr>
      </w:pPr>
      <w:r>
        <w:rPr>
          <w:rFonts w:hint="eastAsia"/>
          <w:szCs w:val="21"/>
        </w:rPr>
        <w:t>制造厂家（</w:t>
      </w:r>
      <w:r>
        <w:rPr>
          <w:rFonts w:hint="eastAsia"/>
          <w:color w:val="FF0000"/>
          <w:szCs w:val="21"/>
        </w:rPr>
        <w:t>进口</w:t>
      </w:r>
      <w:r>
        <w:rPr>
          <w:color w:val="FF0000"/>
          <w:szCs w:val="21"/>
        </w:rPr>
        <w:t>产品国内总代理</w:t>
      </w:r>
      <w:r>
        <w:rPr>
          <w:szCs w:val="21"/>
        </w:rPr>
        <w:t>）</w:t>
      </w:r>
      <w:r>
        <w:rPr>
          <w:rFonts w:hint="eastAsia"/>
          <w:szCs w:val="21"/>
        </w:rPr>
        <w:t>授权书</w:t>
      </w:r>
      <w:r>
        <w:rPr>
          <w:rFonts w:hint="eastAsia" w:ascii="宋体" w:hAnsi="宋体" w:cs="Courier New"/>
          <w:color w:val="0D0D0D"/>
          <w:szCs w:val="21"/>
        </w:rPr>
        <w:t>/售后</w:t>
      </w:r>
      <w:r>
        <w:rPr>
          <w:rFonts w:ascii="宋体" w:hAnsi="宋体" w:cs="Courier New"/>
          <w:color w:val="0D0D0D"/>
          <w:szCs w:val="21"/>
        </w:rPr>
        <w:t>服务承诺函</w:t>
      </w:r>
      <w:r>
        <w:rPr>
          <w:rFonts w:hint="eastAsia" w:ascii="宋体" w:hAnsi="宋体" w:cs="Courier New"/>
          <w:color w:val="0D0D0D"/>
          <w:szCs w:val="21"/>
        </w:rPr>
        <w:t>（</w:t>
      </w:r>
      <w:r>
        <w:rPr>
          <w:rFonts w:hint="eastAsia" w:ascii="宋体" w:hAnsi="宋体" w:cs="Courier New"/>
          <w:color w:val="FF0000"/>
          <w:szCs w:val="21"/>
        </w:rPr>
        <w:t>如需</w:t>
      </w:r>
      <w:r>
        <w:rPr>
          <w:rFonts w:ascii="宋体" w:hAnsi="宋体" w:cs="Courier New"/>
          <w:color w:val="FF0000"/>
          <w:szCs w:val="21"/>
        </w:rPr>
        <w:t>，格式自定</w:t>
      </w:r>
      <w:r>
        <w:rPr>
          <w:rFonts w:ascii="宋体" w:hAnsi="宋体" w:cs="Courier New"/>
          <w:color w:val="0D0D0D"/>
          <w:szCs w:val="21"/>
        </w:rPr>
        <w:t>）</w:t>
      </w:r>
    </w:p>
    <w:p w14:paraId="0060A714">
      <w:pPr>
        <w:rPr>
          <w:rFonts w:ascii="宋体" w:hAnsi="宋体" w:cs="Courier New"/>
          <w:color w:val="0D0D0D"/>
          <w:szCs w:val="21"/>
        </w:rPr>
      </w:pPr>
    </w:p>
    <w:p w14:paraId="16F66529">
      <w:pPr>
        <w:pStyle w:val="25"/>
      </w:pPr>
    </w:p>
    <w:p w14:paraId="0593A6E6">
      <w:pPr>
        <w:ind w:firstLine="420"/>
        <w:rPr>
          <w:szCs w:val="21"/>
        </w:rPr>
      </w:pPr>
      <w:r>
        <w:rPr>
          <w:szCs w:val="21"/>
        </w:rPr>
        <w:br w:type="page"/>
      </w:r>
    </w:p>
    <w:p w14:paraId="0C766E9A">
      <w:pPr>
        <w:pStyle w:val="36"/>
        <w:numPr>
          <w:ilvl w:val="0"/>
          <w:numId w:val="60"/>
        </w:numPr>
        <w:spacing w:line="276" w:lineRule="auto"/>
        <w:ind w:firstLineChars="0"/>
        <w:outlineLvl w:val="2"/>
        <w:rPr>
          <w:szCs w:val="21"/>
        </w:rPr>
      </w:pPr>
      <w:r>
        <w:rPr>
          <w:rFonts w:hint="eastAsia"/>
          <w:szCs w:val="21"/>
        </w:rPr>
        <w:t>项目负责人、技术负责人简历表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367DB396">
      <w:pPr>
        <w:spacing w:line="276" w:lineRule="auto"/>
        <w:jc w:val="center"/>
        <w:rPr>
          <w:rFonts w:ascii="宋体" w:hAnsi="宋体"/>
          <w:b/>
          <w:bCs/>
          <w:kern w:val="0"/>
          <w:szCs w:val="21"/>
        </w:rPr>
      </w:pPr>
      <w:r>
        <w:rPr>
          <w:rFonts w:hint="eastAsia" w:ascii="宋体" w:hAnsi="宋体"/>
          <w:b/>
          <w:bCs/>
          <w:kern w:val="0"/>
          <w:szCs w:val="21"/>
        </w:rPr>
        <w:t>项目负责人、技术负责人简历表</w:t>
      </w:r>
      <w:bookmarkEnd w:id="109"/>
      <w:bookmarkEnd w:id="110"/>
      <w:bookmarkEnd w:id="111"/>
      <w:bookmarkEnd w:id="112"/>
      <w:bookmarkEnd w:id="113"/>
      <w:bookmarkEnd w:id="114"/>
    </w:p>
    <w:p w14:paraId="0F5F62E2">
      <w:pPr>
        <w:spacing w:line="276" w:lineRule="auto"/>
        <w:jc w:val="left"/>
        <w:rPr>
          <w:rFonts w:hAnsi="宋体"/>
          <w:szCs w:val="21"/>
        </w:rPr>
      </w:pPr>
      <w:r>
        <w:rPr>
          <w:rFonts w:hint="eastAsia" w:hAnsi="宋体"/>
          <w:szCs w:val="21"/>
        </w:rPr>
        <w:t>投标人：</w:t>
      </w:r>
    </w:p>
    <w:p w14:paraId="5961388A">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14:paraId="5777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01C2E811">
            <w:pPr>
              <w:autoSpaceDE w:val="0"/>
              <w:autoSpaceDN w:val="0"/>
              <w:adjustRightInd w:val="0"/>
              <w:spacing w:line="276" w:lineRule="auto"/>
              <w:jc w:val="center"/>
              <w:rPr>
                <w:rFonts w:ascii="宋体" w:hAnsi="宋体"/>
                <w:kern w:val="0"/>
                <w:szCs w:val="21"/>
              </w:rPr>
            </w:pPr>
            <w:r>
              <w:rPr>
                <w:rFonts w:hint="eastAsia" w:ascii="宋体" w:hAnsi="宋体"/>
                <w:kern w:val="0"/>
                <w:szCs w:val="21"/>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D4D972A">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4ACE893">
            <w:pPr>
              <w:autoSpaceDE w:val="0"/>
              <w:autoSpaceDN w:val="0"/>
              <w:adjustRightInd w:val="0"/>
              <w:spacing w:line="276" w:lineRule="auto"/>
              <w:ind w:right="-128" w:rightChars="-61"/>
              <w:jc w:val="center"/>
              <w:rPr>
                <w:rFonts w:ascii="宋体" w:hAnsi="宋体"/>
                <w:kern w:val="0"/>
                <w:szCs w:val="21"/>
              </w:rPr>
            </w:pPr>
            <w:r>
              <w:rPr>
                <w:rFonts w:hint="eastAsia" w:ascii="宋体" w:hAnsi="宋体"/>
                <w:kern w:val="0"/>
                <w:szCs w:val="21"/>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4863105D">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B77AC22">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年    龄</w:t>
            </w:r>
          </w:p>
        </w:tc>
        <w:tc>
          <w:tcPr>
            <w:tcW w:w="1530" w:type="dxa"/>
            <w:tcBorders>
              <w:top w:val="single" w:color="auto" w:sz="4" w:space="0"/>
              <w:left w:val="single" w:color="auto" w:sz="4" w:space="0"/>
              <w:bottom w:val="single" w:color="auto" w:sz="4" w:space="0"/>
              <w:right w:val="single" w:color="auto" w:sz="4" w:space="0"/>
            </w:tcBorders>
            <w:vAlign w:val="center"/>
          </w:tcPr>
          <w:p w14:paraId="591360DA">
            <w:pPr>
              <w:autoSpaceDE w:val="0"/>
              <w:autoSpaceDN w:val="0"/>
              <w:adjustRightInd w:val="0"/>
              <w:spacing w:line="276" w:lineRule="auto"/>
              <w:ind w:right="285" w:rightChars="136"/>
              <w:jc w:val="center"/>
              <w:rPr>
                <w:rFonts w:ascii="宋体" w:hAnsi="宋体"/>
                <w:kern w:val="0"/>
                <w:szCs w:val="21"/>
              </w:rPr>
            </w:pPr>
          </w:p>
        </w:tc>
      </w:tr>
      <w:tr w14:paraId="25ADA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14:paraId="1D099DD0">
            <w:pPr>
              <w:autoSpaceDE w:val="0"/>
              <w:autoSpaceDN w:val="0"/>
              <w:adjustRightInd w:val="0"/>
              <w:spacing w:line="276" w:lineRule="auto"/>
              <w:jc w:val="center"/>
              <w:rPr>
                <w:rFonts w:ascii="宋体" w:hAnsi="宋体"/>
                <w:kern w:val="0"/>
                <w:szCs w:val="21"/>
              </w:rPr>
            </w:pPr>
            <w:r>
              <w:rPr>
                <w:rFonts w:hint="eastAsia" w:ascii="宋体" w:hAnsi="宋体"/>
                <w:kern w:val="0"/>
                <w:szCs w:val="21"/>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4F7E678">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05513C06">
            <w:pPr>
              <w:autoSpaceDE w:val="0"/>
              <w:autoSpaceDN w:val="0"/>
              <w:adjustRightInd w:val="0"/>
              <w:spacing w:line="276" w:lineRule="auto"/>
              <w:ind w:right="-84" w:rightChars="-40"/>
              <w:jc w:val="center"/>
              <w:rPr>
                <w:rFonts w:ascii="宋体" w:hAnsi="宋体"/>
                <w:kern w:val="0"/>
                <w:szCs w:val="21"/>
              </w:rPr>
            </w:pPr>
            <w:r>
              <w:rPr>
                <w:rFonts w:hint="eastAsia" w:ascii="宋体" w:hAnsi="宋体"/>
                <w:kern w:val="0"/>
                <w:szCs w:val="21"/>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18786F06">
            <w:pPr>
              <w:autoSpaceDE w:val="0"/>
              <w:autoSpaceDN w:val="0"/>
              <w:adjustRightInd w:val="0"/>
              <w:spacing w:line="276" w:lineRule="auto"/>
              <w:ind w:right="285" w:rightChars="136"/>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5F47FF89">
            <w:pPr>
              <w:autoSpaceDE w:val="0"/>
              <w:autoSpaceDN w:val="0"/>
              <w:adjustRightInd w:val="0"/>
              <w:spacing w:line="276" w:lineRule="auto"/>
              <w:ind w:right="2" w:rightChars="1"/>
              <w:jc w:val="center"/>
              <w:rPr>
                <w:rFonts w:ascii="宋体" w:hAnsi="宋体"/>
                <w:kern w:val="0"/>
                <w:szCs w:val="21"/>
              </w:rPr>
            </w:pPr>
            <w:r>
              <w:rPr>
                <w:rFonts w:hint="eastAsia" w:ascii="宋体" w:hAnsi="宋体"/>
                <w:kern w:val="0"/>
                <w:szCs w:val="21"/>
              </w:rPr>
              <w:t>学    历</w:t>
            </w:r>
          </w:p>
        </w:tc>
        <w:tc>
          <w:tcPr>
            <w:tcW w:w="1530" w:type="dxa"/>
            <w:tcBorders>
              <w:top w:val="single" w:color="auto" w:sz="4" w:space="0"/>
              <w:left w:val="single" w:color="auto" w:sz="4" w:space="0"/>
              <w:bottom w:val="single" w:color="auto" w:sz="4" w:space="0"/>
              <w:right w:val="single" w:color="auto" w:sz="4" w:space="0"/>
            </w:tcBorders>
            <w:vAlign w:val="center"/>
          </w:tcPr>
          <w:p w14:paraId="68231A1C">
            <w:pPr>
              <w:autoSpaceDE w:val="0"/>
              <w:autoSpaceDN w:val="0"/>
              <w:adjustRightInd w:val="0"/>
              <w:spacing w:line="276" w:lineRule="auto"/>
              <w:ind w:right="2" w:rightChars="1"/>
              <w:jc w:val="center"/>
              <w:rPr>
                <w:rFonts w:ascii="宋体" w:hAnsi="宋体"/>
                <w:kern w:val="0"/>
                <w:szCs w:val="21"/>
              </w:rPr>
            </w:pPr>
          </w:p>
        </w:tc>
      </w:tr>
      <w:tr w14:paraId="69155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14:paraId="110F0DFB">
            <w:pPr>
              <w:autoSpaceDE w:val="0"/>
              <w:autoSpaceDN w:val="0"/>
              <w:adjustRightInd w:val="0"/>
              <w:spacing w:line="276" w:lineRule="auto"/>
              <w:jc w:val="center"/>
              <w:rPr>
                <w:rFonts w:ascii="宋体" w:hAnsi="宋体"/>
                <w:kern w:val="0"/>
                <w:szCs w:val="21"/>
              </w:rPr>
            </w:pPr>
            <w:r>
              <w:rPr>
                <w:rFonts w:hint="eastAsia" w:ascii="宋体" w:hAnsi="宋体"/>
                <w:kern w:val="0"/>
                <w:szCs w:val="21"/>
              </w:rPr>
              <w:t>参加工作</w:t>
            </w:r>
          </w:p>
          <w:p w14:paraId="09981CD8">
            <w:pPr>
              <w:autoSpaceDE w:val="0"/>
              <w:autoSpaceDN w:val="0"/>
              <w:adjustRightInd w:val="0"/>
              <w:spacing w:line="276" w:lineRule="auto"/>
              <w:jc w:val="center"/>
              <w:rPr>
                <w:rFonts w:ascii="宋体" w:hAnsi="宋体"/>
                <w:kern w:val="0"/>
                <w:szCs w:val="21"/>
              </w:rPr>
            </w:pPr>
            <w:r>
              <w:rPr>
                <w:rFonts w:hint="eastAsia" w:ascii="宋体" w:hAnsi="宋体"/>
                <w:kern w:val="0"/>
                <w:szCs w:val="21"/>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B9748F6">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65D6CB93">
            <w:pPr>
              <w:autoSpaceDE w:val="0"/>
              <w:autoSpaceDN w:val="0"/>
              <w:adjustRightInd w:val="0"/>
              <w:spacing w:line="276" w:lineRule="auto"/>
              <w:jc w:val="center"/>
              <w:rPr>
                <w:rFonts w:ascii="宋体" w:hAnsi="宋体"/>
                <w:kern w:val="0"/>
                <w:szCs w:val="21"/>
              </w:rPr>
            </w:pPr>
            <w:r>
              <w:rPr>
                <w:rFonts w:hint="eastAsia" w:ascii="宋体" w:hAnsi="宋体"/>
                <w:kern w:val="0"/>
                <w:szCs w:val="21"/>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7C4CA7CE">
            <w:pPr>
              <w:autoSpaceDE w:val="0"/>
              <w:autoSpaceDN w:val="0"/>
              <w:adjustRightInd w:val="0"/>
              <w:spacing w:line="276" w:lineRule="auto"/>
              <w:jc w:val="center"/>
              <w:rPr>
                <w:rFonts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14:paraId="23CE8F23">
            <w:pPr>
              <w:autoSpaceDE w:val="0"/>
              <w:autoSpaceDN w:val="0"/>
              <w:adjustRightInd w:val="0"/>
              <w:spacing w:line="276" w:lineRule="auto"/>
              <w:jc w:val="center"/>
              <w:rPr>
                <w:rFonts w:ascii="宋体" w:hAnsi="宋体"/>
                <w:kern w:val="0"/>
                <w:szCs w:val="21"/>
              </w:rPr>
            </w:pPr>
            <w:r>
              <w:rPr>
                <w:rFonts w:hint="eastAsia" w:ascii="宋体" w:hAnsi="宋体"/>
                <w:kern w:val="0"/>
                <w:szCs w:val="21"/>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14:paraId="4655EA96">
            <w:pPr>
              <w:autoSpaceDE w:val="0"/>
              <w:autoSpaceDN w:val="0"/>
              <w:adjustRightInd w:val="0"/>
              <w:spacing w:line="276" w:lineRule="auto"/>
              <w:jc w:val="center"/>
              <w:rPr>
                <w:rFonts w:ascii="宋体" w:hAnsi="宋体"/>
                <w:kern w:val="0"/>
                <w:szCs w:val="21"/>
              </w:rPr>
            </w:pPr>
          </w:p>
        </w:tc>
      </w:tr>
      <w:tr w14:paraId="71C28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71D77579">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个人简介</w:t>
            </w:r>
          </w:p>
        </w:tc>
      </w:tr>
      <w:tr w14:paraId="2441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4F87B545">
            <w:pPr>
              <w:autoSpaceDE w:val="0"/>
              <w:autoSpaceDN w:val="0"/>
              <w:adjustRightInd w:val="0"/>
              <w:spacing w:line="276" w:lineRule="auto"/>
              <w:ind w:right="285" w:rightChars="136"/>
              <w:jc w:val="center"/>
              <w:rPr>
                <w:rFonts w:ascii="宋体" w:hAnsi="宋体"/>
                <w:kern w:val="0"/>
                <w:szCs w:val="21"/>
              </w:rPr>
            </w:pPr>
          </w:p>
        </w:tc>
      </w:tr>
      <w:tr w14:paraId="1CE52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14:paraId="10BC2507">
            <w:pPr>
              <w:autoSpaceDE w:val="0"/>
              <w:autoSpaceDN w:val="0"/>
              <w:adjustRightInd w:val="0"/>
              <w:spacing w:line="276" w:lineRule="auto"/>
              <w:ind w:right="285" w:rightChars="136"/>
              <w:jc w:val="center"/>
              <w:rPr>
                <w:rFonts w:ascii="宋体" w:hAnsi="宋体"/>
                <w:kern w:val="0"/>
                <w:szCs w:val="21"/>
              </w:rPr>
            </w:pPr>
            <w:r>
              <w:rPr>
                <w:rFonts w:hint="eastAsia" w:ascii="宋体" w:hAnsi="宋体"/>
                <w:kern w:val="0"/>
                <w:szCs w:val="21"/>
              </w:rPr>
              <w:t>类似项目经验</w:t>
            </w:r>
          </w:p>
        </w:tc>
      </w:tr>
      <w:tr w14:paraId="0B794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DE731E4">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971AF33">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95B1A49">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70C256F">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804CEAC">
            <w:pPr>
              <w:autoSpaceDE w:val="0"/>
              <w:autoSpaceDN w:val="0"/>
              <w:adjustRightInd w:val="0"/>
              <w:spacing w:line="276" w:lineRule="auto"/>
              <w:ind w:right="-79" w:rightChars="-38"/>
              <w:jc w:val="center"/>
              <w:rPr>
                <w:rFonts w:ascii="宋体" w:hAnsi="宋体"/>
                <w:kern w:val="0"/>
                <w:szCs w:val="21"/>
              </w:rPr>
            </w:pPr>
            <w:r>
              <w:rPr>
                <w:rFonts w:hint="eastAsia" w:ascii="宋体" w:hAnsi="宋体"/>
                <w:kern w:val="0"/>
                <w:szCs w:val="21"/>
              </w:rPr>
              <w:t>项目时间</w:t>
            </w:r>
          </w:p>
        </w:tc>
      </w:tr>
      <w:tr w14:paraId="509BA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472E6B5A">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AD92AE5">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84F6CC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A0DFDF6">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05D4D27D">
            <w:pPr>
              <w:autoSpaceDE w:val="0"/>
              <w:autoSpaceDN w:val="0"/>
              <w:adjustRightInd w:val="0"/>
              <w:spacing w:line="276" w:lineRule="auto"/>
              <w:ind w:right="-79" w:rightChars="-38"/>
              <w:jc w:val="center"/>
              <w:rPr>
                <w:rFonts w:ascii="宋体" w:hAnsi="宋体"/>
                <w:kern w:val="0"/>
                <w:szCs w:val="21"/>
              </w:rPr>
            </w:pPr>
          </w:p>
        </w:tc>
      </w:tr>
      <w:tr w14:paraId="40DDB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7F2DC3D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9BFD07A">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EAD8E0B">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32F1EE8">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1C154C5">
            <w:pPr>
              <w:autoSpaceDE w:val="0"/>
              <w:autoSpaceDN w:val="0"/>
              <w:adjustRightInd w:val="0"/>
              <w:spacing w:line="276" w:lineRule="auto"/>
              <w:ind w:right="-79" w:rightChars="-38"/>
              <w:jc w:val="center"/>
              <w:rPr>
                <w:rFonts w:ascii="宋体" w:hAnsi="宋体"/>
                <w:kern w:val="0"/>
                <w:szCs w:val="21"/>
              </w:rPr>
            </w:pPr>
          </w:p>
        </w:tc>
      </w:tr>
      <w:tr w14:paraId="3E62A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159BC15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354080F">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9C5F3C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A26DCD5">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1FF2BDA9">
            <w:pPr>
              <w:autoSpaceDE w:val="0"/>
              <w:autoSpaceDN w:val="0"/>
              <w:adjustRightInd w:val="0"/>
              <w:spacing w:line="276" w:lineRule="auto"/>
              <w:ind w:right="-79" w:rightChars="-38"/>
              <w:jc w:val="center"/>
              <w:rPr>
                <w:rFonts w:ascii="宋体" w:hAnsi="宋体"/>
                <w:kern w:val="0"/>
                <w:szCs w:val="21"/>
              </w:rPr>
            </w:pPr>
          </w:p>
        </w:tc>
      </w:tr>
      <w:tr w14:paraId="1DB32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6AA8B3B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6502735A">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A102CAC">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498E885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C10705A">
            <w:pPr>
              <w:autoSpaceDE w:val="0"/>
              <w:autoSpaceDN w:val="0"/>
              <w:adjustRightInd w:val="0"/>
              <w:spacing w:line="276" w:lineRule="auto"/>
              <w:ind w:right="-79" w:rightChars="-38"/>
              <w:jc w:val="center"/>
              <w:rPr>
                <w:rFonts w:ascii="宋体" w:hAnsi="宋体"/>
                <w:kern w:val="0"/>
                <w:szCs w:val="21"/>
              </w:rPr>
            </w:pPr>
          </w:p>
        </w:tc>
      </w:tr>
      <w:tr w14:paraId="18FD9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14:paraId="7BE87B3B">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20CC73AE">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5E7EADC1">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3CDCB342">
            <w:pPr>
              <w:autoSpaceDE w:val="0"/>
              <w:autoSpaceDN w:val="0"/>
              <w:adjustRightInd w:val="0"/>
              <w:spacing w:line="276" w:lineRule="auto"/>
              <w:ind w:right="-79" w:rightChars="-38"/>
              <w:jc w:val="center"/>
              <w:rPr>
                <w:rFonts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14:paraId="79D5C543">
            <w:pPr>
              <w:autoSpaceDE w:val="0"/>
              <w:autoSpaceDN w:val="0"/>
              <w:adjustRightInd w:val="0"/>
              <w:spacing w:line="276" w:lineRule="auto"/>
              <w:ind w:right="-79" w:rightChars="-38"/>
              <w:jc w:val="center"/>
              <w:rPr>
                <w:rFonts w:ascii="宋体" w:hAnsi="宋体"/>
                <w:kern w:val="0"/>
                <w:szCs w:val="21"/>
              </w:rPr>
            </w:pPr>
          </w:p>
        </w:tc>
      </w:tr>
    </w:tbl>
    <w:p w14:paraId="538FDD51">
      <w:pPr>
        <w:spacing w:line="276" w:lineRule="auto"/>
        <w:ind w:left="619" w:hanging="619" w:hangingChars="295"/>
        <w:jc w:val="left"/>
        <w:rPr>
          <w:rFonts w:ascii="宋体" w:hAnsi="宋体"/>
          <w:szCs w:val="21"/>
          <w:lang w:val="zh-CN"/>
        </w:rPr>
      </w:pPr>
      <w:r>
        <w:rPr>
          <w:rFonts w:hint="eastAsia" w:ascii="宋体" w:hAnsi="宋体"/>
          <w:szCs w:val="21"/>
        </w:rPr>
        <w:t>说明</w:t>
      </w:r>
      <w:r>
        <w:rPr>
          <w:rFonts w:hint="eastAsia" w:ascii="宋体" w:hAnsi="宋体"/>
          <w:szCs w:val="21"/>
          <w:lang w:val="zh-CN"/>
        </w:rPr>
        <w:t>：投标文件应附完整的相关证明材料清晰复印件加盖投标人公章，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512A3CE6">
      <w:pPr>
        <w:spacing w:line="276" w:lineRule="auto"/>
        <w:jc w:val="left"/>
        <w:rPr>
          <w:rFonts w:ascii="宋体" w:hAnsi="宋体"/>
          <w:szCs w:val="21"/>
          <w:lang w:val="zh-CN"/>
        </w:rPr>
      </w:pPr>
    </w:p>
    <w:p w14:paraId="5C6F208A">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2E4037EF">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70AE9194">
      <w:pPr>
        <w:pStyle w:val="36"/>
        <w:numPr>
          <w:ilvl w:val="0"/>
          <w:numId w:val="60"/>
        </w:numPr>
        <w:spacing w:line="276" w:lineRule="auto"/>
        <w:ind w:firstLineChars="0"/>
        <w:outlineLvl w:val="2"/>
        <w:rPr>
          <w:szCs w:val="21"/>
        </w:rPr>
      </w:pPr>
      <w:r>
        <w:rPr>
          <w:kern w:val="0"/>
          <w:szCs w:val="21"/>
        </w:rPr>
        <w:br w:type="page"/>
      </w:r>
      <w:bookmarkStart w:id="122" w:name="_Toc494665566"/>
      <w:bookmarkStart w:id="123" w:name="_Toc494665963"/>
      <w:bookmarkStart w:id="124" w:name="_Toc494665013"/>
      <w:bookmarkStart w:id="125" w:name="_Toc494702283"/>
      <w:bookmarkStart w:id="126" w:name="_Toc238276251"/>
      <w:bookmarkStart w:id="127" w:name="_Toc494745330"/>
      <w:bookmarkStart w:id="128" w:name="_Toc494721113"/>
      <w:bookmarkStart w:id="129" w:name="_Toc236473307"/>
      <w:r>
        <w:rPr>
          <w:rFonts w:hint="eastAsia"/>
          <w:szCs w:val="21"/>
        </w:rPr>
        <w:t>项目组成员一览表及证明材料（</w:t>
      </w:r>
      <w:r>
        <w:rPr>
          <w:rFonts w:hint="eastAsia"/>
          <w:color w:val="FF0000"/>
          <w:szCs w:val="21"/>
        </w:rPr>
        <w:t>如需</w:t>
      </w:r>
      <w:r>
        <w:rPr>
          <w:szCs w:val="21"/>
        </w:rPr>
        <w:t>）</w:t>
      </w:r>
    </w:p>
    <w:bookmarkEnd w:id="122"/>
    <w:bookmarkEnd w:id="123"/>
    <w:bookmarkEnd w:id="124"/>
    <w:bookmarkEnd w:id="125"/>
    <w:bookmarkEnd w:id="126"/>
    <w:bookmarkEnd w:id="127"/>
    <w:bookmarkEnd w:id="128"/>
    <w:bookmarkEnd w:id="129"/>
    <w:p w14:paraId="7413DF16">
      <w:pPr>
        <w:spacing w:line="276" w:lineRule="auto"/>
        <w:jc w:val="center"/>
        <w:rPr>
          <w:rFonts w:ascii="宋体" w:hAnsi="宋体"/>
          <w:b/>
          <w:szCs w:val="21"/>
        </w:rPr>
      </w:pPr>
      <w:r>
        <w:rPr>
          <w:rFonts w:hint="eastAsia"/>
          <w:b/>
          <w:szCs w:val="21"/>
        </w:rPr>
        <w:t>项目组成员一览表及证明材料</w:t>
      </w:r>
    </w:p>
    <w:p w14:paraId="396246CE">
      <w:pPr>
        <w:spacing w:line="276" w:lineRule="auto"/>
        <w:jc w:val="left"/>
        <w:rPr>
          <w:rFonts w:hAnsi="宋体"/>
          <w:szCs w:val="21"/>
        </w:rPr>
      </w:pPr>
      <w:r>
        <w:rPr>
          <w:rFonts w:hint="eastAsia" w:hAnsi="宋体"/>
          <w:szCs w:val="21"/>
        </w:rPr>
        <w:t>投标人：</w:t>
      </w:r>
    </w:p>
    <w:p w14:paraId="0A431166">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14:paraId="68FE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14:paraId="49FF313F">
            <w:pPr>
              <w:spacing w:line="276" w:lineRule="auto"/>
              <w:jc w:val="center"/>
              <w:rPr>
                <w:rFonts w:ascii="宋体" w:hAnsi="宋体"/>
                <w:szCs w:val="21"/>
              </w:rPr>
            </w:pPr>
            <w:r>
              <w:rPr>
                <w:rFonts w:hint="eastAsia" w:ascii="宋体" w:hAnsi="宋体"/>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14:paraId="5E112AC2">
            <w:pPr>
              <w:spacing w:line="276" w:lineRule="auto"/>
              <w:jc w:val="center"/>
              <w:rPr>
                <w:rFonts w:ascii="宋体" w:hAnsi="宋体"/>
                <w:szCs w:val="21"/>
              </w:rPr>
            </w:pPr>
            <w:r>
              <w:rPr>
                <w:rFonts w:hint="eastAsia" w:ascii="宋体" w:hAnsi="宋体"/>
                <w:szCs w:val="21"/>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53A22B64">
            <w:pPr>
              <w:spacing w:line="276" w:lineRule="auto"/>
              <w:jc w:val="center"/>
              <w:rPr>
                <w:rFonts w:ascii="宋体" w:hAnsi="宋体"/>
                <w:szCs w:val="21"/>
              </w:rPr>
            </w:pPr>
            <w:r>
              <w:rPr>
                <w:rFonts w:hint="eastAsia" w:ascii="宋体" w:hAnsi="宋体"/>
                <w:szCs w:val="21"/>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14:paraId="0F679025">
            <w:pPr>
              <w:spacing w:line="276" w:lineRule="auto"/>
              <w:jc w:val="center"/>
              <w:rPr>
                <w:rFonts w:ascii="宋体" w:hAnsi="宋体"/>
                <w:szCs w:val="21"/>
              </w:rPr>
            </w:pPr>
            <w:r>
              <w:rPr>
                <w:rFonts w:hint="eastAsia" w:ascii="宋体" w:hAnsi="宋体"/>
                <w:szCs w:val="21"/>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14:paraId="131195BD">
            <w:pPr>
              <w:spacing w:line="276" w:lineRule="auto"/>
              <w:jc w:val="center"/>
              <w:rPr>
                <w:rFonts w:ascii="宋体" w:hAnsi="宋体"/>
                <w:kern w:val="0"/>
                <w:szCs w:val="21"/>
              </w:rPr>
            </w:pPr>
            <w:r>
              <w:rPr>
                <w:rFonts w:hint="eastAsia" w:ascii="宋体" w:hAnsi="宋体"/>
                <w:kern w:val="0"/>
                <w:szCs w:val="21"/>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14:paraId="24AA3347">
            <w:pPr>
              <w:spacing w:line="276" w:lineRule="auto"/>
              <w:jc w:val="center"/>
              <w:rPr>
                <w:rFonts w:ascii="宋体" w:hAnsi="宋体"/>
                <w:szCs w:val="21"/>
              </w:rPr>
            </w:pPr>
            <w:r>
              <w:rPr>
                <w:rFonts w:hint="eastAsia" w:ascii="宋体" w:hAnsi="宋体"/>
                <w:szCs w:val="21"/>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14:paraId="307DE670">
            <w:pPr>
              <w:spacing w:line="276" w:lineRule="auto"/>
              <w:jc w:val="center"/>
              <w:rPr>
                <w:rFonts w:ascii="宋体" w:hAnsi="宋体"/>
                <w:kern w:val="0"/>
                <w:szCs w:val="21"/>
              </w:rPr>
            </w:pPr>
            <w:r>
              <w:rPr>
                <w:rFonts w:hint="eastAsia" w:ascii="宋体" w:hAnsi="宋体"/>
                <w:kern w:val="0"/>
                <w:szCs w:val="21"/>
              </w:rPr>
              <w:t>个人专业资质及证书</w:t>
            </w:r>
          </w:p>
        </w:tc>
      </w:tr>
      <w:tr w14:paraId="48E3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78371821">
            <w:pPr>
              <w:spacing w:line="276" w:lineRule="auto"/>
              <w:jc w:val="center"/>
              <w:rPr>
                <w:rFonts w:ascii="宋体" w:hAnsi="宋体"/>
                <w:szCs w:val="21"/>
              </w:rPr>
            </w:pPr>
            <w:r>
              <w:rPr>
                <w:rFonts w:hint="eastAsia" w:ascii="宋体" w:hAnsi="宋体"/>
                <w:szCs w:val="21"/>
              </w:rPr>
              <w:t>1</w:t>
            </w:r>
          </w:p>
        </w:tc>
        <w:tc>
          <w:tcPr>
            <w:tcW w:w="992" w:type="dxa"/>
            <w:tcBorders>
              <w:top w:val="single" w:color="auto" w:sz="4" w:space="0"/>
              <w:left w:val="single" w:color="auto" w:sz="4" w:space="0"/>
              <w:bottom w:val="single" w:color="auto" w:sz="4" w:space="0"/>
              <w:right w:val="single" w:color="auto" w:sz="4" w:space="0"/>
            </w:tcBorders>
            <w:vAlign w:val="center"/>
          </w:tcPr>
          <w:p w14:paraId="74A5A10C">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1203B54">
            <w:pPr>
              <w:spacing w:line="276" w:lineRule="auto"/>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C90C3A2">
            <w:pPr>
              <w:spacing w:line="276" w:lineRule="auto"/>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8ADE794">
            <w:pPr>
              <w:spacing w:line="276" w:lineRule="auto"/>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29A0EC7">
            <w:pPr>
              <w:spacing w:line="276" w:lineRule="auto"/>
              <w:rPr>
                <w:rFonts w:ascii="宋体" w:hAnsi="宋体"/>
                <w:szCs w:val="21"/>
              </w:rPr>
            </w:pPr>
            <w:r>
              <w:rPr>
                <w:rFonts w:hint="eastAsia" w:ascii="宋体" w:hAnsi="宋体"/>
                <w:szCs w:val="21"/>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14:paraId="2B35C56E">
            <w:pPr>
              <w:spacing w:line="276" w:lineRule="auto"/>
              <w:rPr>
                <w:rFonts w:ascii="宋体" w:hAnsi="宋体"/>
                <w:szCs w:val="21"/>
              </w:rPr>
            </w:pPr>
          </w:p>
        </w:tc>
      </w:tr>
      <w:tr w14:paraId="5F5F7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8D546C2">
            <w:pPr>
              <w:spacing w:line="276" w:lineRule="auto"/>
              <w:jc w:val="center"/>
              <w:rPr>
                <w:rFonts w:ascii="宋体" w:hAnsi="宋体"/>
                <w:szCs w:val="21"/>
              </w:rPr>
            </w:pPr>
            <w:r>
              <w:rPr>
                <w:rFonts w:hint="eastAsia" w:ascii="宋体" w:hAnsi="宋体"/>
                <w:szCs w:val="21"/>
              </w:rPr>
              <w:t>2</w:t>
            </w:r>
          </w:p>
        </w:tc>
        <w:tc>
          <w:tcPr>
            <w:tcW w:w="992" w:type="dxa"/>
            <w:tcBorders>
              <w:top w:val="single" w:color="auto" w:sz="4" w:space="0"/>
              <w:left w:val="single" w:color="auto" w:sz="4" w:space="0"/>
              <w:bottom w:val="single" w:color="auto" w:sz="4" w:space="0"/>
              <w:right w:val="single" w:color="auto" w:sz="4" w:space="0"/>
            </w:tcBorders>
            <w:vAlign w:val="center"/>
          </w:tcPr>
          <w:p w14:paraId="59085F2F">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1387EB1">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F61265D">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2D09A45D">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5F350CF">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42700AE9">
            <w:pPr>
              <w:spacing w:line="276" w:lineRule="auto"/>
              <w:jc w:val="center"/>
              <w:rPr>
                <w:rFonts w:ascii="宋体" w:hAnsi="宋体"/>
                <w:szCs w:val="21"/>
              </w:rPr>
            </w:pPr>
          </w:p>
        </w:tc>
      </w:tr>
      <w:tr w14:paraId="7707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BF97D0D">
            <w:pPr>
              <w:spacing w:line="276" w:lineRule="auto"/>
              <w:jc w:val="center"/>
              <w:rPr>
                <w:rFonts w:ascii="宋体" w:hAnsi="宋体"/>
                <w:szCs w:val="21"/>
              </w:rPr>
            </w:pPr>
            <w:r>
              <w:rPr>
                <w:rFonts w:hint="eastAsia" w:ascii="宋体" w:hAnsi="宋体"/>
                <w:szCs w:val="21"/>
              </w:rPr>
              <w:t>3</w:t>
            </w:r>
          </w:p>
        </w:tc>
        <w:tc>
          <w:tcPr>
            <w:tcW w:w="992" w:type="dxa"/>
            <w:tcBorders>
              <w:top w:val="single" w:color="auto" w:sz="4" w:space="0"/>
              <w:left w:val="single" w:color="auto" w:sz="4" w:space="0"/>
              <w:bottom w:val="single" w:color="auto" w:sz="4" w:space="0"/>
              <w:right w:val="single" w:color="auto" w:sz="4" w:space="0"/>
            </w:tcBorders>
            <w:vAlign w:val="center"/>
          </w:tcPr>
          <w:p w14:paraId="5D3F4239">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EDC7120">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9ECD275">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1D52B9AF">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9AA26A0">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5F987681">
            <w:pPr>
              <w:spacing w:line="276" w:lineRule="auto"/>
              <w:jc w:val="center"/>
              <w:rPr>
                <w:rFonts w:ascii="宋体" w:hAnsi="宋体"/>
                <w:szCs w:val="21"/>
              </w:rPr>
            </w:pPr>
          </w:p>
        </w:tc>
      </w:tr>
      <w:tr w14:paraId="2A12D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67002A39">
            <w:pPr>
              <w:spacing w:line="276" w:lineRule="auto"/>
              <w:jc w:val="center"/>
              <w:rPr>
                <w:rFonts w:ascii="宋体" w:hAnsi="宋体"/>
                <w:szCs w:val="21"/>
              </w:rPr>
            </w:pPr>
            <w:r>
              <w:rPr>
                <w:rFonts w:hint="eastAsia" w:ascii="宋体" w:hAnsi="宋体"/>
                <w:szCs w:val="21"/>
              </w:rPr>
              <w:t>4</w:t>
            </w:r>
          </w:p>
        </w:tc>
        <w:tc>
          <w:tcPr>
            <w:tcW w:w="992" w:type="dxa"/>
            <w:tcBorders>
              <w:top w:val="single" w:color="auto" w:sz="4" w:space="0"/>
              <w:left w:val="single" w:color="auto" w:sz="4" w:space="0"/>
              <w:bottom w:val="single" w:color="auto" w:sz="4" w:space="0"/>
              <w:right w:val="single" w:color="auto" w:sz="4" w:space="0"/>
            </w:tcBorders>
            <w:vAlign w:val="center"/>
          </w:tcPr>
          <w:p w14:paraId="0C60A7E6">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7315D833">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8141ED4">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26EF8010">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4D109F82">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11C412D3">
            <w:pPr>
              <w:spacing w:line="276" w:lineRule="auto"/>
              <w:jc w:val="center"/>
              <w:rPr>
                <w:rFonts w:ascii="宋体" w:hAnsi="宋体"/>
                <w:szCs w:val="21"/>
              </w:rPr>
            </w:pPr>
          </w:p>
        </w:tc>
      </w:tr>
      <w:tr w14:paraId="5989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30FE0AE0">
            <w:pPr>
              <w:spacing w:line="276" w:lineRule="auto"/>
              <w:jc w:val="center"/>
              <w:rPr>
                <w:rFonts w:ascii="宋体" w:hAnsi="宋体"/>
                <w:szCs w:val="21"/>
              </w:rPr>
            </w:pPr>
            <w:r>
              <w:rPr>
                <w:rFonts w:hint="eastAsia" w:ascii="宋体" w:hAnsi="宋体"/>
                <w:szCs w:val="21"/>
              </w:rPr>
              <w:t>5</w:t>
            </w:r>
          </w:p>
        </w:tc>
        <w:tc>
          <w:tcPr>
            <w:tcW w:w="992" w:type="dxa"/>
            <w:tcBorders>
              <w:top w:val="single" w:color="auto" w:sz="4" w:space="0"/>
              <w:left w:val="single" w:color="auto" w:sz="4" w:space="0"/>
              <w:bottom w:val="single" w:color="auto" w:sz="4" w:space="0"/>
              <w:right w:val="single" w:color="auto" w:sz="4" w:space="0"/>
            </w:tcBorders>
            <w:vAlign w:val="center"/>
          </w:tcPr>
          <w:p w14:paraId="1CF40DBE">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59BFE7BF">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322A6D4B">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20AFA719">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DAA1D30">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522E6944">
            <w:pPr>
              <w:spacing w:line="276" w:lineRule="auto"/>
              <w:jc w:val="center"/>
              <w:rPr>
                <w:rFonts w:ascii="宋体" w:hAnsi="宋体"/>
                <w:szCs w:val="21"/>
              </w:rPr>
            </w:pPr>
          </w:p>
        </w:tc>
      </w:tr>
      <w:tr w14:paraId="698E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1F6F662">
            <w:pPr>
              <w:spacing w:line="276" w:lineRule="auto"/>
              <w:jc w:val="center"/>
              <w:rPr>
                <w:rFonts w:ascii="宋体" w:hAnsi="宋体"/>
                <w:szCs w:val="21"/>
              </w:rPr>
            </w:pPr>
            <w:r>
              <w:rPr>
                <w:rFonts w:hint="eastAsia" w:ascii="宋体" w:hAnsi="宋体"/>
                <w:szCs w:val="21"/>
              </w:rPr>
              <w:t>6</w:t>
            </w:r>
          </w:p>
        </w:tc>
        <w:tc>
          <w:tcPr>
            <w:tcW w:w="992" w:type="dxa"/>
            <w:tcBorders>
              <w:top w:val="single" w:color="auto" w:sz="4" w:space="0"/>
              <w:left w:val="single" w:color="auto" w:sz="4" w:space="0"/>
              <w:bottom w:val="single" w:color="auto" w:sz="4" w:space="0"/>
              <w:right w:val="single" w:color="auto" w:sz="4" w:space="0"/>
            </w:tcBorders>
            <w:vAlign w:val="center"/>
          </w:tcPr>
          <w:p w14:paraId="7A56C498">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DC107DC">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21577171">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32A7D2E5">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6B5262AC">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52A04543">
            <w:pPr>
              <w:spacing w:line="276" w:lineRule="auto"/>
              <w:jc w:val="center"/>
              <w:rPr>
                <w:rFonts w:ascii="宋体" w:hAnsi="宋体"/>
                <w:szCs w:val="21"/>
              </w:rPr>
            </w:pPr>
          </w:p>
        </w:tc>
      </w:tr>
      <w:tr w14:paraId="6F849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14:paraId="07C9E2F4">
            <w:pPr>
              <w:spacing w:line="276" w:lineRule="auto"/>
              <w:jc w:val="center"/>
              <w:rPr>
                <w:rFonts w:ascii="宋体" w:hAnsi="宋体"/>
                <w:b/>
                <w:szCs w:val="21"/>
              </w:rPr>
            </w:pPr>
            <w:r>
              <w:rPr>
                <w:rFonts w:hint="eastAsia" w:ascii="宋体" w:hAnsi="宋体"/>
                <w:b/>
                <w:szCs w:val="21"/>
              </w:rPr>
              <w:t>…</w:t>
            </w:r>
          </w:p>
        </w:tc>
        <w:tc>
          <w:tcPr>
            <w:tcW w:w="992" w:type="dxa"/>
            <w:tcBorders>
              <w:top w:val="single" w:color="auto" w:sz="4" w:space="0"/>
              <w:left w:val="single" w:color="auto" w:sz="4" w:space="0"/>
              <w:bottom w:val="single" w:color="auto" w:sz="4" w:space="0"/>
              <w:right w:val="single" w:color="auto" w:sz="4" w:space="0"/>
            </w:tcBorders>
            <w:vAlign w:val="center"/>
          </w:tcPr>
          <w:p w14:paraId="67145EB7">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382758A">
            <w:pPr>
              <w:spacing w:line="276" w:lineRule="auto"/>
              <w:jc w:val="center"/>
              <w:rPr>
                <w:rFonts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0EE3E78F">
            <w:pPr>
              <w:spacing w:line="276" w:lineRule="auto"/>
              <w:jc w:val="center"/>
              <w:rPr>
                <w:rFonts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583703CF">
            <w:pPr>
              <w:spacing w:line="276" w:lineRule="auto"/>
              <w:jc w:val="center"/>
              <w:rPr>
                <w:rFonts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5199F224">
            <w:pPr>
              <w:spacing w:line="276" w:lineRule="auto"/>
              <w:jc w:val="center"/>
              <w:rPr>
                <w:rFonts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14:paraId="19EB3608">
            <w:pPr>
              <w:spacing w:line="276" w:lineRule="auto"/>
              <w:jc w:val="center"/>
              <w:rPr>
                <w:rFonts w:ascii="宋体" w:hAnsi="宋体"/>
                <w:szCs w:val="21"/>
              </w:rPr>
            </w:pPr>
          </w:p>
        </w:tc>
      </w:tr>
    </w:tbl>
    <w:p w14:paraId="4D248F40">
      <w:pPr>
        <w:spacing w:line="276" w:lineRule="auto"/>
        <w:ind w:left="630" w:hanging="630" w:hangingChars="300"/>
        <w:jc w:val="left"/>
        <w:rPr>
          <w:rFonts w:ascii="宋体" w:hAnsi="宋体"/>
          <w:szCs w:val="21"/>
          <w:lang w:val="zh-CN"/>
        </w:rPr>
      </w:pPr>
      <w:r>
        <w:rPr>
          <w:rFonts w:hint="eastAsia" w:ascii="宋体" w:hAnsi="宋体"/>
          <w:szCs w:val="21"/>
          <w:lang w:val="zh-CN"/>
        </w:rPr>
        <w:t>说明：投标文件应附完整的相关证明材料清晰复印件并加盖投标人公章，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14:paraId="0E9873AD">
      <w:pPr>
        <w:spacing w:line="276" w:lineRule="auto"/>
        <w:jc w:val="left"/>
        <w:rPr>
          <w:rFonts w:ascii="宋体" w:hAnsi="宋体"/>
          <w:szCs w:val="21"/>
          <w:lang w:val="zh-CN"/>
        </w:rPr>
      </w:pPr>
    </w:p>
    <w:p w14:paraId="099A7D22">
      <w:pPr>
        <w:spacing w:line="276" w:lineRule="auto"/>
        <w:jc w:val="left"/>
        <w:rPr>
          <w:rFonts w:ascii="宋体" w:hAnsi="宋体"/>
          <w:szCs w:val="21"/>
          <w:lang w:val="zh-CN"/>
        </w:rPr>
      </w:pPr>
    </w:p>
    <w:p w14:paraId="06BF2732">
      <w:pPr>
        <w:spacing w:line="276" w:lineRule="auto"/>
        <w:jc w:val="left"/>
        <w:rPr>
          <w:rFonts w:ascii="宋体" w:hAnsi="宋体"/>
          <w:szCs w:val="21"/>
          <w:lang w:val="zh-CN"/>
        </w:rPr>
      </w:pPr>
    </w:p>
    <w:p w14:paraId="6E4F5239">
      <w:pPr>
        <w:spacing w:line="276" w:lineRule="auto"/>
        <w:jc w:val="left"/>
        <w:rPr>
          <w:rFonts w:ascii="宋体" w:hAnsi="宋体"/>
          <w:szCs w:val="21"/>
          <w:lang w:val="zh-CN"/>
        </w:rPr>
      </w:pPr>
    </w:p>
    <w:p w14:paraId="74124339">
      <w:pPr>
        <w:spacing w:line="276" w:lineRule="auto"/>
        <w:jc w:val="left"/>
        <w:rPr>
          <w:rFonts w:ascii="宋体" w:hAnsi="宋体"/>
          <w:szCs w:val="21"/>
          <w:lang w:val="zh-CN"/>
        </w:rPr>
      </w:pPr>
    </w:p>
    <w:p w14:paraId="7BA9DEE9">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3ED97E91">
      <w:pPr>
        <w:spacing w:before="100" w:beforeAutospacing="1" w:after="100" w:afterAutospacing="1" w:line="276" w:lineRule="auto"/>
        <w:ind w:firstLine="2902" w:firstLineChars="1382"/>
        <w:rPr>
          <w:rFonts w:hAnsi="宋体"/>
          <w:bCs/>
          <w:szCs w:val="21"/>
          <w:u w:val="single"/>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38D94623">
      <w:pPr>
        <w:pStyle w:val="36"/>
        <w:numPr>
          <w:ilvl w:val="0"/>
          <w:numId w:val="60"/>
        </w:numPr>
        <w:spacing w:line="276" w:lineRule="auto"/>
        <w:ind w:firstLineChars="0"/>
        <w:outlineLvl w:val="2"/>
        <w:rPr>
          <w:szCs w:val="21"/>
        </w:rPr>
      </w:pPr>
      <w:r>
        <w:rPr>
          <w:kern w:val="0"/>
          <w:szCs w:val="21"/>
        </w:rPr>
        <w:br w:type="page"/>
      </w:r>
      <w:r>
        <w:rPr>
          <w:rFonts w:hint="eastAsia"/>
          <w:szCs w:val="21"/>
        </w:rPr>
        <w:t>类似项目业绩表</w:t>
      </w:r>
      <w:r>
        <w:rPr>
          <w:rFonts w:hint="eastAsia" w:ascii="宋体" w:hAnsi="宋体" w:cs="Courier New"/>
          <w:color w:val="0D0D0D"/>
          <w:szCs w:val="21"/>
        </w:rPr>
        <w:t>及证明材料</w:t>
      </w:r>
      <w:r>
        <w:rPr>
          <w:rFonts w:hint="eastAsia"/>
          <w:szCs w:val="21"/>
        </w:rPr>
        <w:t>（</w:t>
      </w:r>
      <w:r>
        <w:rPr>
          <w:rFonts w:hint="eastAsia"/>
          <w:color w:val="FF0000"/>
          <w:szCs w:val="21"/>
        </w:rPr>
        <w:t>如需</w:t>
      </w:r>
      <w:r>
        <w:rPr>
          <w:szCs w:val="21"/>
        </w:rPr>
        <w:t>）</w:t>
      </w:r>
    </w:p>
    <w:p w14:paraId="02646ECE">
      <w:pPr>
        <w:spacing w:line="276" w:lineRule="auto"/>
        <w:jc w:val="center"/>
        <w:rPr>
          <w:b/>
          <w:szCs w:val="21"/>
        </w:rPr>
      </w:pPr>
      <w:r>
        <w:rPr>
          <w:rFonts w:hint="eastAsia"/>
          <w:b/>
          <w:szCs w:val="21"/>
        </w:rPr>
        <w:t>类似项目业绩表</w:t>
      </w:r>
    </w:p>
    <w:p w14:paraId="61FB9041">
      <w:pPr>
        <w:spacing w:line="276" w:lineRule="auto"/>
        <w:jc w:val="center"/>
        <w:rPr>
          <w:b/>
          <w:szCs w:val="21"/>
        </w:rPr>
      </w:pPr>
    </w:p>
    <w:p w14:paraId="0AD9E908">
      <w:pPr>
        <w:spacing w:line="276" w:lineRule="auto"/>
        <w:jc w:val="left"/>
        <w:rPr>
          <w:rFonts w:hAnsi="宋体"/>
          <w:szCs w:val="21"/>
        </w:rPr>
      </w:pPr>
      <w:r>
        <w:rPr>
          <w:rFonts w:hint="eastAsia" w:hAnsi="宋体"/>
          <w:szCs w:val="21"/>
        </w:rPr>
        <w:t>投标人：</w:t>
      </w:r>
    </w:p>
    <w:p w14:paraId="64CD9319">
      <w:pPr>
        <w:spacing w:line="276" w:lineRule="auto"/>
        <w:jc w:val="left"/>
        <w:rPr>
          <w:rFonts w:hAnsi="宋体"/>
          <w:szCs w:val="21"/>
        </w:rPr>
      </w:pPr>
      <w:r>
        <w:rPr>
          <w:rFonts w:hint="eastAsia" w:ascii="宋体" w:hAnsi="宋体"/>
          <w:szCs w:val="21"/>
          <w:lang w:val="zh-CN"/>
        </w:rPr>
        <w:t>项目编号/包号：</w:t>
      </w:r>
      <w:r>
        <w:rPr>
          <w:rFonts w:hint="eastAsia" w:ascii="宋体" w:hAnsi="宋体"/>
          <w:bCs/>
          <w:szCs w:val="21"/>
          <w:lang w:val="zh-CN"/>
        </w:rPr>
        <w:t xml:space="preserve">                项目名称：</w:t>
      </w:r>
    </w:p>
    <w:tbl>
      <w:tblPr>
        <w:tblStyle w:val="2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14:paraId="16BC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3D9112F4">
            <w:pPr>
              <w:autoSpaceDE w:val="0"/>
              <w:autoSpaceDN w:val="0"/>
              <w:spacing w:line="276" w:lineRule="auto"/>
              <w:jc w:val="center"/>
              <w:rPr>
                <w:rFonts w:ascii="宋体" w:hAnsi="宋体" w:cs="宋体"/>
                <w:szCs w:val="21"/>
                <w:lang w:val="zh-CN"/>
              </w:rPr>
            </w:pPr>
            <w:r>
              <w:rPr>
                <w:rFonts w:hint="eastAsia" w:ascii="宋体" w:hAnsi="宋体" w:cs="宋体"/>
                <w:szCs w:val="21"/>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14:paraId="0190F190">
            <w:pPr>
              <w:autoSpaceDE w:val="0"/>
              <w:autoSpaceDN w:val="0"/>
              <w:spacing w:line="276" w:lineRule="auto"/>
              <w:jc w:val="center"/>
              <w:rPr>
                <w:rFonts w:ascii="宋体" w:hAnsi="宋体" w:cs="宋体"/>
                <w:szCs w:val="21"/>
                <w:lang w:val="zh-CN"/>
              </w:rPr>
            </w:pPr>
            <w:r>
              <w:rPr>
                <w:rFonts w:hint="eastAsia" w:ascii="宋体" w:hAnsi="宋体" w:cs="宋体"/>
                <w:szCs w:val="21"/>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14:paraId="308FC967">
            <w:pPr>
              <w:spacing w:line="276" w:lineRule="auto"/>
              <w:jc w:val="center"/>
              <w:rPr>
                <w:rFonts w:ascii="宋体" w:hAnsi="宋体" w:cs="宋体"/>
                <w:szCs w:val="21"/>
              </w:rPr>
            </w:pPr>
            <w:r>
              <w:rPr>
                <w:rFonts w:hint="eastAsia" w:ascii="宋体" w:hAnsi="宋体" w:cs="宋体"/>
                <w:szCs w:val="21"/>
              </w:rPr>
              <w:t>业主单位</w:t>
            </w:r>
          </w:p>
          <w:p w14:paraId="172E2EB7">
            <w:pPr>
              <w:autoSpaceDE w:val="0"/>
              <w:autoSpaceDN w:val="0"/>
              <w:spacing w:line="276" w:lineRule="auto"/>
              <w:jc w:val="center"/>
              <w:rPr>
                <w:rFonts w:ascii="宋体" w:hAnsi="宋体" w:cs="宋体"/>
                <w:szCs w:val="21"/>
                <w:lang w:val="zh-CN"/>
              </w:rPr>
            </w:pPr>
            <w:r>
              <w:rPr>
                <w:rFonts w:hint="eastAsia" w:ascii="宋体" w:hAnsi="宋体" w:cs="宋体"/>
                <w:szCs w:val="21"/>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14:paraId="61C2ED98">
            <w:pPr>
              <w:spacing w:line="276" w:lineRule="auto"/>
              <w:jc w:val="center"/>
              <w:rPr>
                <w:rFonts w:ascii="宋体" w:hAnsi="宋体"/>
                <w:szCs w:val="21"/>
              </w:rPr>
            </w:pPr>
            <w:r>
              <w:rPr>
                <w:rFonts w:hint="eastAsia" w:ascii="宋体" w:hAnsi="宋体" w:cs="宋体"/>
                <w:szCs w:val="21"/>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14:paraId="0E21D0E0">
            <w:pPr>
              <w:spacing w:line="276" w:lineRule="auto"/>
              <w:jc w:val="center"/>
              <w:rPr>
                <w:rFonts w:ascii="宋体" w:hAnsi="宋体"/>
                <w:szCs w:val="21"/>
              </w:rPr>
            </w:pPr>
            <w:r>
              <w:rPr>
                <w:rFonts w:hint="eastAsia" w:ascii="宋体" w:hAnsi="宋体"/>
                <w:szCs w:val="21"/>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14:paraId="4256EBB4">
            <w:pPr>
              <w:spacing w:line="276" w:lineRule="auto"/>
              <w:jc w:val="center"/>
              <w:rPr>
                <w:rFonts w:ascii="宋体" w:hAnsi="宋体"/>
                <w:szCs w:val="21"/>
              </w:rPr>
            </w:pPr>
            <w:r>
              <w:rPr>
                <w:rFonts w:hint="eastAsia" w:ascii="宋体" w:hAnsi="宋体"/>
                <w:szCs w:val="21"/>
              </w:rPr>
              <w:t>项目</w:t>
            </w:r>
            <w:r>
              <w:rPr>
                <w:rFonts w:ascii="宋体" w:hAnsi="宋体"/>
                <w:szCs w:val="21"/>
              </w:rPr>
              <w:t>内容</w:t>
            </w:r>
          </w:p>
        </w:tc>
        <w:tc>
          <w:tcPr>
            <w:tcW w:w="996" w:type="dxa"/>
            <w:tcBorders>
              <w:top w:val="single" w:color="auto" w:sz="4" w:space="0"/>
              <w:left w:val="single" w:color="auto" w:sz="4" w:space="0"/>
              <w:bottom w:val="single" w:color="auto" w:sz="4" w:space="0"/>
              <w:right w:val="single" w:color="auto" w:sz="4" w:space="0"/>
            </w:tcBorders>
            <w:vAlign w:val="center"/>
          </w:tcPr>
          <w:p w14:paraId="1B9D396D">
            <w:pPr>
              <w:spacing w:line="276" w:lineRule="auto"/>
              <w:jc w:val="center"/>
              <w:rPr>
                <w:rFonts w:ascii="宋体" w:hAnsi="宋体"/>
                <w:szCs w:val="21"/>
              </w:rPr>
            </w:pPr>
            <w:r>
              <w:rPr>
                <w:rFonts w:hint="eastAsia" w:ascii="宋体" w:hAnsi="宋体"/>
                <w:szCs w:val="21"/>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14:paraId="79B0C6B0">
            <w:pPr>
              <w:spacing w:line="276" w:lineRule="auto"/>
              <w:jc w:val="center"/>
              <w:rPr>
                <w:rFonts w:ascii="宋体" w:hAnsi="宋体"/>
                <w:szCs w:val="21"/>
              </w:rPr>
            </w:pPr>
            <w:r>
              <w:rPr>
                <w:rFonts w:hint="eastAsia" w:ascii="宋体" w:hAnsi="宋体"/>
                <w:szCs w:val="21"/>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14:paraId="0DC341B5">
            <w:pPr>
              <w:spacing w:line="276" w:lineRule="auto"/>
              <w:jc w:val="center"/>
              <w:rPr>
                <w:rFonts w:ascii="宋体" w:hAnsi="宋体"/>
                <w:szCs w:val="21"/>
              </w:rPr>
            </w:pPr>
            <w:r>
              <w:rPr>
                <w:rFonts w:hint="eastAsia" w:ascii="宋体" w:hAnsi="宋体"/>
                <w:szCs w:val="21"/>
              </w:rPr>
              <w:t>备注</w:t>
            </w:r>
          </w:p>
        </w:tc>
      </w:tr>
      <w:tr w14:paraId="667A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413B129">
            <w:pPr>
              <w:autoSpaceDE w:val="0"/>
              <w:autoSpaceDN w:val="0"/>
              <w:spacing w:line="276" w:lineRule="auto"/>
              <w:jc w:val="center"/>
              <w:rPr>
                <w:rFonts w:ascii="宋体" w:hAnsi="宋体" w:cs="宋体"/>
                <w:szCs w:val="21"/>
                <w:lang w:val="zh-CN"/>
              </w:rPr>
            </w:pPr>
            <w:r>
              <w:rPr>
                <w:rFonts w:hint="eastAsia" w:ascii="宋体" w:hAnsi="宋体" w:cs="宋体"/>
                <w:szCs w:val="21"/>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14:paraId="12804A8A">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5EB83F09">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5D57313B">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5089306">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4FD5147">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6523F39F">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F460B01">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2D2102F3">
            <w:pPr>
              <w:spacing w:line="276" w:lineRule="auto"/>
              <w:jc w:val="center"/>
              <w:rPr>
                <w:rFonts w:ascii="宋体" w:hAnsi="宋体" w:cs="宋体"/>
                <w:kern w:val="0"/>
                <w:szCs w:val="21"/>
                <w:lang w:val="zh-CN"/>
              </w:rPr>
            </w:pPr>
          </w:p>
        </w:tc>
      </w:tr>
      <w:tr w14:paraId="7926B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16B2FF3D">
            <w:pPr>
              <w:autoSpaceDE w:val="0"/>
              <w:autoSpaceDN w:val="0"/>
              <w:spacing w:line="276" w:lineRule="auto"/>
              <w:ind w:right="126"/>
              <w:jc w:val="center"/>
              <w:rPr>
                <w:rFonts w:ascii="宋体" w:hAnsi="宋体" w:cs="宋体"/>
                <w:szCs w:val="21"/>
                <w:lang w:val="zh-CN"/>
              </w:rPr>
            </w:pPr>
            <w:r>
              <w:rPr>
                <w:rFonts w:hint="eastAsia" w:ascii="宋体" w:hAnsi="宋体" w:cs="宋体"/>
                <w:szCs w:val="21"/>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14:paraId="6BF681C0">
            <w:pPr>
              <w:autoSpaceDE w:val="0"/>
              <w:autoSpaceDN w:val="0"/>
              <w:spacing w:line="276" w:lineRule="auto"/>
              <w:ind w:right="126"/>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ADCA499">
            <w:pPr>
              <w:autoSpaceDE w:val="0"/>
              <w:autoSpaceDN w:val="0"/>
              <w:spacing w:line="276" w:lineRule="auto"/>
              <w:ind w:right="126"/>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2DA3798B">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737A9BFD">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1BF3897">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5FEAC01C">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4BD8E869">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B58CFBF">
            <w:pPr>
              <w:spacing w:line="276" w:lineRule="auto"/>
              <w:jc w:val="center"/>
              <w:rPr>
                <w:rFonts w:ascii="宋体" w:hAnsi="宋体" w:cs="宋体"/>
                <w:kern w:val="0"/>
                <w:szCs w:val="21"/>
                <w:lang w:val="zh-CN"/>
              </w:rPr>
            </w:pPr>
          </w:p>
        </w:tc>
      </w:tr>
      <w:tr w14:paraId="079CB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5D3F4C81">
            <w:pPr>
              <w:autoSpaceDE w:val="0"/>
              <w:autoSpaceDN w:val="0"/>
              <w:spacing w:line="276" w:lineRule="auto"/>
              <w:jc w:val="center"/>
              <w:rPr>
                <w:rFonts w:ascii="宋体" w:hAnsi="宋体" w:cs="宋体"/>
                <w:szCs w:val="21"/>
                <w:lang w:val="zh-CN"/>
              </w:rPr>
            </w:pPr>
            <w:r>
              <w:rPr>
                <w:rFonts w:hint="eastAsia" w:ascii="宋体" w:hAnsi="宋体" w:cs="宋体"/>
                <w:szCs w:val="21"/>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14:paraId="6066EB12">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754F531">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414F48F8">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9AF28B7">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6FB9A70E">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404AB53A">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D1756B4">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5365E8B1">
            <w:pPr>
              <w:spacing w:line="276" w:lineRule="auto"/>
              <w:jc w:val="center"/>
              <w:rPr>
                <w:rFonts w:ascii="宋体" w:hAnsi="宋体" w:cs="宋体"/>
                <w:kern w:val="0"/>
                <w:szCs w:val="21"/>
                <w:lang w:val="zh-CN"/>
              </w:rPr>
            </w:pPr>
          </w:p>
        </w:tc>
      </w:tr>
      <w:tr w14:paraId="7C38E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14:paraId="22E7DC5A">
            <w:pPr>
              <w:autoSpaceDE w:val="0"/>
              <w:autoSpaceDN w:val="0"/>
              <w:spacing w:line="276" w:lineRule="auto"/>
              <w:jc w:val="center"/>
              <w:rPr>
                <w:rFonts w:ascii="宋体" w:hAnsi="宋体" w:cs="宋体"/>
                <w:szCs w:val="21"/>
                <w:lang w:val="zh-CN"/>
              </w:rPr>
            </w:pPr>
            <w:r>
              <w:rPr>
                <w:rFonts w:hint="eastAsia" w:ascii="宋体" w:hAnsi="宋体" w:cs="宋体"/>
                <w:szCs w:val="21"/>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14:paraId="33FD2C0F">
            <w:pPr>
              <w:autoSpaceDE w:val="0"/>
              <w:autoSpaceDN w:val="0"/>
              <w:spacing w:line="276" w:lineRule="auto"/>
              <w:jc w:val="center"/>
              <w:rPr>
                <w:rFonts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128FFA3E">
            <w:pPr>
              <w:autoSpaceDE w:val="0"/>
              <w:autoSpaceDN w:val="0"/>
              <w:spacing w:line="276" w:lineRule="auto"/>
              <w:jc w:val="center"/>
              <w:rPr>
                <w:rFonts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14:paraId="387FD83E">
            <w:pPr>
              <w:autoSpaceDE w:val="0"/>
              <w:autoSpaceDN w:val="0"/>
              <w:spacing w:line="276" w:lineRule="auto"/>
              <w:jc w:val="center"/>
              <w:rPr>
                <w:rFonts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14:paraId="1B979373">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21005CD9">
            <w:pPr>
              <w:spacing w:line="276" w:lineRule="auto"/>
              <w:jc w:val="center"/>
              <w:rPr>
                <w:rFonts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14:paraId="25F6C1E8">
            <w:pPr>
              <w:spacing w:line="276" w:lineRule="auto"/>
              <w:jc w:val="center"/>
              <w:rPr>
                <w:rFonts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14:paraId="0679A94B">
            <w:pPr>
              <w:spacing w:line="276" w:lineRule="auto"/>
              <w:jc w:val="center"/>
              <w:rPr>
                <w:rFonts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14:paraId="046044B8">
            <w:pPr>
              <w:spacing w:line="276" w:lineRule="auto"/>
              <w:jc w:val="center"/>
              <w:rPr>
                <w:rFonts w:ascii="宋体" w:hAnsi="宋体" w:cs="宋体"/>
                <w:kern w:val="0"/>
                <w:szCs w:val="21"/>
                <w:lang w:val="zh-CN"/>
              </w:rPr>
            </w:pPr>
          </w:p>
        </w:tc>
      </w:tr>
    </w:tbl>
    <w:p w14:paraId="2E588AF3">
      <w:pPr>
        <w:spacing w:line="276" w:lineRule="auto"/>
        <w:ind w:left="955" w:hanging="955" w:hangingChars="455"/>
        <w:jc w:val="left"/>
        <w:rPr>
          <w:rFonts w:ascii="宋体" w:hAnsi="宋体"/>
          <w:szCs w:val="21"/>
        </w:rPr>
      </w:pPr>
    </w:p>
    <w:p w14:paraId="15D75257">
      <w:pPr>
        <w:spacing w:line="276" w:lineRule="auto"/>
        <w:ind w:left="955" w:hanging="955" w:hangingChars="455"/>
        <w:jc w:val="left"/>
        <w:rPr>
          <w:rFonts w:ascii="宋体" w:hAnsi="宋体"/>
          <w:szCs w:val="21"/>
        </w:rPr>
      </w:pPr>
      <w:r>
        <w:rPr>
          <w:rFonts w:hint="eastAsia" w:ascii="宋体" w:hAnsi="宋体"/>
          <w:szCs w:val="21"/>
        </w:rPr>
        <w:t>说明：1．每个项目应单独附相关证明材料（如中标通知书或合同首页、合同金额所在页、合同签字盖章页扫描件</w:t>
      </w:r>
      <w:r>
        <w:rPr>
          <w:rFonts w:ascii="宋体" w:hAnsi="宋体"/>
          <w:szCs w:val="21"/>
        </w:rPr>
        <w:t>）</w:t>
      </w:r>
      <w:r>
        <w:rPr>
          <w:rFonts w:hint="eastAsia" w:ascii="宋体" w:hAnsi="宋体"/>
          <w:szCs w:val="21"/>
        </w:rPr>
        <w:t>，</w:t>
      </w:r>
      <w:r>
        <w:rPr>
          <w:rFonts w:hint="eastAsia" w:ascii="宋体" w:hAnsi="宋体" w:cs="Corbel"/>
          <w:szCs w:val="21"/>
        </w:rPr>
        <w:t>未按照要求提供</w:t>
      </w:r>
      <w:r>
        <w:rPr>
          <w:rFonts w:hint="eastAsia" w:ascii="宋体" w:hAnsi="宋体"/>
          <w:szCs w:val="21"/>
        </w:rPr>
        <w:t>导致的后果由投标人自行承担。</w:t>
      </w:r>
    </w:p>
    <w:p w14:paraId="007E80B7">
      <w:pPr>
        <w:spacing w:line="276" w:lineRule="auto"/>
        <w:ind w:left="1017" w:leftChars="339" w:hanging="306" w:hangingChars="146"/>
        <w:jc w:val="left"/>
        <w:rPr>
          <w:rFonts w:ascii="宋体" w:hAnsi="宋体"/>
          <w:szCs w:val="21"/>
        </w:rPr>
      </w:pPr>
      <w:r>
        <w:rPr>
          <w:rFonts w:hint="eastAsia" w:ascii="宋体" w:hAnsi="宋体"/>
          <w:szCs w:val="21"/>
        </w:rPr>
        <w:t>2．项目内容应详细说明所承担的具体工作内容等。</w:t>
      </w:r>
    </w:p>
    <w:p w14:paraId="101CAD4C">
      <w:pPr>
        <w:spacing w:line="276" w:lineRule="auto"/>
        <w:ind w:left="1017" w:leftChars="339" w:hanging="306" w:hangingChars="146"/>
        <w:jc w:val="left"/>
        <w:rPr>
          <w:rFonts w:ascii="宋体" w:hAnsi="宋体"/>
          <w:szCs w:val="21"/>
        </w:rPr>
      </w:pPr>
      <w:r>
        <w:rPr>
          <w:rFonts w:hint="eastAsia" w:ascii="宋体" w:hAnsi="宋体"/>
          <w:szCs w:val="21"/>
        </w:rPr>
        <w:t>3.</w:t>
      </w:r>
      <w:r>
        <w:rPr>
          <w:rFonts w:hint="eastAsia" w:ascii="宋体" w:hAnsi="宋体"/>
          <w:b/>
          <w:szCs w:val="21"/>
        </w:rPr>
        <w:t>如采购</w:t>
      </w:r>
      <w:r>
        <w:rPr>
          <w:rFonts w:ascii="宋体" w:hAnsi="宋体"/>
          <w:b/>
          <w:szCs w:val="21"/>
        </w:rPr>
        <w:t>需求或评审条款</w:t>
      </w:r>
      <w:r>
        <w:rPr>
          <w:rFonts w:hint="eastAsia" w:ascii="宋体" w:hAnsi="宋体"/>
          <w:b/>
          <w:szCs w:val="21"/>
        </w:rPr>
        <w:t>要求</w:t>
      </w:r>
      <w:r>
        <w:rPr>
          <w:rFonts w:ascii="宋体" w:hAnsi="宋体"/>
          <w:b/>
          <w:szCs w:val="21"/>
        </w:rPr>
        <w:t>提供</w:t>
      </w:r>
      <w:r>
        <w:rPr>
          <w:rFonts w:hint="eastAsia" w:ascii="宋体" w:hAnsi="宋体"/>
          <w:b/>
          <w:szCs w:val="21"/>
        </w:rPr>
        <w:t>用户</w:t>
      </w:r>
      <w:r>
        <w:rPr>
          <w:rFonts w:ascii="宋体" w:hAnsi="宋体"/>
          <w:b/>
          <w:szCs w:val="21"/>
        </w:rPr>
        <w:t>评价，请依照此表格式自制《</w:t>
      </w:r>
      <w:r>
        <w:rPr>
          <w:rFonts w:hint="eastAsia" w:ascii="宋体" w:hAnsi="宋体"/>
          <w:b/>
          <w:szCs w:val="21"/>
        </w:rPr>
        <w:t>类似项目业绩</w:t>
      </w:r>
      <w:r>
        <w:rPr>
          <w:rFonts w:ascii="宋体" w:hAnsi="宋体"/>
          <w:b/>
          <w:szCs w:val="21"/>
        </w:rPr>
        <w:t>用户评价表》</w:t>
      </w:r>
      <w:r>
        <w:rPr>
          <w:rFonts w:hint="eastAsia" w:ascii="宋体" w:hAnsi="宋体"/>
          <w:b/>
          <w:szCs w:val="21"/>
        </w:rPr>
        <w:t>，</w:t>
      </w:r>
      <w:r>
        <w:rPr>
          <w:rFonts w:ascii="宋体" w:hAnsi="宋体"/>
          <w:b/>
          <w:szCs w:val="21"/>
        </w:rPr>
        <w:t>并</w:t>
      </w:r>
      <w:r>
        <w:rPr>
          <w:rFonts w:hint="eastAsia" w:ascii="宋体" w:hAnsi="宋体"/>
          <w:b/>
          <w:szCs w:val="21"/>
        </w:rPr>
        <w:t>按</w:t>
      </w:r>
      <w:r>
        <w:rPr>
          <w:rFonts w:ascii="宋体" w:hAnsi="宋体"/>
          <w:b/>
          <w:szCs w:val="21"/>
        </w:rPr>
        <w:t>项目逐一</w:t>
      </w:r>
      <w:r>
        <w:rPr>
          <w:rFonts w:hint="eastAsia" w:ascii="宋体" w:hAnsi="宋体"/>
          <w:b/>
          <w:szCs w:val="21"/>
        </w:rPr>
        <w:t>附业主</w:t>
      </w:r>
      <w:r>
        <w:rPr>
          <w:rFonts w:ascii="宋体" w:hAnsi="宋体"/>
          <w:b/>
          <w:szCs w:val="21"/>
        </w:rPr>
        <w:t>评价材料</w:t>
      </w:r>
      <w:r>
        <w:rPr>
          <w:rFonts w:hint="eastAsia" w:ascii="宋体" w:hAnsi="宋体"/>
          <w:b/>
          <w:szCs w:val="21"/>
        </w:rPr>
        <w:t>（需业主</w:t>
      </w:r>
      <w:r>
        <w:rPr>
          <w:rFonts w:ascii="宋体" w:hAnsi="宋体"/>
          <w:b/>
          <w:szCs w:val="21"/>
        </w:rPr>
        <w:t>单位盖章）扫描件</w:t>
      </w:r>
      <w:r>
        <w:rPr>
          <w:rFonts w:ascii="宋体" w:hAnsi="宋体"/>
          <w:szCs w:val="21"/>
        </w:rPr>
        <w:t>。</w:t>
      </w:r>
    </w:p>
    <w:p w14:paraId="3730F4A8">
      <w:pPr>
        <w:spacing w:line="276" w:lineRule="auto"/>
        <w:ind w:firstLine="630" w:firstLineChars="300"/>
        <w:rPr>
          <w:rFonts w:ascii="宋体" w:hAnsi="宋体"/>
          <w:szCs w:val="21"/>
        </w:rPr>
      </w:pPr>
    </w:p>
    <w:p w14:paraId="6C26B146">
      <w:pPr>
        <w:spacing w:line="276" w:lineRule="auto"/>
        <w:ind w:firstLine="630" w:firstLineChars="300"/>
        <w:rPr>
          <w:rFonts w:ascii="宋体" w:hAnsi="宋体"/>
          <w:szCs w:val="21"/>
        </w:rPr>
      </w:pPr>
    </w:p>
    <w:p w14:paraId="236BC3AA">
      <w:pPr>
        <w:spacing w:before="100" w:beforeAutospacing="1" w:after="100" w:afterAutospacing="1" w:line="276" w:lineRule="auto"/>
        <w:ind w:firstLine="2902" w:firstLineChars="1382"/>
        <w:rPr>
          <w:rFonts w:hAnsi="宋体"/>
          <w:bCs/>
          <w:szCs w:val="21"/>
          <w:u w:val="single"/>
        </w:rPr>
      </w:pPr>
      <w:r>
        <w:rPr>
          <w:rFonts w:hint="eastAsia" w:hAnsi="宋体"/>
          <w:bCs/>
          <w:szCs w:val="21"/>
        </w:rPr>
        <w:t>投标人名称（公章）：</w:t>
      </w:r>
    </w:p>
    <w:p w14:paraId="783E26B3">
      <w:pPr>
        <w:spacing w:before="100" w:beforeAutospacing="1" w:after="100" w:afterAutospacing="1" w:line="276" w:lineRule="auto"/>
        <w:ind w:firstLine="2902" w:firstLineChars="1382"/>
        <w:rPr>
          <w:rFonts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rPr>
        <w:t>年月 日</w:t>
      </w:r>
    </w:p>
    <w:p w14:paraId="035F87FC">
      <w:pPr>
        <w:pStyle w:val="36"/>
        <w:numPr>
          <w:ilvl w:val="0"/>
          <w:numId w:val="60"/>
        </w:numPr>
        <w:spacing w:line="276" w:lineRule="auto"/>
        <w:ind w:firstLineChars="0"/>
        <w:outlineLvl w:val="2"/>
        <w:rPr>
          <w:szCs w:val="21"/>
        </w:rPr>
      </w:pPr>
      <w:r>
        <w:rPr>
          <w:rFonts w:hint="eastAsia" w:ascii="宋体" w:hAnsi="宋体"/>
          <w:kern w:val="0"/>
          <w:szCs w:val="21"/>
        </w:rPr>
        <w:br w:type="page"/>
      </w:r>
      <w:r>
        <w:rPr>
          <w:rFonts w:hint="eastAsia"/>
          <w:szCs w:val="21"/>
        </w:rPr>
        <w:t>技术、服务及商务文件</w:t>
      </w:r>
    </w:p>
    <w:p w14:paraId="02F071D8">
      <w:pPr>
        <w:autoSpaceDE w:val="0"/>
        <w:autoSpaceDN w:val="0"/>
        <w:adjustRightInd w:val="0"/>
        <w:spacing w:before="156" w:beforeLines="50" w:after="156" w:afterLines="50" w:line="276" w:lineRule="auto"/>
        <w:jc w:val="center"/>
        <w:rPr>
          <w:rFonts w:ascii="宋体" w:hAnsi="宋体"/>
          <w:b/>
          <w:color w:val="0D0D0D"/>
          <w:kern w:val="0"/>
          <w:szCs w:val="21"/>
        </w:rPr>
      </w:pPr>
      <w:r>
        <w:rPr>
          <w:rFonts w:hint="eastAsia"/>
          <w:b/>
          <w:szCs w:val="21"/>
        </w:rPr>
        <w:t>技术、服务及商务文件</w:t>
      </w:r>
    </w:p>
    <w:p w14:paraId="5D4C0DC9">
      <w:pPr>
        <w:autoSpaceDE w:val="0"/>
        <w:autoSpaceDN w:val="0"/>
        <w:adjustRightInd w:val="0"/>
        <w:rPr>
          <w:rFonts w:ascii="宋体" w:hAnsi="宋体"/>
          <w:color w:val="0D0D0D"/>
          <w:kern w:val="0"/>
          <w:szCs w:val="21"/>
        </w:rPr>
      </w:pPr>
    </w:p>
    <w:p w14:paraId="49B9B934">
      <w:pPr>
        <w:autoSpaceDE w:val="0"/>
        <w:autoSpaceDN w:val="0"/>
        <w:adjustRightInd w:val="0"/>
        <w:rPr>
          <w:rFonts w:ascii="宋体" w:hAnsi="宋体"/>
          <w:bCs/>
          <w:color w:val="0D0D0D"/>
          <w:kern w:val="0"/>
          <w:szCs w:val="21"/>
        </w:rPr>
      </w:pPr>
      <w:r>
        <w:rPr>
          <w:rFonts w:hint="eastAsia" w:ascii="宋体" w:hAnsi="宋体"/>
          <w:bCs/>
          <w:color w:val="0D0D0D"/>
          <w:kern w:val="0"/>
          <w:szCs w:val="21"/>
        </w:rPr>
        <w:t>（一）由投标人根据第三章 技术、服务及商务要求自行编写，格式</w:t>
      </w:r>
      <w:r>
        <w:rPr>
          <w:rFonts w:ascii="宋体" w:hAnsi="宋体"/>
          <w:bCs/>
          <w:color w:val="0D0D0D"/>
          <w:kern w:val="0"/>
          <w:szCs w:val="21"/>
        </w:rPr>
        <w:t>自拟</w:t>
      </w:r>
    </w:p>
    <w:p w14:paraId="7502E0EB">
      <w:pPr>
        <w:autoSpaceDE w:val="0"/>
        <w:autoSpaceDN w:val="0"/>
        <w:adjustRightInd w:val="0"/>
        <w:ind w:firstLine="420" w:firstLineChars="200"/>
        <w:rPr>
          <w:rFonts w:ascii="宋体" w:hAnsi="宋体"/>
          <w:bCs/>
          <w:color w:val="0D0D0D"/>
          <w:kern w:val="0"/>
          <w:szCs w:val="21"/>
        </w:rPr>
      </w:pPr>
    </w:p>
    <w:p w14:paraId="0A7BA032">
      <w:pPr>
        <w:autoSpaceDE w:val="0"/>
        <w:autoSpaceDN w:val="0"/>
        <w:adjustRightInd w:val="0"/>
        <w:rPr>
          <w:rFonts w:ascii="宋体" w:hAnsi="宋体"/>
          <w:bCs/>
          <w:color w:val="0D0D0D"/>
          <w:kern w:val="0"/>
          <w:szCs w:val="21"/>
        </w:rPr>
      </w:pPr>
      <w:r>
        <w:rPr>
          <w:rFonts w:hint="eastAsia" w:ascii="宋体" w:hAnsi="宋体"/>
          <w:bCs/>
          <w:color w:val="0D0D0D"/>
          <w:kern w:val="0"/>
          <w:szCs w:val="21"/>
        </w:rPr>
        <w:t>（二</w:t>
      </w:r>
      <w:r>
        <w:rPr>
          <w:rFonts w:ascii="宋体" w:hAnsi="宋体"/>
          <w:bCs/>
          <w:color w:val="0D0D0D"/>
          <w:kern w:val="0"/>
          <w:szCs w:val="21"/>
        </w:rPr>
        <w:t>）</w:t>
      </w:r>
      <w:r>
        <w:rPr>
          <w:rFonts w:hint="eastAsia" w:ascii="宋体" w:hAnsi="宋体"/>
          <w:bCs/>
          <w:color w:val="0D0D0D"/>
          <w:kern w:val="0"/>
          <w:szCs w:val="21"/>
        </w:rPr>
        <w:t>招标文件要求或投标人认为需提供的其他材料或情况说明（</w:t>
      </w:r>
      <w:r>
        <w:rPr>
          <w:rFonts w:hint="eastAsia" w:ascii="宋体" w:hAnsi="宋体"/>
          <w:bCs/>
          <w:color w:val="FF0000"/>
          <w:kern w:val="0"/>
          <w:szCs w:val="21"/>
        </w:rPr>
        <w:t>如有</w:t>
      </w:r>
      <w:r>
        <w:rPr>
          <w:rFonts w:ascii="宋体" w:hAnsi="宋体"/>
          <w:bCs/>
          <w:color w:val="0D0D0D"/>
          <w:kern w:val="0"/>
          <w:szCs w:val="21"/>
        </w:rPr>
        <w:t>）</w:t>
      </w:r>
    </w:p>
    <w:p w14:paraId="43BD455A">
      <w:pPr>
        <w:widowControl/>
        <w:jc w:val="left"/>
        <w:rPr>
          <w:rFonts w:ascii="宋体" w:hAnsi="宋体"/>
          <w:bCs/>
          <w:szCs w:val="21"/>
        </w:rPr>
      </w:pPr>
    </w:p>
    <w:sectPr>
      <w:footerReference r:id="rId8" w:type="default"/>
      <w:type w:val="continuous"/>
      <w:pgSz w:w="11906" w:h="16838"/>
      <w:pgMar w:top="1134" w:right="1191" w:bottom="1134" w:left="1191" w:header="851" w:footer="624" w:gutter="0"/>
      <w:pgNumType w:start="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仿宋">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003F01FF" w:csb1="00000000"/>
  </w:font>
  <w:font w:name="Noto Sans Mono CJK JP Regular">
    <w:altName w:val="Arial"/>
    <w:panose1 w:val="00000000000000000000"/>
    <w:charset w:val="00"/>
    <w:family w:val="auto"/>
    <w:pitch w:val="default"/>
    <w:sig w:usb0="00000000" w:usb1="00000000" w:usb2="00000000" w:usb3="00000000" w:csb0="00000001"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Symbol">
    <w:panose1 w:val="020B0502040204020203"/>
    <w:charset w:val="00"/>
    <w:family w:val="swiss"/>
    <w:pitch w:val="default"/>
    <w:sig w:usb0="800001E3" w:usb1="1200FFEF" w:usb2="00040000" w:usb3="04000000" w:csb0="00000001" w:csb1="40000000"/>
  </w:font>
  <w:font w:name="Helvetica">
    <w:altName w:val="Arial"/>
    <w:panose1 w:val="020B0604020202020204"/>
    <w:charset w:val="00"/>
    <w:family w:val="swiss"/>
    <w:pitch w:val="default"/>
    <w:sig w:usb0="00000000" w:usb1="00000000" w:usb2="00000009" w:usb3="00000000" w:csb0="000001FF" w:csb1="00000000"/>
  </w:font>
  <w:font w:name="MS Gothic">
    <w:panose1 w:val="020B0609070205080204"/>
    <w:charset w:val="80"/>
    <w:family w:val="modern"/>
    <w:pitch w:val="default"/>
    <w:sig w:usb0="E00002FF" w:usb1="6AC7FDFB" w:usb2="08000012" w:usb3="00000000" w:csb0="4002009F" w:csb1="DFD7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Corbel">
    <w:panose1 w:val="020B0503020204020204"/>
    <w:charset w:val="00"/>
    <w:family w:val="swiss"/>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C052C">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DC39D">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14:paraId="0B880B1D">
        <w:pPr>
          <w:pStyle w:val="16"/>
          <w:jc w:val="center"/>
        </w:pPr>
        <w:r>
          <w:fldChar w:fldCharType="begin"/>
        </w:r>
        <w:r>
          <w:instrText xml:space="preserve">PAGE   \* MERGEFORMAT</w:instrText>
        </w:r>
        <w:r>
          <w:fldChar w:fldCharType="separate"/>
        </w:r>
        <w:r>
          <w:rPr>
            <w:lang w:val="zh-CN"/>
          </w:rPr>
          <w:t>24</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F4BD6">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CB966">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2F246">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E7D46A"/>
    <w:multiLevelType w:val="singleLevel"/>
    <w:tmpl w:val="A1E7D46A"/>
    <w:lvl w:ilvl="0" w:tentative="0">
      <w:start w:val="1"/>
      <w:numFmt w:val="decimal"/>
      <w:lvlText w:val="%1."/>
      <w:lvlJc w:val="left"/>
      <w:pPr>
        <w:tabs>
          <w:tab w:val="left" w:pos="312"/>
        </w:tabs>
      </w:pPr>
    </w:lvl>
  </w:abstractNum>
  <w:abstractNum w:abstractNumId="1">
    <w:nsid w:val="AAE5BFAE"/>
    <w:multiLevelType w:val="multilevel"/>
    <w:tmpl w:val="AAE5BFAE"/>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3">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1205ECC"/>
    <w:multiLevelType w:val="multilevel"/>
    <w:tmpl w:val="01205ECC"/>
    <w:lvl w:ilvl="0" w:tentative="0">
      <w:start w:val="1"/>
      <w:numFmt w:val="japaneseCounting"/>
      <w:lvlText w:val="%1、"/>
      <w:lvlJc w:val="left"/>
      <w:pPr>
        <w:ind w:left="935"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38000C8"/>
    <w:multiLevelType w:val="multilevel"/>
    <w:tmpl w:val="038000C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44A54A3"/>
    <w:multiLevelType w:val="singleLevel"/>
    <w:tmpl w:val="044A54A3"/>
    <w:lvl w:ilvl="0" w:tentative="0">
      <w:start w:val="1"/>
      <w:numFmt w:val="decimal"/>
      <w:lvlText w:val="%1."/>
      <w:lvlJc w:val="left"/>
      <w:pPr>
        <w:tabs>
          <w:tab w:val="left" w:pos="312"/>
        </w:tabs>
      </w:pPr>
    </w:lvl>
  </w:abstractNum>
  <w:abstractNum w:abstractNumId="8">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9">
    <w:nsid w:val="070E2C5E"/>
    <w:multiLevelType w:val="singleLevel"/>
    <w:tmpl w:val="070E2C5E"/>
    <w:lvl w:ilvl="0" w:tentative="0">
      <w:start w:val="1"/>
      <w:numFmt w:val="decimal"/>
      <w:lvlText w:val="%1."/>
      <w:lvlJc w:val="left"/>
      <w:pPr>
        <w:tabs>
          <w:tab w:val="left" w:pos="312"/>
        </w:tabs>
      </w:pPr>
    </w:lvl>
  </w:abstractNum>
  <w:abstractNum w:abstractNumId="10">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1">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12">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14">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5F76080"/>
    <w:multiLevelType w:val="multilevel"/>
    <w:tmpl w:val="15F76080"/>
    <w:lvl w:ilvl="0" w:tentative="0">
      <w:start w:val="1"/>
      <w:numFmt w:val="decimal"/>
      <w:lvlText w:val="3.%1"/>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0">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22">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3">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5">
    <w:nsid w:val="28394228"/>
    <w:multiLevelType w:val="multilevel"/>
    <w:tmpl w:val="28394228"/>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30">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32">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5">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8">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9">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1">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42">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6">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7">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8">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0">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3">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3">
    <w:nsid w:val="7ECB03B9"/>
    <w:multiLevelType w:val="multilevel"/>
    <w:tmpl w:val="7ECB03B9"/>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num w:numId="1">
    <w:abstractNumId w:val="5"/>
    <w:lvlOverride w:ilvl="0">
      <w:startOverride w:val="1"/>
    </w:lvlOverride>
  </w:num>
  <w:num w:numId="2">
    <w:abstractNumId w:val="35"/>
    <w:lvlOverride w:ilvl="0">
      <w:startOverride w:val="1"/>
    </w:lvlOverride>
  </w:num>
  <w:num w:numId="3">
    <w:abstractNumId w:val="20"/>
    <w:lvlOverride w:ilvl="0">
      <w:startOverride w:val="1"/>
    </w:lvlOverride>
  </w:num>
  <w:num w:numId="4">
    <w:abstractNumId w:val="12"/>
    <w:lvlOverride w:ilvl="0">
      <w:startOverride w:val="1"/>
    </w:lvlOverride>
  </w:num>
  <w:num w:numId="5">
    <w:abstractNumId w:val="52"/>
  </w:num>
  <w:num w:numId="6">
    <w:abstractNumId w:val="32"/>
    <w:lvlOverride w:ilvl="0">
      <w:startOverride w:val="1"/>
    </w:lvlOverride>
  </w:num>
  <w:num w:numId="7">
    <w:abstractNumId w:val="45"/>
    <w:lvlOverride w:ilvl="0">
      <w:startOverride w:val="1"/>
    </w:lvlOverride>
  </w:num>
  <w:num w:numId="8">
    <w:abstractNumId w:val="31"/>
    <w:lvlOverride w:ilvl="0">
      <w:startOverride w:val="1"/>
    </w:lvlOverride>
  </w:num>
  <w:num w:numId="9">
    <w:abstractNumId w:val="11"/>
    <w:lvlOverride w:ilvl="0">
      <w:startOverride w:val="1"/>
    </w:lvlOverride>
  </w:num>
  <w:num w:numId="10">
    <w:abstractNumId w:val="62"/>
    <w:lvlOverride w:ilvl="0">
      <w:startOverride w:val="1"/>
    </w:lvlOverride>
  </w:num>
  <w:num w:numId="11">
    <w:abstractNumId w:val="29"/>
  </w:num>
  <w:num w:numId="12">
    <w:abstractNumId w:val="26"/>
    <w:lvlOverride w:ilvl="0">
      <w:startOverride w:val="1"/>
    </w:lvlOverride>
  </w:num>
  <w:num w:numId="13">
    <w:abstractNumId w:val="27"/>
    <w:lvlOverride w:ilvl="0">
      <w:startOverride w:val="1"/>
    </w:lvlOverride>
  </w:num>
  <w:num w:numId="14">
    <w:abstractNumId w:val="56"/>
    <w:lvlOverride w:ilvl="0">
      <w:startOverride w:val="1"/>
    </w:lvlOverride>
  </w:num>
  <w:num w:numId="15">
    <w:abstractNumId w:val="36"/>
    <w:lvlOverride w:ilvl="0">
      <w:startOverride w:val="1"/>
    </w:lvlOverride>
  </w:num>
  <w:num w:numId="16">
    <w:abstractNumId w:val="16"/>
    <w:lvlOverride w:ilvl="0">
      <w:startOverride w:val="1"/>
    </w:lvlOverride>
  </w:num>
  <w:num w:numId="17">
    <w:abstractNumId w:val="60"/>
    <w:lvlOverride w:ilvl="0">
      <w:startOverride w:val="1"/>
    </w:lvlOverride>
  </w:num>
  <w:num w:numId="18">
    <w:abstractNumId w:val="39"/>
    <w:lvlOverride w:ilvl="0">
      <w:startOverride w:val="1"/>
    </w:lvlOverride>
  </w:num>
  <w:num w:numId="19">
    <w:abstractNumId w:val="13"/>
    <w:lvlOverride w:ilvl="0">
      <w:startOverride w:val="1"/>
    </w:lvlOverride>
  </w:num>
  <w:num w:numId="20">
    <w:abstractNumId w:val="10"/>
  </w:num>
  <w:num w:numId="21">
    <w:abstractNumId w:val="18"/>
    <w:lvlOverride w:ilvl="0">
      <w:startOverride w:val="1"/>
    </w:lvlOverride>
  </w:num>
  <w:num w:numId="22">
    <w:abstractNumId w:val="40"/>
  </w:num>
  <w:num w:numId="23">
    <w:abstractNumId w:val="38"/>
  </w:num>
  <w:num w:numId="24">
    <w:abstractNumId w:val="43"/>
  </w:num>
  <w:num w:numId="25">
    <w:abstractNumId w:val="58"/>
  </w:num>
  <w:num w:numId="26">
    <w:abstractNumId w:val="61"/>
  </w:num>
  <w:num w:numId="27">
    <w:abstractNumId w:val="42"/>
  </w:num>
  <w:num w:numId="28">
    <w:abstractNumId w:val="15"/>
  </w:num>
  <w:num w:numId="29">
    <w:abstractNumId w:val="8"/>
  </w:num>
  <w:num w:numId="30">
    <w:abstractNumId w:val="59"/>
  </w:num>
  <w:num w:numId="31">
    <w:abstractNumId w:val="53"/>
  </w:num>
  <w:num w:numId="32">
    <w:abstractNumId w:val="46"/>
  </w:num>
  <w:num w:numId="33">
    <w:abstractNumId w:val="51"/>
  </w:num>
  <w:num w:numId="34">
    <w:abstractNumId w:val="57"/>
  </w:num>
  <w:num w:numId="35">
    <w:abstractNumId w:val="28"/>
  </w:num>
  <w:num w:numId="36">
    <w:abstractNumId w:val="54"/>
  </w:num>
  <w:num w:numId="37">
    <w:abstractNumId w:val="3"/>
  </w:num>
  <w:num w:numId="38">
    <w:abstractNumId w:val="0"/>
  </w:num>
  <w:num w:numId="39">
    <w:abstractNumId w:val="7"/>
  </w:num>
  <w:num w:numId="40">
    <w:abstractNumId w:val="9"/>
  </w:num>
  <w:num w:numId="41">
    <w:abstractNumId w:val="44"/>
    <w:lvlOverride w:ilvl="0">
      <w:startOverride w:val="1"/>
    </w:lvlOverride>
  </w:num>
  <w:num w:numId="42">
    <w:abstractNumId w:val="17"/>
  </w:num>
  <w:num w:numId="43">
    <w:abstractNumId w:val="14"/>
  </w:num>
  <w:num w:numId="44">
    <w:abstractNumId w:val="30"/>
  </w:num>
  <w:num w:numId="45">
    <w:abstractNumId w:val="23"/>
  </w:num>
  <w:num w:numId="46">
    <w:abstractNumId w:val="47"/>
  </w:num>
  <w:num w:numId="47">
    <w:abstractNumId w:val="33"/>
    <w:lvlOverride w:ilvl="0">
      <w:startOverride w:val="1"/>
    </w:lvlOverride>
  </w:num>
  <w:num w:numId="48">
    <w:abstractNumId w:val="22"/>
    <w:lvlOverride w:ilvl="0">
      <w:startOverride w:val="1"/>
    </w:lvlOverride>
  </w:num>
  <w:num w:numId="49">
    <w:abstractNumId w:val="50"/>
  </w:num>
  <w:num w:numId="50">
    <w:abstractNumId w:val="63"/>
    <w:lvlOverride w:ilvl="0">
      <w:startOverride w:val="1"/>
    </w:lvlOverride>
  </w:num>
  <w:num w:numId="51">
    <w:abstractNumId w:val="24"/>
    <w:lvlOverride w:ilvl="0">
      <w:startOverride w:val="1"/>
    </w:lvlOverride>
  </w:num>
  <w:num w:numId="52">
    <w:abstractNumId w:val="21"/>
    <w:lvlOverride w:ilvl="0">
      <w:startOverride w:val="1"/>
    </w:lvlOverride>
  </w:num>
  <w:num w:numId="53">
    <w:abstractNumId w:val="2"/>
  </w:num>
  <w:num w:numId="54">
    <w:abstractNumId w:val="19"/>
  </w:num>
  <w:num w:numId="55">
    <w:abstractNumId w:val="37"/>
    <w:lvlOverride w:ilvl="0">
      <w:startOverride w:val="1"/>
    </w:lvlOverride>
  </w:num>
  <w:num w:numId="56">
    <w:abstractNumId w:val="41"/>
  </w:num>
  <w:num w:numId="57">
    <w:abstractNumId w:val="4"/>
  </w:num>
  <w:num w:numId="58">
    <w:abstractNumId w:val="6"/>
    <w:lvlOverride w:ilvl="0">
      <w:startOverride w:val="1"/>
    </w:lvlOverride>
  </w:num>
  <w:num w:numId="59">
    <w:abstractNumId w:val="34"/>
  </w:num>
  <w:num w:numId="60">
    <w:abstractNumId w:val="48"/>
  </w:num>
  <w:num w:numId="61">
    <w:abstractNumId w:val="1"/>
  </w:num>
  <w:num w:numId="62">
    <w:abstractNumId w:val="25"/>
    <w:lvlOverride w:ilvl="0">
      <w:startOverride w:val="1"/>
    </w:lvlOverride>
  </w:num>
  <w:num w:numId="63">
    <w:abstractNumId w:val="49"/>
    <w:lvlOverride w:ilvl="0">
      <w:startOverride w:val="1"/>
    </w:lvlOverride>
  </w:num>
  <w:num w:numId="64">
    <w:abstractNumId w:val="5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VjZTkzYzMxYzc4MmE0ZTg0YmYxZWEyZjM4MjZhOGMifQ=="/>
  </w:docVars>
  <w:rsids>
    <w:rsidRoot w:val="005E67E3"/>
    <w:rsid w:val="000002F4"/>
    <w:rsid w:val="000003B6"/>
    <w:rsid w:val="00001319"/>
    <w:rsid w:val="00001CDB"/>
    <w:rsid w:val="0000263A"/>
    <w:rsid w:val="00002FCE"/>
    <w:rsid w:val="00003037"/>
    <w:rsid w:val="00003602"/>
    <w:rsid w:val="00004C16"/>
    <w:rsid w:val="000059AE"/>
    <w:rsid w:val="00005E0B"/>
    <w:rsid w:val="00006445"/>
    <w:rsid w:val="00006BE1"/>
    <w:rsid w:val="00006DCF"/>
    <w:rsid w:val="00007978"/>
    <w:rsid w:val="000102F7"/>
    <w:rsid w:val="00011C49"/>
    <w:rsid w:val="00012DFF"/>
    <w:rsid w:val="000132D7"/>
    <w:rsid w:val="000132E8"/>
    <w:rsid w:val="000134BF"/>
    <w:rsid w:val="00014A1F"/>
    <w:rsid w:val="0001502E"/>
    <w:rsid w:val="00017234"/>
    <w:rsid w:val="00017383"/>
    <w:rsid w:val="00017511"/>
    <w:rsid w:val="0001751A"/>
    <w:rsid w:val="00017DE6"/>
    <w:rsid w:val="00020D13"/>
    <w:rsid w:val="00022DA4"/>
    <w:rsid w:val="000240AA"/>
    <w:rsid w:val="000240EC"/>
    <w:rsid w:val="00024F35"/>
    <w:rsid w:val="000263D9"/>
    <w:rsid w:val="00026441"/>
    <w:rsid w:val="000271DE"/>
    <w:rsid w:val="000273D1"/>
    <w:rsid w:val="000276CF"/>
    <w:rsid w:val="000303BC"/>
    <w:rsid w:val="00030725"/>
    <w:rsid w:val="000311B7"/>
    <w:rsid w:val="00031B6A"/>
    <w:rsid w:val="000360FA"/>
    <w:rsid w:val="00037960"/>
    <w:rsid w:val="00040712"/>
    <w:rsid w:val="00041023"/>
    <w:rsid w:val="00041115"/>
    <w:rsid w:val="00041344"/>
    <w:rsid w:val="000418CE"/>
    <w:rsid w:val="000421EC"/>
    <w:rsid w:val="0004267F"/>
    <w:rsid w:val="00043651"/>
    <w:rsid w:val="00044391"/>
    <w:rsid w:val="00045198"/>
    <w:rsid w:val="0004615A"/>
    <w:rsid w:val="00046305"/>
    <w:rsid w:val="0004663E"/>
    <w:rsid w:val="00046937"/>
    <w:rsid w:val="00046C6D"/>
    <w:rsid w:val="00050828"/>
    <w:rsid w:val="000515EB"/>
    <w:rsid w:val="00052E3E"/>
    <w:rsid w:val="00054413"/>
    <w:rsid w:val="0005492A"/>
    <w:rsid w:val="00054F97"/>
    <w:rsid w:val="00055288"/>
    <w:rsid w:val="00055B56"/>
    <w:rsid w:val="0005606A"/>
    <w:rsid w:val="0005777C"/>
    <w:rsid w:val="0006039B"/>
    <w:rsid w:val="0006115E"/>
    <w:rsid w:val="00061849"/>
    <w:rsid w:val="00061C98"/>
    <w:rsid w:val="00063022"/>
    <w:rsid w:val="0006302D"/>
    <w:rsid w:val="0006304E"/>
    <w:rsid w:val="00063711"/>
    <w:rsid w:val="00063B72"/>
    <w:rsid w:val="0006472C"/>
    <w:rsid w:val="00064BE8"/>
    <w:rsid w:val="00064C8A"/>
    <w:rsid w:val="00070117"/>
    <w:rsid w:val="000702C1"/>
    <w:rsid w:val="0007070B"/>
    <w:rsid w:val="0007085A"/>
    <w:rsid w:val="00070C32"/>
    <w:rsid w:val="000729D8"/>
    <w:rsid w:val="0007350A"/>
    <w:rsid w:val="00074A71"/>
    <w:rsid w:val="00076CC1"/>
    <w:rsid w:val="0008143E"/>
    <w:rsid w:val="00081B8A"/>
    <w:rsid w:val="000847B6"/>
    <w:rsid w:val="00084960"/>
    <w:rsid w:val="000849EB"/>
    <w:rsid w:val="00084F7C"/>
    <w:rsid w:val="00085706"/>
    <w:rsid w:val="000857E6"/>
    <w:rsid w:val="00086DEC"/>
    <w:rsid w:val="00086EA9"/>
    <w:rsid w:val="000874EC"/>
    <w:rsid w:val="0008765D"/>
    <w:rsid w:val="00091483"/>
    <w:rsid w:val="00091805"/>
    <w:rsid w:val="00092704"/>
    <w:rsid w:val="00092955"/>
    <w:rsid w:val="00092D2A"/>
    <w:rsid w:val="00093865"/>
    <w:rsid w:val="000944DA"/>
    <w:rsid w:val="000949CF"/>
    <w:rsid w:val="000951EA"/>
    <w:rsid w:val="00095A31"/>
    <w:rsid w:val="00095B4D"/>
    <w:rsid w:val="0009630A"/>
    <w:rsid w:val="00096406"/>
    <w:rsid w:val="00097802"/>
    <w:rsid w:val="000A1DCD"/>
    <w:rsid w:val="000A243B"/>
    <w:rsid w:val="000A291A"/>
    <w:rsid w:val="000A2FEA"/>
    <w:rsid w:val="000A39C2"/>
    <w:rsid w:val="000A4B09"/>
    <w:rsid w:val="000A5A00"/>
    <w:rsid w:val="000A7639"/>
    <w:rsid w:val="000B06B4"/>
    <w:rsid w:val="000B0B26"/>
    <w:rsid w:val="000B0DDE"/>
    <w:rsid w:val="000B1A6F"/>
    <w:rsid w:val="000B2143"/>
    <w:rsid w:val="000B22A3"/>
    <w:rsid w:val="000B2D8B"/>
    <w:rsid w:val="000B4821"/>
    <w:rsid w:val="000B5554"/>
    <w:rsid w:val="000B5BC5"/>
    <w:rsid w:val="000C009D"/>
    <w:rsid w:val="000C0B85"/>
    <w:rsid w:val="000C0F1A"/>
    <w:rsid w:val="000C1BFC"/>
    <w:rsid w:val="000C1E86"/>
    <w:rsid w:val="000C34C3"/>
    <w:rsid w:val="000C41F1"/>
    <w:rsid w:val="000C6D47"/>
    <w:rsid w:val="000C6D48"/>
    <w:rsid w:val="000C7C5D"/>
    <w:rsid w:val="000C7E22"/>
    <w:rsid w:val="000D0E10"/>
    <w:rsid w:val="000D13BD"/>
    <w:rsid w:val="000D1705"/>
    <w:rsid w:val="000D1F02"/>
    <w:rsid w:val="000D26A0"/>
    <w:rsid w:val="000D3724"/>
    <w:rsid w:val="000D3D69"/>
    <w:rsid w:val="000D43FB"/>
    <w:rsid w:val="000D471B"/>
    <w:rsid w:val="000D49FC"/>
    <w:rsid w:val="000D4FF3"/>
    <w:rsid w:val="000D5830"/>
    <w:rsid w:val="000D59C7"/>
    <w:rsid w:val="000D7061"/>
    <w:rsid w:val="000D7B92"/>
    <w:rsid w:val="000D7D6E"/>
    <w:rsid w:val="000E0111"/>
    <w:rsid w:val="000E15D6"/>
    <w:rsid w:val="000E2821"/>
    <w:rsid w:val="000E36DC"/>
    <w:rsid w:val="000E5998"/>
    <w:rsid w:val="000F09BA"/>
    <w:rsid w:val="000F1901"/>
    <w:rsid w:val="000F27B7"/>
    <w:rsid w:val="000F2B70"/>
    <w:rsid w:val="000F3203"/>
    <w:rsid w:val="000F4E5F"/>
    <w:rsid w:val="000F5766"/>
    <w:rsid w:val="000F6E09"/>
    <w:rsid w:val="000F76F7"/>
    <w:rsid w:val="000F79A8"/>
    <w:rsid w:val="000F7B31"/>
    <w:rsid w:val="00100025"/>
    <w:rsid w:val="0010095C"/>
    <w:rsid w:val="0010143F"/>
    <w:rsid w:val="001034D8"/>
    <w:rsid w:val="001038AA"/>
    <w:rsid w:val="00105089"/>
    <w:rsid w:val="001054EF"/>
    <w:rsid w:val="0010561A"/>
    <w:rsid w:val="00107E48"/>
    <w:rsid w:val="00110ABB"/>
    <w:rsid w:val="0011195D"/>
    <w:rsid w:val="0011256E"/>
    <w:rsid w:val="00113256"/>
    <w:rsid w:val="0011388D"/>
    <w:rsid w:val="00114615"/>
    <w:rsid w:val="00114C56"/>
    <w:rsid w:val="00114FC7"/>
    <w:rsid w:val="00115440"/>
    <w:rsid w:val="00115C3C"/>
    <w:rsid w:val="00116250"/>
    <w:rsid w:val="00116D55"/>
    <w:rsid w:val="001171BF"/>
    <w:rsid w:val="001174A8"/>
    <w:rsid w:val="001207A2"/>
    <w:rsid w:val="00122BA0"/>
    <w:rsid w:val="001234B2"/>
    <w:rsid w:val="001236CA"/>
    <w:rsid w:val="001246AB"/>
    <w:rsid w:val="00125498"/>
    <w:rsid w:val="001254C2"/>
    <w:rsid w:val="00125D80"/>
    <w:rsid w:val="0012774E"/>
    <w:rsid w:val="00130B03"/>
    <w:rsid w:val="0013108E"/>
    <w:rsid w:val="00131FBC"/>
    <w:rsid w:val="00133844"/>
    <w:rsid w:val="00133E1C"/>
    <w:rsid w:val="00136E6F"/>
    <w:rsid w:val="00136ECF"/>
    <w:rsid w:val="00140238"/>
    <w:rsid w:val="00140543"/>
    <w:rsid w:val="00141746"/>
    <w:rsid w:val="001423D3"/>
    <w:rsid w:val="001445BB"/>
    <w:rsid w:val="00144FEE"/>
    <w:rsid w:val="00145208"/>
    <w:rsid w:val="00146058"/>
    <w:rsid w:val="00146283"/>
    <w:rsid w:val="001463D2"/>
    <w:rsid w:val="00146492"/>
    <w:rsid w:val="0015056A"/>
    <w:rsid w:val="00151F2B"/>
    <w:rsid w:val="0015264C"/>
    <w:rsid w:val="00152DCB"/>
    <w:rsid w:val="00153A83"/>
    <w:rsid w:val="00153DB1"/>
    <w:rsid w:val="00154373"/>
    <w:rsid w:val="00154DE7"/>
    <w:rsid w:val="0015520F"/>
    <w:rsid w:val="00155351"/>
    <w:rsid w:val="00155B6F"/>
    <w:rsid w:val="00156051"/>
    <w:rsid w:val="001576E7"/>
    <w:rsid w:val="001577A6"/>
    <w:rsid w:val="00157E6F"/>
    <w:rsid w:val="00160B7A"/>
    <w:rsid w:val="00160CF4"/>
    <w:rsid w:val="0016135F"/>
    <w:rsid w:val="00161B6E"/>
    <w:rsid w:val="00165C12"/>
    <w:rsid w:val="00167020"/>
    <w:rsid w:val="001673C9"/>
    <w:rsid w:val="0016745B"/>
    <w:rsid w:val="0017029B"/>
    <w:rsid w:val="001704FA"/>
    <w:rsid w:val="00170615"/>
    <w:rsid w:val="00170678"/>
    <w:rsid w:val="00170D83"/>
    <w:rsid w:val="00171B97"/>
    <w:rsid w:val="001730E1"/>
    <w:rsid w:val="0017479B"/>
    <w:rsid w:val="001757C1"/>
    <w:rsid w:val="0017654E"/>
    <w:rsid w:val="00176C2F"/>
    <w:rsid w:val="0018013A"/>
    <w:rsid w:val="00180732"/>
    <w:rsid w:val="00180C90"/>
    <w:rsid w:val="00182A74"/>
    <w:rsid w:val="00183641"/>
    <w:rsid w:val="001837FD"/>
    <w:rsid w:val="00184E1E"/>
    <w:rsid w:val="001850ED"/>
    <w:rsid w:val="001866CB"/>
    <w:rsid w:val="001869A6"/>
    <w:rsid w:val="0019062E"/>
    <w:rsid w:val="0019067E"/>
    <w:rsid w:val="0019116E"/>
    <w:rsid w:val="00191971"/>
    <w:rsid w:val="00193390"/>
    <w:rsid w:val="001934AA"/>
    <w:rsid w:val="001948F8"/>
    <w:rsid w:val="00195A1B"/>
    <w:rsid w:val="00195EF5"/>
    <w:rsid w:val="0019755F"/>
    <w:rsid w:val="00197ABC"/>
    <w:rsid w:val="001A02D0"/>
    <w:rsid w:val="001A0853"/>
    <w:rsid w:val="001A3889"/>
    <w:rsid w:val="001A3A32"/>
    <w:rsid w:val="001A3A7A"/>
    <w:rsid w:val="001A4F93"/>
    <w:rsid w:val="001A512C"/>
    <w:rsid w:val="001A73DE"/>
    <w:rsid w:val="001A7D4E"/>
    <w:rsid w:val="001B00FB"/>
    <w:rsid w:val="001B04BD"/>
    <w:rsid w:val="001B20D7"/>
    <w:rsid w:val="001B27A4"/>
    <w:rsid w:val="001B27F8"/>
    <w:rsid w:val="001B28D2"/>
    <w:rsid w:val="001B2D80"/>
    <w:rsid w:val="001B3D1B"/>
    <w:rsid w:val="001B40E4"/>
    <w:rsid w:val="001B57D0"/>
    <w:rsid w:val="001B6AE8"/>
    <w:rsid w:val="001C1E58"/>
    <w:rsid w:val="001C2F16"/>
    <w:rsid w:val="001C36DC"/>
    <w:rsid w:val="001C37C9"/>
    <w:rsid w:val="001C658D"/>
    <w:rsid w:val="001C7489"/>
    <w:rsid w:val="001C7521"/>
    <w:rsid w:val="001D04B9"/>
    <w:rsid w:val="001D1A75"/>
    <w:rsid w:val="001D2650"/>
    <w:rsid w:val="001D2780"/>
    <w:rsid w:val="001D425B"/>
    <w:rsid w:val="001D4E94"/>
    <w:rsid w:val="001D4EF9"/>
    <w:rsid w:val="001D5499"/>
    <w:rsid w:val="001D57C4"/>
    <w:rsid w:val="001D72DD"/>
    <w:rsid w:val="001D75A0"/>
    <w:rsid w:val="001E0022"/>
    <w:rsid w:val="001E0D87"/>
    <w:rsid w:val="001E1391"/>
    <w:rsid w:val="001E2855"/>
    <w:rsid w:val="001E35E6"/>
    <w:rsid w:val="001E3B86"/>
    <w:rsid w:val="001E3DB6"/>
    <w:rsid w:val="001E4F48"/>
    <w:rsid w:val="001E5D77"/>
    <w:rsid w:val="001E6422"/>
    <w:rsid w:val="001E6472"/>
    <w:rsid w:val="001E6928"/>
    <w:rsid w:val="001E6CFC"/>
    <w:rsid w:val="001E7B5E"/>
    <w:rsid w:val="001F4C72"/>
    <w:rsid w:val="001F5464"/>
    <w:rsid w:val="001F59D4"/>
    <w:rsid w:val="001F6A81"/>
    <w:rsid w:val="001F6E70"/>
    <w:rsid w:val="001F7226"/>
    <w:rsid w:val="001F74B8"/>
    <w:rsid w:val="001F7A20"/>
    <w:rsid w:val="001F7A81"/>
    <w:rsid w:val="001F7DC0"/>
    <w:rsid w:val="0020063E"/>
    <w:rsid w:val="002010C1"/>
    <w:rsid w:val="00201784"/>
    <w:rsid w:val="002017BD"/>
    <w:rsid w:val="00201A85"/>
    <w:rsid w:val="00203573"/>
    <w:rsid w:val="00203E6A"/>
    <w:rsid w:val="0020400B"/>
    <w:rsid w:val="00204ABF"/>
    <w:rsid w:val="0020561E"/>
    <w:rsid w:val="00205B4C"/>
    <w:rsid w:val="002061A3"/>
    <w:rsid w:val="00206B71"/>
    <w:rsid w:val="002072C7"/>
    <w:rsid w:val="002101BA"/>
    <w:rsid w:val="002102EE"/>
    <w:rsid w:val="0021039F"/>
    <w:rsid w:val="002107BA"/>
    <w:rsid w:val="002121AD"/>
    <w:rsid w:val="00212872"/>
    <w:rsid w:val="00212998"/>
    <w:rsid w:val="00215499"/>
    <w:rsid w:val="0021604F"/>
    <w:rsid w:val="00216071"/>
    <w:rsid w:val="0021684D"/>
    <w:rsid w:val="00217270"/>
    <w:rsid w:val="00217904"/>
    <w:rsid w:val="002214B5"/>
    <w:rsid w:val="00221A60"/>
    <w:rsid w:val="0022420D"/>
    <w:rsid w:val="00224293"/>
    <w:rsid w:val="00224316"/>
    <w:rsid w:val="00224BB1"/>
    <w:rsid w:val="00225B0B"/>
    <w:rsid w:val="00226967"/>
    <w:rsid w:val="00226FE0"/>
    <w:rsid w:val="002274CD"/>
    <w:rsid w:val="00230473"/>
    <w:rsid w:val="002304A5"/>
    <w:rsid w:val="00230DDA"/>
    <w:rsid w:val="00230EAB"/>
    <w:rsid w:val="0023116F"/>
    <w:rsid w:val="0023262D"/>
    <w:rsid w:val="002327C1"/>
    <w:rsid w:val="00232BB4"/>
    <w:rsid w:val="002347FB"/>
    <w:rsid w:val="002368F8"/>
    <w:rsid w:val="00237006"/>
    <w:rsid w:val="002371C3"/>
    <w:rsid w:val="00237420"/>
    <w:rsid w:val="00240D2E"/>
    <w:rsid w:val="002430C2"/>
    <w:rsid w:val="00244924"/>
    <w:rsid w:val="002450A6"/>
    <w:rsid w:val="00245BA8"/>
    <w:rsid w:val="00246330"/>
    <w:rsid w:val="00247AB2"/>
    <w:rsid w:val="0025279A"/>
    <w:rsid w:val="00252B30"/>
    <w:rsid w:val="00253DBA"/>
    <w:rsid w:val="00253F3F"/>
    <w:rsid w:val="00255A65"/>
    <w:rsid w:val="00255D0E"/>
    <w:rsid w:val="0025693C"/>
    <w:rsid w:val="002569F0"/>
    <w:rsid w:val="002569F4"/>
    <w:rsid w:val="00260A5D"/>
    <w:rsid w:val="0026161F"/>
    <w:rsid w:val="002621FC"/>
    <w:rsid w:val="002643CD"/>
    <w:rsid w:val="002655C2"/>
    <w:rsid w:val="00266A8F"/>
    <w:rsid w:val="00267530"/>
    <w:rsid w:val="00270595"/>
    <w:rsid w:val="00270EDA"/>
    <w:rsid w:val="00271544"/>
    <w:rsid w:val="00271707"/>
    <w:rsid w:val="00271DC7"/>
    <w:rsid w:val="002724FD"/>
    <w:rsid w:val="0027398A"/>
    <w:rsid w:val="00273E57"/>
    <w:rsid w:val="002763E8"/>
    <w:rsid w:val="0027794E"/>
    <w:rsid w:val="00280290"/>
    <w:rsid w:val="00280A6F"/>
    <w:rsid w:val="002817B6"/>
    <w:rsid w:val="002818D2"/>
    <w:rsid w:val="00283C92"/>
    <w:rsid w:val="00285389"/>
    <w:rsid w:val="0028563F"/>
    <w:rsid w:val="00287858"/>
    <w:rsid w:val="00291381"/>
    <w:rsid w:val="00291975"/>
    <w:rsid w:val="00291E27"/>
    <w:rsid w:val="002920C2"/>
    <w:rsid w:val="00293DA7"/>
    <w:rsid w:val="0029439D"/>
    <w:rsid w:val="00295077"/>
    <w:rsid w:val="0029557D"/>
    <w:rsid w:val="00297391"/>
    <w:rsid w:val="002978AD"/>
    <w:rsid w:val="002A031D"/>
    <w:rsid w:val="002A17FC"/>
    <w:rsid w:val="002A1911"/>
    <w:rsid w:val="002A2266"/>
    <w:rsid w:val="002A303A"/>
    <w:rsid w:val="002A30CB"/>
    <w:rsid w:val="002A400B"/>
    <w:rsid w:val="002A54A1"/>
    <w:rsid w:val="002A5947"/>
    <w:rsid w:val="002A5AB1"/>
    <w:rsid w:val="002A702B"/>
    <w:rsid w:val="002B05F5"/>
    <w:rsid w:val="002B1FDF"/>
    <w:rsid w:val="002B26B9"/>
    <w:rsid w:val="002B2C9F"/>
    <w:rsid w:val="002B5C86"/>
    <w:rsid w:val="002B6AA1"/>
    <w:rsid w:val="002B7688"/>
    <w:rsid w:val="002C1F31"/>
    <w:rsid w:val="002C2A53"/>
    <w:rsid w:val="002C3CAA"/>
    <w:rsid w:val="002C5668"/>
    <w:rsid w:val="002C6571"/>
    <w:rsid w:val="002D2681"/>
    <w:rsid w:val="002D4597"/>
    <w:rsid w:val="002D48D6"/>
    <w:rsid w:val="002D492F"/>
    <w:rsid w:val="002D4EE8"/>
    <w:rsid w:val="002D7151"/>
    <w:rsid w:val="002E0257"/>
    <w:rsid w:val="002E1434"/>
    <w:rsid w:val="002E1A28"/>
    <w:rsid w:val="002E1CA0"/>
    <w:rsid w:val="002E1DD7"/>
    <w:rsid w:val="002E2212"/>
    <w:rsid w:val="002E4923"/>
    <w:rsid w:val="002E4D7C"/>
    <w:rsid w:val="002E6615"/>
    <w:rsid w:val="002E6679"/>
    <w:rsid w:val="002E699C"/>
    <w:rsid w:val="002E6B15"/>
    <w:rsid w:val="002E6DED"/>
    <w:rsid w:val="002E7CED"/>
    <w:rsid w:val="002F1383"/>
    <w:rsid w:val="002F4789"/>
    <w:rsid w:val="002F4E44"/>
    <w:rsid w:val="002F737C"/>
    <w:rsid w:val="002F7D72"/>
    <w:rsid w:val="00301A65"/>
    <w:rsid w:val="003029D8"/>
    <w:rsid w:val="00303C06"/>
    <w:rsid w:val="003050B8"/>
    <w:rsid w:val="003055DD"/>
    <w:rsid w:val="00305A5F"/>
    <w:rsid w:val="003068F0"/>
    <w:rsid w:val="003070E5"/>
    <w:rsid w:val="00310001"/>
    <w:rsid w:val="003100D3"/>
    <w:rsid w:val="003108AA"/>
    <w:rsid w:val="00310D9F"/>
    <w:rsid w:val="00311951"/>
    <w:rsid w:val="00312211"/>
    <w:rsid w:val="003134EC"/>
    <w:rsid w:val="003137A7"/>
    <w:rsid w:val="003137B4"/>
    <w:rsid w:val="00313946"/>
    <w:rsid w:val="00320EFC"/>
    <w:rsid w:val="003222FD"/>
    <w:rsid w:val="003235FD"/>
    <w:rsid w:val="00323FB8"/>
    <w:rsid w:val="003258C7"/>
    <w:rsid w:val="00325FD3"/>
    <w:rsid w:val="00330A8D"/>
    <w:rsid w:val="00331B56"/>
    <w:rsid w:val="00333846"/>
    <w:rsid w:val="00333A90"/>
    <w:rsid w:val="003348F2"/>
    <w:rsid w:val="0033530F"/>
    <w:rsid w:val="00336FD0"/>
    <w:rsid w:val="00337CB5"/>
    <w:rsid w:val="00342BEF"/>
    <w:rsid w:val="003437BD"/>
    <w:rsid w:val="0034417D"/>
    <w:rsid w:val="00346801"/>
    <w:rsid w:val="0034712A"/>
    <w:rsid w:val="00350BEF"/>
    <w:rsid w:val="00353E5C"/>
    <w:rsid w:val="0035500E"/>
    <w:rsid w:val="003550AF"/>
    <w:rsid w:val="00355512"/>
    <w:rsid w:val="003560C3"/>
    <w:rsid w:val="00356E6A"/>
    <w:rsid w:val="00357A7F"/>
    <w:rsid w:val="00360A6D"/>
    <w:rsid w:val="00360BB1"/>
    <w:rsid w:val="00360C50"/>
    <w:rsid w:val="00360D44"/>
    <w:rsid w:val="00360D82"/>
    <w:rsid w:val="00360F04"/>
    <w:rsid w:val="0036200E"/>
    <w:rsid w:val="0036348D"/>
    <w:rsid w:val="003636FB"/>
    <w:rsid w:val="003645BD"/>
    <w:rsid w:val="00371F76"/>
    <w:rsid w:val="00372248"/>
    <w:rsid w:val="00372E8F"/>
    <w:rsid w:val="00372F16"/>
    <w:rsid w:val="003730FE"/>
    <w:rsid w:val="003740F5"/>
    <w:rsid w:val="00380411"/>
    <w:rsid w:val="00380773"/>
    <w:rsid w:val="00380DAA"/>
    <w:rsid w:val="0038445F"/>
    <w:rsid w:val="00384E40"/>
    <w:rsid w:val="00385541"/>
    <w:rsid w:val="003866E3"/>
    <w:rsid w:val="0038678E"/>
    <w:rsid w:val="00386C92"/>
    <w:rsid w:val="00387665"/>
    <w:rsid w:val="003879C7"/>
    <w:rsid w:val="00387A8E"/>
    <w:rsid w:val="00387B8B"/>
    <w:rsid w:val="00390A6F"/>
    <w:rsid w:val="00392ECD"/>
    <w:rsid w:val="00393804"/>
    <w:rsid w:val="003A012C"/>
    <w:rsid w:val="003A019F"/>
    <w:rsid w:val="003A0D7D"/>
    <w:rsid w:val="003A2009"/>
    <w:rsid w:val="003A28E5"/>
    <w:rsid w:val="003A2AF8"/>
    <w:rsid w:val="003A2FAE"/>
    <w:rsid w:val="003A3429"/>
    <w:rsid w:val="003A3B3A"/>
    <w:rsid w:val="003A4745"/>
    <w:rsid w:val="003A62E6"/>
    <w:rsid w:val="003A68B4"/>
    <w:rsid w:val="003B0B02"/>
    <w:rsid w:val="003B146C"/>
    <w:rsid w:val="003B334D"/>
    <w:rsid w:val="003B3D72"/>
    <w:rsid w:val="003B5211"/>
    <w:rsid w:val="003B56E3"/>
    <w:rsid w:val="003B6CD0"/>
    <w:rsid w:val="003B7258"/>
    <w:rsid w:val="003C0032"/>
    <w:rsid w:val="003C18E2"/>
    <w:rsid w:val="003C2480"/>
    <w:rsid w:val="003C2BF2"/>
    <w:rsid w:val="003C4D45"/>
    <w:rsid w:val="003C529D"/>
    <w:rsid w:val="003C55BC"/>
    <w:rsid w:val="003C6246"/>
    <w:rsid w:val="003C64A9"/>
    <w:rsid w:val="003C781A"/>
    <w:rsid w:val="003C7929"/>
    <w:rsid w:val="003C7B18"/>
    <w:rsid w:val="003D0885"/>
    <w:rsid w:val="003D0891"/>
    <w:rsid w:val="003D0CA4"/>
    <w:rsid w:val="003D19C8"/>
    <w:rsid w:val="003D202B"/>
    <w:rsid w:val="003D2D71"/>
    <w:rsid w:val="003D36A8"/>
    <w:rsid w:val="003D3DB8"/>
    <w:rsid w:val="003D5900"/>
    <w:rsid w:val="003D5CBE"/>
    <w:rsid w:val="003D647A"/>
    <w:rsid w:val="003D6775"/>
    <w:rsid w:val="003D6D76"/>
    <w:rsid w:val="003D7850"/>
    <w:rsid w:val="003D7942"/>
    <w:rsid w:val="003D7FEC"/>
    <w:rsid w:val="003E1894"/>
    <w:rsid w:val="003E3047"/>
    <w:rsid w:val="003E30EC"/>
    <w:rsid w:val="003E3432"/>
    <w:rsid w:val="003E38CF"/>
    <w:rsid w:val="003E7970"/>
    <w:rsid w:val="003F000B"/>
    <w:rsid w:val="003F304F"/>
    <w:rsid w:val="003F3B1B"/>
    <w:rsid w:val="003F4098"/>
    <w:rsid w:val="003F48E7"/>
    <w:rsid w:val="003F4C3A"/>
    <w:rsid w:val="003F557A"/>
    <w:rsid w:val="003F56BD"/>
    <w:rsid w:val="003F663F"/>
    <w:rsid w:val="003F69F4"/>
    <w:rsid w:val="003F6FBB"/>
    <w:rsid w:val="003F711B"/>
    <w:rsid w:val="0040042B"/>
    <w:rsid w:val="0040252B"/>
    <w:rsid w:val="00403CAA"/>
    <w:rsid w:val="00404B8C"/>
    <w:rsid w:val="00404B90"/>
    <w:rsid w:val="00406C8D"/>
    <w:rsid w:val="00407B95"/>
    <w:rsid w:val="00410603"/>
    <w:rsid w:val="0041114A"/>
    <w:rsid w:val="00411B79"/>
    <w:rsid w:val="00412B9C"/>
    <w:rsid w:val="00413412"/>
    <w:rsid w:val="00414CFB"/>
    <w:rsid w:val="00415856"/>
    <w:rsid w:val="00416AA3"/>
    <w:rsid w:val="004176BA"/>
    <w:rsid w:val="00417980"/>
    <w:rsid w:val="00421DA0"/>
    <w:rsid w:val="00422046"/>
    <w:rsid w:val="00422A59"/>
    <w:rsid w:val="00426568"/>
    <w:rsid w:val="004274F1"/>
    <w:rsid w:val="00427C55"/>
    <w:rsid w:val="00431A55"/>
    <w:rsid w:val="00431DC7"/>
    <w:rsid w:val="00431EAD"/>
    <w:rsid w:val="00432A2C"/>
    <w:rsid w:val="00432FFB"/>
    <w:rsid w:val="00433038"/>
    <w:rsid w:val="00433561"/>
    <w:rsid w:val="0043644F"/>
    <w:rsid w:val="00437708"/>
    <w:rsid w:val="00441594"/>
    <w:rsid w:val="004416F1"/>
    <w:rsid w:val="00443407"/>
    <w:rsid w:val="00444337"/>
    <w:rsid w:val="0044437B"/>
    <w:rsid w:val="00445D70"/>
    <w:rsid w:val="00445DF0"/>
    <w:rsid w:val="00445F1C"/>
    <w:rsid w:val="0045116E"/>
    <w:rsid w:val="00452008"/>
    <w:rsid w:val="00453191"/>
    <w:rsid w:val="00453E21"/>
    <w:rsid w:val="00456D57"/>
    <w:rsid w:val="00457D8E"/>
    <w:rsid w:val="004602E6"/>
    <w:rsid w:val="004604FF"/>
    <w:rsid w:val="00461166"/>
    <w:rsid w:val="004617E4"/>
    <w:rsid w:val="004618F5"/>
    <w:rsid w:val="004631C7"/>
    <w:rsid w:val="00464DA1"/>
    <w:rsid w:val="004650E6"/>
    <w:rsid w:val="00465AC1"/>
    <w:rsid w:val="00465EBB"/>
    <w:rsid w:val="004667B1"/>
    <w:rsid w:val="00466BD6"/>
    <w:rsid w:val="00466C95"/>
    <w:rsid w:val="00466D29"/>
    <w:rsid w:val="0046730E"/>
    <w:rsid w:val="0047285C"/>
    <w:rsid w:val="00474329"/>
    <w:rsid w:val="004749CC"/>
    <w:rsid w:val="00474F9A"/>
    <w:rsid w:val="004753FE"/>
    <w:rsid w:val="00475900"/>
    <w:rsid w:val="00476519"/>
    <w:rsid w:val="004773F2"/>
    <w:rsid w:val="004774E4"/>
    <w:rsid w:val="00480906"/>
    <w:rsid w:val="00481C3A"/>
    <w:rsid w:val="00481DC3"/>
    <w:rsid w:val="00482C3E"/>
    <w:rsid w:val="00482EB3"/>
    <w:rsid w:val="00483203"/>
    <w:rsid w:val="00484845"/>
    <w:rsid w:val="004857FE"/>
    <w:rsid w:val="004864C4"/>
    <w:rsid w:val="004867CE"/>
    <w:rsid w:val="0048684E"/>
    <w:rsid w:val="00486859"/>
    <w:rsid w:val="004873F7"/>
    <w:rsid w:val="00491BFE"/>
    <w:rsid w:val="00494A6A"/>
    <w:rsid w:val="00494DD3"/>
    <w:rsid w:val="00495218"/>
    <w:rsid w:val="00496ABA"/>
    <w:rsid w:val="00496C62"/>
    <w:rsid w:val="004A06C8"/>
    <w:rsid w:val="004A0E2B"/>
    <w:rsid w:val="004A0F03"/>
    <w:rsid w:val="004A15E5"/>
    <w:rsid w:val="004A267C"/>
    <w:rsid w:val="004A2E4B"/>
    <w:rsid w:val="004A3249"/>
    <w:rsid w:val="004A3BDA"/>
    <w:rsid w:val="004A3D00"/>
    <w:rsid w:val="004A426E"/>
    <w:rsid w:val="004A4627"/>
    <w:rsid w:val="004A4A67"/>
    <w:rsid w:val="004A544B"/>
    <w:rsid w:val="004A628B"/>
    <w:rsid w:val="004A7142"/>
    <w:rsid w:val="004A7183"/>
    <w:rsid w:val="004A7910"/>
    <w:rsid w:val="004B29F0"/>
    <w:rsid w:val="004B439B"/>
    <w:rsid w:val="004B5176"/>
    <w:rsid w:val="004B5E7A"/>
    <w:rsid w:val="004B682D"/>
    <w:rsid w:val="004B7DEF"/>
    <w:rsid w:val="004B7E12"/>
    <w:rsid w:val="004C1A46"/>
    <w:rsid w:val="004C49AC"/>
    <w:rsid w:val="004C5EB8"/>
    <w:rsid w:val="004C6E1A"/>
    <w:rsid w:val="004D11A3"/>
    <w:rsid w:val="004D28C0"/>
    <w:rsid w:val="004D2A5C"/>
    <w:rsid w:val="004D3879"/>
    <w:rsid w:val="004D5AE4"/>
    <w:rsid w:val="004D5B53"/>
    <w:rsid w:val="004D5CD3"/>
    <w:rsid w:val="004D631A"/>
    <w:rsid w:val="004D7661"/>
    <w:rsid w:val="004D7E18"/>
    <w:rsid w:val="004D7EA1"/>
    <w:rsid w:val="004E112E"/>
    <w:rsid w:val="004E142E"/>
    <w:rsid w:val="004E2B31"/>
    <w:rsid w:val="004E3DE0"/>
    <w:rsid w:val="004E4C1E"/>
    <w:rsid w:val="004E5137"/>
    <w:rsid w:val="004E54D5"/>
    <w:rsid w:val="004E5589"/>
    <w:rsid w:val="004E5731"/>
    <w:rsid w:val="004E6500"/>
    <w:rsid w:val="004E6D85"/>
    <w:rsid w:val="004E79E8"/>
    <w:rsid w:val="004F2072"/>
    <w:rsid w:val="004F2E62"/>
    <w:rsid w:val="004F31BD"/>
    <w:rsid w:val="004F442A"/>
    <w:rsid w:val="004F5066"/>
    <w:rsid w:val="004F55F3"/>
    <w:rsid w:val="004F5A77"/>
    <w:rsid w:val="004F6EF4"/>
    <w:rsid w:val="004F7519"/>
    <w:rsid w:val="004F763B"/>
    <w:rsid w:val="0050099F"/>
    <w:rsid w:val="00500D2F"/>
    <w:rsid w:val="00501903"/>
    <w:rsid w:val="00501CAB"/>
    <w:rsid w:val="00502953"/>
    <w:rsid w:val="00502A15"/>
    <w:rsid w:val="00502EFC"/>
    <w:rsid w:val="0050513C"/>
    <w:rsid w:val="005054AB"/>
    <w:rsid w:val="0050663D"/>
    <w:rsid w:val="00511702"/>
    <w:rsid w:val="005119F8"/>
    <w:rsid w:val="00511DE6"/>
    <w:rsid w:val="00513394"/>
    <w:rsid w:val="00514D98"/>
    <w:rsid w:val="005156F8"/>
    <w:rsid w:val="00515CF0"/>
    <w:rsid w:val="005172F4"/>
    <w:rsid w:val="00520FDA"/>
    <w:rsid w:val="005211DA"/>
    <w:rsid w:val="005215BF"/>
    <w:rsid w:val="00521C7B"/>
    <w:rsid w:val="0052304F"/>
    <w:rsid w:val="005279C0"/>
    <w:rsid w:val="00527DB3"/>
    <w:rsid w:val="00532338"/>
    <w:rsid w:val="00532A28"/>
    <w:rsid w:val="005353E3"/>
    <w:rsid w:val="005354B7"/>
    <w:rsid w:val="00535D03"/>
    <w:rsid w:val="00537943"/>
    <w:rsid w:val="00541F11"/>
    <w:rsid w:val="005430E7"/>
    <w:rsid w:val="00544469"/>
    <w:rsid w:val="0054491C"/>
    <w:rsid w:val="00545241"/>
    <w:rsid w:val="00547909"/>
    <w:rsid w:val="005501EC"/>
    <w:rsid w:val="00550309"/>
    <w:rsid w:val="00550745"/>
    <w:rsid w:val="00551C42"/>
    <w:rsid w:val="0055230F"/>
    <w:rsid w:val="00553793"/>
    <w:rsid w:val="00553ECA"/>
    <w:rsid w:val="00554629"/>
    <w:rsid w:val="00554647"/>
    <w:rsid w:val="0055473F"/>
    <w:rsid w:val="0055612D"/>
    <w:rsid w:val="005565FA"/>
    <w:rsid w:val="005577B1"/>
    <w:rsid w:val="00557A1A"/>
    <w:rsid w:val="0056188F"/>
    <w:rsid w:val="00561AB3"/>
    <w:rsid w:val="00561CEF"/>
    <w:rsid w:val="00563612"/>
    <w:rsid w:val="00566381"/>
    <w:rsid w:val="005663F3"/>
    <w:rsid w:val="0056688D"/>
    <w:rsid w:val="005674E3"/>
    <w:rsid w:val="00567586"/>
    <w:rsid w:val="005677CF"/>
    <w:rsid w:val="005702B2"/>
    <w:rsid w:val="0057032D"/>
    <w:rsid w:val="00571A8F"/>
    <w:rsid w:val="00571AE5"/>
    <w:rsid w:val="00573B3F"/>
    <w:rsid w:val="005741FE"/>
    <w:rsid w:val="005743A8"/>
    <w:rsid w:val="005752B5"/>
    <w:rsid w:val="0057591F"/>
    <w:rsid w:val="00575E70"/>
    <w:rsid w:val="00576330"/>
    <w:rsid w:val="00576813"/>
    <w:rsid w:val="005776A7"/>
    <w:rsid w:val="00577CAD"/>
    <w:rsid w:val="00580A0A"/>
    <w:rsid w:val="00580B44"/>
    <w:rsid w:val="005815E0"/>
    <w:rsid w:val="00581701"/>
    <w:rsid w:val="00581ADF"/>
    <w:rsid w:val="005832A5"/>
    <w:rsid w:val="00583311"/>
    <w:rsid w:val="00584464"/>
    <w:rsid w:val="005865C5"/>
    <w:rsid w:val="0058667B"/>
    <w:rsid w:val="0058694C"/>
    <w:rsid w:val="00586CC1"/>
    <w:rsid w:val="005871E4"/>
    <w:rsid w:val="00587531"/>
    <w:rsid w:val="0058786F"/>
    <w:rsid w:val="00587A9C"/>
    <w:rsid w:val="00591F0B"/>
    <w:rsid w:val="0059216F"/>
    <w:rsid w:val="00592A24"/>
    <w:rsid w:val="00592EBC"/>
    <w:rsid w:val="0059356C"/>
    <w:rsid w:val="00593D21"/>
    <w:rsid w:val="00593D46"/>
    <w:rsid w:val="00594215"/>
    <w:rsid w:val="005946BF"/>
    <w:rsid w:val="00594C12"/>
    <w:rsid w:val="005963AC"/>
    <w:rsid w:val="00596670"/>
    <w:rsid w:val="00596D57"/>
    <w:rsid w:val="005978D7"/>
    <w:rsid w:val="00597B3B"/>
    <w:rsid w:val="005A01F1"/>
    <w:rsid w:val="005A079F"/>
    <w:rsid w:val="005A0D53"/>
    <w:rsid w:val="005A0DE8"/>
    <w:rsid w:val="005A199F"/>
    <w:rsid w:val="005A27D7"/>
    <w:rsid w:val="005A3BB6"/>
    <w:rsid w:val="005A3FBC"/>
    <w:rsid w:val="005A5F58"/>
    <w:rsid w:val="005A60ED"/>
    <w:rsid w:val="005A779B"/>
    <w:rsid w:val="005B0D64"/>
    <w:rsid w:val="005B1780"/>
    <w:rsid w:val="005B180B"/>
    <w:rsid w:val="005B2297"/>
    <w:rsid w:val="005B24C6"/>
    <w:rsid w:val="005B2CA5"/>
    <w:rsid w:val="005B3219"/>
    <w:rsid w:val="005B3FD3"/>
    <w:rsid w:val="005B447C"/>
    <w:rsid w:val="005B595D"/>
    <w:rsid w:val="005B5DD4"/>
    <w:rsid w:val="005B6B7C"/>
    <w:rsid w:val="005B7131"/>
    <w:rsid w:val="005B7353"/>
    <w:rsid w:val="005B76FA"/>
    <w:rsid w:val="005C07E6"/>
    <w:rsid w:val="005C0C7C"/>
    <w:rsid w:val="005C11F5"/>
    <w:rsid w:val="005C338E"/>
    <w:rsid w:val="005C431C"/>
    <w:rsid w:val="005C48EE"/>
    <w:rsid w:val="005C567A"/>
    <w:rsid w:val="005C5EEB"/>
    <w:rsid w:val="005C6FAC"/>
    <w:rsid w:val="005C7151"/>
    <w:rsid w:val="005C7246"/>
    <w:rsid w:val="005C72BD"/>
    <w:rsid w:val="005D0DA6"/>
    <w:rsid w:val="005D1135"/>
    <w:rsid w:val="005D1A50"/>
    <w:rsid w:val="005D29CD"/>
    <w:rsid w:val="005D3291"/>
    <w:rsid w:val="005D5C91"/>
    <w:rsid w:val="005D5EB6"/>
    <w:rsid w:val="005D688C"/>
    <w:rsid w:val="005D71FD"/>
    <w:rsid w:val="005D7323"/>
    <w:rsid w:val="005D778B"/>
    <w:rsid w:val="005D7A05"/>
    <w:rsid w:val="005D7F88"/>
    <w:rsid w:val="005E0DC2"/>
    <w:rsid w:val="005E1418"/>
    <w:rsid w:val="005E16C5"/>
    <w:rsid w:val="005E1F47"/>
    <w:rsid w:val="005E67E3"/>
    <w:rsid w:val="005E6A60"/>
    <w:rsid w:val="005E7CCB"/>
    <w:rsid w:val="005F0065"/>
    <w:rsid w:val="005F037F"/>
    <w:rsid w:val="005F0E05"/>
    <w:rsid w:val="005F10F7"/>
    <w:rsid w:val="005F11F2"/>
    <w:rsid w:val="005F22EA"/>
    <w:rsid w:val="005F3F98"/>
    <w:rsid w:val="005F56CD"/>
    <w:rsid w:val="005F5C73"/>
    <w:rsid w:val="0060099E"/>
    <w:rsid w:val="006028B1"/>
    <w:rsid w:val="0060328B"/>
    <w:rsid w:val="00603F70"/>
    <w:rsid w:val="00605F53"/>
    <w:rsid w:val="0060659A"/>
    <w:rsid w:val="00606608"/>
    <w:rsid w:val="00606E45"/>
    <w:rsid w:val="00607164"/>
    <w:rsid w:val="006102C4"/>
    <w:rsid w:val="00610B49"/>
    <w:rsid w:val="00610DB7"/>
    <w:rsid w:val="00610F7E"/>
    <w:rsid w:val="0061113D"/>
    <w:rsid w:val="00611D40"/>
    <w:rsid w:val="006147ED"/>
    <w:rsid w:val="00614910"/>
    <w:rsid w:val="006154A1"/>
    <w:rsid w:val="00615554"/>
    <w:rsid w:val="00615B3A"/>
    <w:rsid w:val="00620A94"/>
    <w:rsid w:val="00622AAE"/>
    <w:rsid w:val="00622B86"/>
    <w:rsid w:val="00624126"/>
    <w:rsid w:val="00625745"/>
    <w:rsid w:val="0062582C"/>
    <w:rsid w:val="00627B72"/>
    <w:rsid w:val="00630583"/>
    <w:rsid w:val="0063061D"/>
    <w:rsid w:val="00630837"/>
    <w:rsid w:val="00630B8B"/>
    <w:rsid w:val="00630E60"/>
    <w:rsid w:val="006310EF"/>
    <w:rsid w:val="0063402A"/>
    <w:rsid w:val="00635A3C"/>
    <w:rsid w:val="0063617F"/>
    <w:rsid w:val="00636565"/>
    <w:rsid w:val="0063661D"/>
    <w:rsid w:val="00636794"/>
    <w:rsid w:val="00636D5F"/>
    <w:rsid w:val="00637156"/>
    <w:rsid w:val="00637218"/>
    <w:rsid w:val="0063797E"/>
    <w:rsid w:val="006458CE"/>
    <w:rsid w:val="00645E76"/>
    <w:rsid w:val="00647167"/>
    <w:rsid w:val="006472C3"/>
    <w:rsid w:val="00651322"/>
    <w:rsid w:val="0065352F"/>
    <w:rsid w:val="00653A17"/>
    <w:rsid w:val="00653AB7"/>
    <w:rsid w:val="00654575"/>
    <w:rsid w:val="006554F9"/>
    <w:rsid w:val="00655DC2"/>
    <w:rsid w:val="00656127"/>
    <w:rsid w:val="00657B69"/>
    <w:rsid w:val="0066046E"/>
    <w:rsid w:val="00660781"/>
    <w:rsid w:val="00661A45"/>
    <w:rsid w:val="00664ADF"/>
    <w:rsid w:val="0066535D"/>
    <w:rsid w:val="00665895"/>
    <w:rsid w:val="00666814"/>
    <w:rsid w:val="00666F1E"/>
    <w:rsid w:val="006704E1"/>
    <w:rsid w:val="0067166E"/>
    <w:rsid w:val="00671C35"/>
    <w:rsid w:val="00673908"/>
    <w:rsid w:val="006743D4"/>
    <w:rsid w:val="00675059"/>
    <w:rsid w:val="00676741"/>
    <w:rsid w:val="006768BA"/>
    <w:rsid w:val="006772A2"/>
    <w:rsid w:val="00677493"/>
    <w:rsid w:val="006775C0"/>
    <w:rsid w:val="00677E71"/>
    <w:rsid w:val="0068031E"/>
    <w:rsid w:val="00680531"/>
    <w:rsid w:val="00681B55"/>
    <w:rsid w:val="00685A47"/>
    <w:rsid w:val="00685DA6"/>
    <w:rsid w:val="00687156"/>
    <w:rsid w:val="00687FB3"/>
    <w:rsid w:val="006901C5"/>
    <w:rsid w:val="00690BD5"/>
    <w:rsid w:val="00691226"/>
    <w:rsid w:val="00691C7B"/>
    <w:rsid w:val="00692843"/>
    <w:rsid w:val="006933AA"/>
    <w:rsid w:val="00693D7B"/>
    <w:rsid w:val="00694948"/>
    <w:rsid w:val="00694B83"/>
    <w:rsid w:val="006973EE"/>
    <w:rsid w:val="00697575"/>
    <w:rsid w:val="00697EA6"/>
    <w:rsid w:val="006A0A27"/>
    <w:rsid w:val="006A1B93"/>
    <w:rsid w:val="006A1F25"/>
    <w:rsid w:val="006A22DE"/>
    <w:rsid w:val="006A26B9"/>
    <w:rsid w:val="006A2722"/>
    <w:rsid w:val="006A287B"/>
    <w:rsid w:val="006A30E4"/>
    <w:rsid w:val="006A32E7"/>
    <w:rsid w:val="006A49B3"/>
    <w:rsid w:val="006A4B65"/>
    <w:rsid w:val="006A5427"/>
    <w:rsid w:val="006A5485"/>
    <w:rsid w:val="006A59E3"/>
    <w:rsid w:val="006A5BD5"/>
    <w:rsid w:val="006A5E73"/>
    <w:rsid w:val="006A75C7"/>
    <w:rsid w:val="006A7ADE"/>
    <w:rsid w:val="006A7D4E"/>
    <w:rsid w:val="006B0053"/>
    <w:rsid w:val="006B1558"/>
    <w:rsid w:val="006B2FDE"/>
    <w:rsid w:val="006B3BF2"/>
    <w:rsid w:val="006B44C7"/>
    <w:rsid w:val="006B5896"/>
    <w:rsid w:val="006B614F"/>
    <w:rsid w:val="006B6E33"/>
    <w:rsid w:val="006B7425"/>
    <w:rsid w:val="006B7697"/>
    <w:rsid w:val="006C07DC"/>
    <w:rsid w:val="006C085D"/>
    <w:rsid w:val="006C2DDF"/>
    <w:rsid w:val="006C4CAB"/>
    <w:rsid w:val="006C4FD8"/>
    <w:rsid w:val="006C5CEF"/>
    <w:rsid w:val="006C6299"/>
    <w:rsid w:val="006C692D"/>
    <w:rsid w:val="006C6B76"/>
    <w:rsid w:val="006C6DE3"/>
    <w:rsid w:val="006D1753"/>
    <w:rsid w:val="006D1CDF"/>
    <w:rsid w:val="006D26F0"/>
    <w:rsid w:val="006D3313"/>
    <w:rsid w:val="006D42BA"/>
    <w:rsid w:val="006E0AA5"/>
    <w:rsid w:val="006E0D0C"/>
    <w:rsid w:val="006E30D0"/>
    <w:rsid w:val="006E33C4"/>
    <w:rsid w:val="006E353D"/>
    <w:rsid w:val="006E3A15"/>
    <w:rsid w:val="006E3A7F"/>
    <w:rsid w:val="006E4E35"/>
    <w:rsid w:val="006E6B46"/>
    <w:rsid w:val="006E6CB5"/>
    <w:rsid w:val="006F1F29"/>
    <w:rsid w:val="006F52E0"/>
    <w:rsid w:val="006F556C"/>
    <w:rsid w:val="006F6976"/>
    <w:rsid w:val="006F7273"/>
    <w:rsid w:val="006F74E8"/>
    <w:rsid w:val="006F76C3"/>
    <w:rsid w:val="006F7A5B"/>
    <w:rsid w:val="00700A1D"/>
    <w:rsid w:val="00700C5B"/>
    <w:rsid w:val="00702C1F"/>
    <w:rsid w:val="00702C24"/>
    <w:rsid w:val="007050C1"/>
    <w:rsid w:val="00705932"/>
    <w:rsid w:val="00707097"/>
    <w:rsid w:val="007078AE"/>
    <w:rsid w:val="007103C9"/>
    <w:rsid w:val="00710A54"/>
    <w:rsid w:val="0071247E"/>
    <w:rsid w:val="007125C0"/>
    <w:rsid w:val="00712979"/>
    <w:rsid w:val="00713EE0"/>
    <w:rsid w:val="00714496"/>
    <w:rsid w:val="00714EC2"/>
    <w:rsid w:val="007150B4"/>
    <w:rsid w:val="00717A39"/>
    <w:rsid w:val="0072131F"/>
    <w:rsid w:val="00721340"/>
    <w:rsid w:val="00721416"/>
    <w:rsid w:val="00722D34"/>
    <w:rsid w:val="00723DAF"/>
    <w:rsid w:val="00724557"/>
    <w:rsid w:val="00724F81"/>
    <w:rsid w:val="007260A2"/>
    <w:rsid w:val="00727BFE"/>
    <w:rsid w:val="00730B48"/>
    <w:rsid w:val="007315FD"/>
    <w:rsid w:val="00731F12"/>
    <w:rsid w:val="00736555"/>
    <w:rsid w:val="00737527"/>
    <w:rsid w:val="00737534"/>
    <w:rsid w:val="00737742"/>
    <w:rsid w:val="007379A2"/>
    <w:rsid w:val="00737A7E"/>
    <w:rsid w:val="00740094"/>
    <w:rsid w:val="00740340"/>
    <w:rsid w:val="00741534"/>
    <w:rsid w:val="00741B40"/>
    <w:rsid w:val="00742EE9"/>
    <w:rsid w:val="00744FFC"/>
    <w:rsid w:val="007459A5"/>
    <w:rsid w:val="00747007"/>
    <w:rsid w:val="007471E3"/>
    <w:rsid w:val="00747C67"/>
    <w:rsid w:val="007515FF"/>
    <w:rsid w:val="007516F3"/>
    <w:rsid w:val="007519B7"/>
    <w:rsid w:val="00751BE0"/>
    <w:rsid w:val="00752D80"/>
    <w:rsid w:val="00753F64"/>
    <w:rsid w:val="0075582C"/>
    <w:rsid w:val="00761BA7"/>
    <w:rsid w:val="007622DA"/>
    <w:rsid w:val="007625F8"/>
    <w:rsid w:val="007626C9"/>
    <w:rsid w:val="00762B38"/>
    <w:rsid w:val="0076319A"/>
    <w:rsid w:val="007644E1"/>
    <w:rsid w:val="00765103"/>
    <w:rsid w:val="00765AED"/>
    <w:rsid w:val="00766C07"/>
    <w:rsid w:val="00770F26"/>
    <w:rsid w:val="00773A3A"/>
    <w:rsid w:val="00774832"/>
    <w:rsid w:val="007751F3"/>
    <w:rsid w:val="007759D4"/>
    <w:rsid w:val="00775F1A"/>
    <w:rsid w:val="0077603C"/>
    <w:rsid w:val="0077637F"/>
    <w:rsid w:val="00776639"/>
    <w:rsid w:val="00781C2F"/>
    <w:rsid w:val="0078209C"/>
    <w:rsid w:val="0078337C"/>
    <w:rsid w:val="00783D68"/>
    <w:rsid w:val="007848C7"/>
    <w:rsid w:val="0078572B"/>
    <w:rsid w:val="007860C7"/>
    <w:rsid w:val="007862A6"/>
    <w:rsid w:val="007863F4"/>
    <w:rsid w:val="00790FDD"/>
    <w:rsid w:val="007914B8"/>
    <w:rsid w:val="007944B0"/>
    <w:rsid w:val="00796F26"/>
    <w:rsid w:val="00797BB8"/>
    <w:rsid w:val="007A0A6E"/>
    <w:rsid w:val="007A0F3A"/>
    <w:rsid w:val="007A37AE"/>
    <w:rsid w:val="007A4FF1"/>
    <w:rsid w:val="007A7B25"/>
    <w:rsid w:val="007B12E4"/>
    <w:rsid w:val="007B1B07"/>
    <w:rsid w:val="007B3D0F"/>
    <w:rsid w:val="007B5B28"/>
    <w:rsid w:val="007B637F"/>
    <w:rsid w:val="007B7149"/>
    <w:rsid w:val="007B7BD8"/>
    <w:rsid w:val="007C036C"/>
    <w:rsid w:val="007C0B8B"/>
    <w:rsid w:val="007C1328"/>
    <w:rsid w:val="007C2B18"/>
    <w:rsid w:val="007C2C1B"/>
    <w:rsid w:val="007C326E"/>
    <w:rsid w:val="007C504D"/>
    <w:rsid w:val="007C611A"/>
    <w:rsid w:val="007C6E9E"/>
    <w:rsid w:val="007C7E5B"/>
    <w:rsid w:val="007D1666"/>
    <w:rsid w:val="007D1F22"/>
    <w:rsid w:val="007D5443"/>
    <w:rsid w:val="007E050E"/>
    <w:rsid w:val="007E0873"/>
    <w:rsid w:val="007E1189"/>
    <w:rsid w:val="007E204D"/>
    <w:rsid w:val="007E3D0D"/>
    <w:rsid w:val="007E4BE7"/>
    <w:rsid w:val="007E4F07"/>
    <w:rsid w:val="007E605C"/>
    <w:rsid w:val="007E7D4F"/>
    <w:rsid w:val="007F0EC0"/>
    <w:rsid w:val="007F16DD"/>
    <w:rsid w:val="007F186E"/>
    <w:rsid w:val="007F1C24"/>
    <w:rsid w:val="007F1ED6"/>
    <w:rsid w:val="007F2584"/>
    <w:rsid w:val="007F44C7"/>
    <w:rsid w:val="007F4AE8"/>
    <w:rsid w:val="007F55B3"/>
    <w:rsid w:val="007F582E"/>
    <w:rsid w:val="007F5D61"/>
    <w:rsid w:val="007F5F93"/>
    <w:rsid w:val="00800F86"/>
    <w:rsid w:val="008011D6"/>
    <w:rsid w:val="00801D91"/>
    <w:rsid w:val="0080284F"/>
    <w:rsid w:val="008031BE"/>
    <w:rsid w:val="00803E94"/>
    <w:rsid w:val="0080548C"/>
    <w:rsid w:val="0080645A"/>
    <w:rsid w:val="00806692"/>
    <w:rsid w:val="00806DCE"/>
    <w:rsid w:val="0081135F"/>
    <w:rsid w:val="008113C5"/>
    <w:rsid w:val="008119BE"/>
    <w:rsid w:val="008127F0"/>
    <w:rsid w:val="00813148"/>
    <w:rsid w:val="008135F4"/>
    <w:rsid w:val="00813A92"/>
    <w:rsid w:val="00814AE5"/>
    <w:rsid w:val="00814D6C"/>
    <w:rsid w:val="0081534E"/>
    <w:rsid w:val="008162F8"/>
    <w:rsid w:val="00816D9C"/>
    <w:rsid w:val="00816F14"/>
    <w:rsid w:val="008171EC"/>
    <w:rsid w:val="00817253"/>
    <w:rsid w:val="00820CEB"/>
    <w:rsid w:val="00824FE6"/>
    <w:rsid w:val="008252E4"/>
    <w:rsid w:val="0083047D"/>
    <w:rsid w:val="00830975"/>
    <w:rsid w:val="008317F3"/>
    <w:rsid w:val="00831D59"/>
    <w:rsid w:val="00831E9C"/>
    <w:rsid w:val="00832ECB"/>
    <w:rsid w:val="00833276"/>
    <w:rsid w:val="008332D5"/>
    <w:rsid w:val="008333C8"/>
    <w:rsid w:val="00834807"/>
    <w:rsid w:val="00835414"/>
    <w:rsid w:val="0083642E"/>
    <w:rsid w:val="00837C29"/>
    <w:rsid w:val="00840125"/>
    <w:rsid w:val="00840A74"/>
    <w:rsid w:val="008448A2"/>
    <w:rsid w:val="00844C1F"/>
    <w:rsid w:val="00844FE6"/>
    <w:rsid w:val="00845A53"/>
    <w:rsid w:val="00846263"/>
    <w:rsid w:val="008467D5"/>
    <w:rsid w:val="00846A2F"/>
    <w:rsid w:val="00846D0C"/>
    <w:rsid w:val="00847B4C"/>
    <w:rsid w:val="00850189"/>
    <w:rsid w:val="0085097A"/>
    <w:rsid w:val="008511A6"/>
    <w:rsid w:val="00853993"/>
    <w:rsid w:val="0085580D"/>
    <w:rsid w:val="00856CDA"/>
    <w:rsid w:val="008571BE"/>
    <w:rsid w:val="00861D4A"/>
    <w:rsid w:val="00861D7F"/>
    <w:rsid w:val="008626B8"/>
    <w:rsid w:val="00862A8A"/>
    <w:rsid w:val="00862FF6"/>
    <w:rsid w:val="00863D19"/>
    <w:rsid w:val="008643F9"/>
    <w:rsid w:val="00864F4B"/>
    <w:rsid w:val="00866BE7"/>
    <w:rsid w:val="00867420"/>
    <w:rsid w:val="008679AB"/>
    <w:rsid w:val="00867F6B"/>
    <w:rsid w:val="00867FFD"/>
    <w:rsid w:val="00872EDE"/>
    <w:rsid w:val="00873FD6"/>
    <w:rsid w:val="00874FB8"/>
    <w:rsid w:val="00875DDE"/>
    <w:rsid w:val="00876A08"/>
    <w:rsid w:val="00880F24"/>
    <w:rsid w:val="008811CD"/>
    <w:rsid w:val="0088301E"/>
    <w:rsid w:val="00884A77"/>
    <w:rsid w:val="008914A4"/>
    <w:rsid w:val="0089180D"/>
    <w:rsid w:val="00892A2F"/>
    <w:rsid w:val="00893173"/>
    <w:rsid w:val="00893713"/>
    <w:rsid w:val="00893775"/>
    <w:rsid w:val="008937C7"/>
    <w:rsid w:val="008953C1"/>
    <w:rsid w:val="00895E0C"/>
    <w:rsid w:val="0089649C"/>
    <w:rsid w:val="00896E74"/>
    <w:rsid w:val="008972BB"/>
    <w:rsid w:val="008A1CCE"/>
    <w:rsid w:val="008A294F"/>
    <w:rsid w:val="008A2C54"/>
    <w:rsid w:val="008A2DC3"/>
    <w:rsid w:val="008A3618"/>
    <w:rsid w:val="008A5029"/>
    <w:rsid w:val="008A5868"/>
    <w:rsid w:val="008A6997"/>
    <w:rsid w:val="008A6AFD"/>
    <w:rsid w:val="008A6CE8"/>
    <w:rsid w:val="008A6F98"/>
    <w:rsid w:val="008A773E"/>
    <w:rsid w:val="008A7984"/>
    <w:rsid w:val="008B0A78"/>
    <w:rsid w:val="008B1013"/>
    <w:rsid w:val="008B1BA7"/>
    <w:rsid w:val="008B1EE5"/>
    <w:rsid w:val="008B3358"/>
    <w:rsid w:val="008B33A3"/>
    <w:rsid w:val="008B3AFF"/>
    <w:rsid w:val="008B407E"/>
    <w:rsid w:val="008B4E6D"/>
    <w:rsid w:val="008B5DE4"/>
    <w:rsid w:val="008B69AB"/>
    <w:rsid w:val="008B6C27"/>
    <w:rsid w:val="008C0355"/>
    <w:rsid w:val="008C0AD1"/>
    <w:rsid w:val="008C1922"/>
    <w:rsid w:val="008C19FB"/>
    <w:rsid w:val="008C4A8A"/>
    <w:rsid w:val="008C4BC6"/>
    <w:rsid w:val="008C5BEF"/>
    <w:rsid w:val="008C7D02"/>
    <w:rsid w:val="008D0813"/>
    <w:rsid w:val="008D1B88"/>
    <w:rsid w:val="008D219E"/>
    <w:rsid w:val="008D37BF"/>
    <w:rsid w:val="008D5472"/>
    <w:rsid w:val="008D60CF"/>
    <w:rsid w:val="008D62F7"/>
    <w:rsid w:val="008D6D41"/>
    <w:rsid w:val="008D6F99"/>
    <w:rsid w:val="008D7C65"/>
    <w:rsid w:val="008D7D1F"/>
    <w:rsid w:val="008E00D5"/>
    <w:rsid w:val="008E075B"/>
    <w:rsid w:val="008E14AD"/>
    <w:rsid w:val="008E2A8D"/>
    <w:rsid w:val="008E5B1C"/>
    <w:rsid w:val="008E60C7"/>
    <w:rsid w:val="008E64D5"/>
    <w:rsid w:val="008E68FF"/>
    <w:rsid w:val="008E6EFF"/>
    <w:rsid w:val="008F0F73"/>
    <w:rsid w:val="008F15EB"/>
    <w:rsid w:val="008F1D78"/>
    <w:rsid w:val="008F39AC"/>
    <w:rsid w:val="008F4E9B"/>
    <w:rsid w:val="008F5B60"/>
    <w:rsid w:val="008F6EEE"/>
    <w:rsid w:val="00900A60"/>
    <w:rsid w:val="00902AFD"/>
    <w:rsid w:val="0090403A"/>
    <w:rsid w:val="00904653"/>
    <w:rsid w:val="009048F2"/>
    <w:rsid w:val="00904962"/>
    <w:rsid w:val="00904AF3"/>
    <w:rsid w:val="0090517C"/>
    <w:rsid w:val="009067B5"/>
    <w:rsid w:val="009067F3"/>
    <w:rsid w:val="00906AA2"/>
    <w:rsid w:val="0090707D"/>
    <w:rsid w:val="00907AC4"/>
    <w:rsid w:val="00910379"/>
    <w:rsid w:val="0091078D"/>
    <w:rsid w:val="009114E5"/>
    <w:rsid w:val="00912ED9"/>
    <w:rsid w:val="00912FE2"/>
    <w:rsid w:val="00913AE1"/>
    <w:rsid w:val="00914AA1"/>
    <w:rsid w:val="00914BD5"/>
    <w:rsid w:val="009204DB"/>
    <w:rsid w:val="0092420F"/>
    <w:rsid w:val="00924D76"/>
    <w:rsid w:val="009253EF"/>
    <w:rsid w:val="0092636D"/>
    <w:rsid w:val="009276F7"/>
    <w:rsid w:val="0093075A"/>
    <w:rsid w:val="00930CBF"/>
    <w:rsid w:val="00933FDE"/>
    <w:rsid w:val="009342DD"/>
    <w:rsid w:val="00935D8A"/>
    <w:rsid w:val="00935D9B"/>
    <w:rsid w:val="0093608D"/>
    <w:rsid w:val="00936FA6"/>
    <w:rsid w:val="00937175"/>
    <w:rsid w:val="0094193C"/>
    <w:rsid w:val="00941DCD"/>
    <w:rsid w:val="00943D61"/>
    <w:rsid w:val="009442C6"/>
    <w:rsid w:val="00944AD0"/>
    <w:rsid w:val="00944E85"/>
    <w:rsid w:val="009471DE"/>
    <w:rsid w:val="00950BAA"/>
    <w:rsid w:val="00951689"/>
    <w:rsid w:val="00952725"/>
    <w:rsid w:val="00952B00"/>
    <w:rsid w:val="00952C23"/>
    <w:rsid w:val="00952F3F"/>
    <w:rsid w:val="009531BB"/>
    <w:rsid w:val="0095350F"/>
    <w:rsid w:val="00954CFF"/>
    <w:rsid w:val="00954E55"/>
    <w:rsid w:val="00956354"/>
    <w:rsid w:val="00956740"/>
    <w:rsid w:val="00957005"/>
    <w:rsid w:val="00957A40"/>
    <w:rsid w:val="00957B93"/>
    <w:rsid w:val="00960866"/>
    <w:rsid w:val="00960EEF"/>
    <w:rsid w:val="00963E19"/>
    <w:rsid w:val="009648FD"/>
    <w:rsid w:val="00964983"/>
    <w:rsid w:val="00965529"/>
    <w:rsid w:val="00965DE2"/>
    <w:rsid w:val="00966D78"/>
    <w:rsid w:val="00966ECE"/>
    <w:rsid w:val="00966EEC"/>
    <w:rsid w:val="00967C10"/>
    <w:rsid w:val="00970F79"/>
    <w:rsid w:val="009717FF"/>
    <w:rsid w:val="009725C3"/>
    <w:rsid w:val="00972C5C"/>
    <w:rsid w:val="009730A9"/>
    <w:rsid w:val="00973192"/>
    <w:rsid w:val="00973746"/>
    <w:rsid w:val="00974997"/>
    <w:rsid w:val="00975973"/>
    <w:rsid w:val="00975E88"/>
    <w:rsid w:val="0097614F"/>
    <w:rsid w:val="00976983"/>
    <w:rsid w:val="0097708B"/>
    <w:rsid w:val="00977F05"/>
    <w:rsid w:val="0098081D"/>
    <w:rsid w:val="00980F8E"/>
    <w:rsid w:val="009816EC"/>
    <w:rsid w:val="00982995"/>
    <w:rsid w:val="009829BC"/>
    <w:rsid w:val="009830D1"/>
    <w:rsid w:val="00984056"/>
    <w:rsid w:val="00984297"/>
    <w:rsid w:val="0098484C"/>
    <w:rsid w:val="00984B78"/>
    <w:rsid w:val="009860F7"/>
    <w:rsid w:val="00986805"/>
    <w:rsid w:val="00986977"/>
    <w:rsid w:val="00986BE3"/>
    <w:rsid w:val="00987165"/>
    <w:rsid w:val="0099080D"/>
    <w:rsid w:val="00990913"/>
    <w:rsid w:val="00991CBE"/>
    <w:rsid w:val="0099232E"/>
    <w:rsid w:val="009931F4"/>
    <w:rsid w:val="00993470"/>
    <w:rsid w:val="00993D85"/>
    <w:rsid w:val="0099697F"/>
    <w:rsid w:val="00997255"/>
    <w:rsid w:val="00997CFC"/>
    <w:rsid w:val="009A09C8"/>
    <w:rsid w:val="009A0AD7"/>
    <w:rsid w:val="009A0E31"/>
    <w:rsid w:val="009A0ED1"/>
    <w:rsid w:val="009A11DB"/>
    <w:rsid w:val="009A2EA9"/>
    <w:rsid w:val="009A3151"/>
    <w:rsid w:val="009A3CC6"/>
    <w:rsid w:val="009A40EF"/>
    <w:rsid w:val="009A57D8"/>
    <w:rsid w:val="009A5854"/>
    <w:rsid w:val="009A7224"/>
    <w:rsid w:val="009A7EB9"/>
    <w:rsid w:val="009B0244"/>
    <w:rsid w:val="009B0A7B"/>
    <w:rsid w:val="009B105F"/>
    <w:rsid w:val="009B173E"/>
    <w:rsid w:val="009B1CD2"/>
    <w:rsid w:val="009B27AB"/>
    <w:rsid w:val="009B27C2"/>
    <w:rsid w:val="009B42D1"/>
    <w:rsid w:val="009B4A30"/>
    <w:rsid w:val="009B55EF"/>
    <w:rsid w:val="009B5EDA"/>
    <w:rsid w:val="009B5FCD"/>
    <w:rsid w:val="009B63C0"/>
    <w:rsid w:val="009B6E69"/>
    <w:rsid w:val="009C0297"/>
    <w:rsid w:val="009C1B7F"/>
    <w:rsid w:val="009C30CE"/>
    <w:rsid w:val="009C3ABE"/>
    <w:rsid w:val="009C3C45"/>
    <w:rsid w:val="009C4C1A"/>
    <w:rsid w:val="009C511C"/>
    <w:rsid w:val="009C5297"/>
    <w:rsid w:val="009C68B5"/>
    <w:rsid w:val="009C6CB9"/>
    <w:rsid w:val="009C6F69"/>
    <w:rsid w:val="009C74DC"/>
    <w:rsid w:val="009C76F3"/>
    <w:rsid w:val="009D1878"/>
    <w:rsid w:val="009D2B49"/>
    <w:rsid w:val="009D3578"/>
    <w:rsid w:val="009D3D72"/>
    <w:rsid w:val="009D4BBC"/>
    <w:rsid w:val="009D4DF5"/>
    <w:rsid w:val="009D5C2A"/>
    <w:rsid w:val="009D5EA2"/>
    <w:rsid w:val="009D60B6"/>
    <w:rsid w:val="009D6418"/>
    <w:rsid w:val="009D7A95"/>
    <w:rsid w:val="009D7B07"/>
    <w:rsid w:val="009E2770"/>
    <w:rsid w:val="009E3DAA"/>
    <w:rsid w:val="009E438C"/>
    <w:rsid w:val="009E461B"/>
    <w:rsid w:val="009E4B48"/>
    <w:rsid w:val="009E5742"/>
    <w:rsid w:val="009E58F5"/>
    <w:rsid w:val="009E786A"/>
    <w:rsid w:val="009F0B59"/>
    <w:rsid w:val="009F0D6C"/>
    <w:rsid w:val="009F19D4"/>
    <w:rsid w:val="009F1B59"/>
    <w:rsid w:val="009F38E0"/>
    <w:rsid w:val="009F57F6"/>
    <w:rsid w:val="009F5E04"/>
    <w:rsid w:val="009F5E82"/>
    <w:rsid w:val="009F7207"/>
    <w:rsid w:val="009F77F8"/>
    <w:rsid w:val="00A00E36"/>
    <w:rsid w:val="00A00E73"/>
    <w:rsid w:val="00A018EE"/>
    <w:rsid w:val="00A01CD9"/>
    <w:rsid w:val="00A0342C"/>
    <w:rsid w:val="00A0540B"/>
    <w:rsid w:val="00A0551C"/>
    <w:rsid w:val="00A070F4"/>
    <w:rsid w:val="00A10457"/>
    <w:rsid w:val="00A11437"/>
    <w:rsid w:val="00A12058"/>
    <w:rsid w:val="00A120DD"/>
    <w:rsid w:val="00A12291"/>
    <w:rsid w:val="00A129F4"/>
    <w:rsid w:val="00A13781"/>
    <w:rsid w:val="00A1499E"/>
    <w:rsid w:val="00A15F52"/>
    <w:rsid w:val="00A17697"/>
    <w:rsid w:val="00A201ED"/>
    <w:rsid w:val="00A207D5"/>
    <w:rsid w:val="00A2110F"/>
    <w:rsid w:val="00A22DD8"/>
    <w:rsid w:val="00A23243"/>
    <w:rsid w:val="00A23639"/>
    <w:rsid w:val="00A23BFC"/>
    <w:rsid w:val="00A244A2"/>
    <w:rsid w:val="00A24963"/>
    <w:rsid w:val="00A25ADB"/>
    <w:rsid w:val="00A263E8"/>
    <w:rsid w:val="00A31653"/>
    <w:rsid w:val="00A32054"/>
    <w:rsid w:val="00A32E1C"/>
    <w:rsid w:val="00A32F6D"/>
    <w:rsid w:val="00A3367E"/>
    <w:rsid w:val="00A3444F"/>
    <w:rsid w:val="00A35441"/>
    <w:rsid w:val="00A36835"/>
    <w:rsid w:val="00A37867"/>
    <w:rsid w:val="00A37B47"/>
    <w:rsid w:val="00A40887"/>
    <w:rsid w:val="00A40A29"/>
    <w:rsid w:val="00A40CC1"/>
    <w:rsid w:val="00A41985"/>
    <w:rsid w:val="00A41EAD"/>
    <w:rsid w:val="00A4362F"/>
    <w:rsid w:val="00A438A2"/>
    <w:rsid w:val="00A43B2D"/>
    <w:rsid w:val="00A463DC"/>
    <w:rsid w:val="00A467EC"/>
    <w:rsid w:val="00A46F07"/>
    <w:rsid w:val="00A47052"/>
    <w:rsid w:val="00A473CB"/>
    <w:rsid w:val="00A5218B"/>
    <w:rsid w:val="00A52715"/>
    <w:rsid w:val="00A53015"/>
    <w:rsid w:val="00A53803"/>
    <w:rsid w:val="00A54334"/>
    <w:rsid w:val="00A5495D"/>
    <w:rsid w:val="00A55507"/>
    <w:rsid w:val="00A57CEA"/>
    <w:rsid w:val="00A600B2"/>
    <w:rsid w:val="00A6152A"/>
    <w:rsid w:val="00A61698"/>
    <w:rsid w:val="00A61D40"/>
    <w:rsid w:val="00A6217B"/>
    <w:rsid w:val="00A62DA3"/>
    <w:rsid w:val="00A6312E"/>
    <w:rsid w:val="00A64BAD"/>
    <w:rsid w:val="00A7066C"/>
    <w:rsid w:val="00A71DE3"/>
    <w:rsid w:val="00A7244A"/>
    <w:rsid w:val="00A725A5"/>
    <w:rsid w:val="00A735D0"/>
    <w:rsid w:val="00A7368F"/>
    <w:rsid w:val="00A73861"/>
    <w:rsid w:val="00A807B6"/>
    <w:rsid w:val="00A81124"/>
    <w:rsid w:val="00A81E33"/>
    <w:rsid w:val="00A822A9"/>
    <w:rsid w:val="00A827E0"/>
    <w:rsid w:val="00A82A17"/>
    <w:rsid w:val="00A839DB"/>
    <w:rsid w:val="00A83D1A"/>
    <w:rsid w:val="00A83FBA"/>
    <w:rsid w:val="00A84199"/>
    <w:rsid w:val="00A84D03"/>
    <w:rsid w:val="00A851A9"/>
    <w:rsid w:val="00A85298"/>
    <w:rsid w:val="00A86A77"/>
    <w:rsid w:val="00A8741B"/>
    <w:rsid w:val="00A904B8"/>
    <w:rsid w:val="00A90FCE"/>
    <w:rsid w:val="00A9267C"/>
    <w:rsid w:val="00A930B4"/>
    <w:rsid w:val="00A93947"/>
    <w:rsid w:val="00A95042"/>
    <w:rsid w:val="00A95771"/>
    <w:rsid w:val="00A962A2"/>
    <w:rsid w:val="00A97465"/>
    <w:rsid w:val="00A97A27"/>
    <w:rsid w:val="00A97A42"/>
    <w:rsid w:val="00AA13E6"/>
    <w:rsid w:val="00AA22FB"/>
    <w:rsid w:val="00AA2D3F"/>
    <w:rsid w:val="00AA33DB"/>
    <w:rsid w:val="00AA5085"/>
    <w:rsid w:val="00AA537F"/>
    <w:rsid w:val="00AA629E"/>
    <w:rsid w:val="00AA6514"/>
    <w:rsid w:val="00AB0670"/>
    <w:rsid w:val="00AB0DDB"/>
    <w:rsid w:val="00AB16AA"/>
    <w:rsid w:val="00AB36B8"/>
    <w:rsid w:val="00AB442E"/>
    <w:rsid w:val="00AB4F30"/>
    <w:rsid w:val="00AB55DA"/>
    <w:rsid w:val="00AB5C34"/>
    <w:rsid w:val="00AC0398"/>
    <w:rsid w:val="00AC3F0A"/>
    <w:rsid w:val="00AC4412"/>
    <w:rsid w:val="00AC47C1"/>
    <w:rsid w:val="00AC4EBE"/>
    <w:rsid w:val="00AC505B"/>
    <w:rsid w:val="00AC5493"/>
    <w:rsid w:val="00AC5BEC"/>
    <w:rsid w:val="00AC77D8"/>
    <w:rsid w:val="00AC7EA8"/>
    <w:rsid w:val="00AD0A45"/>
    <w:rsid w:val="00AD1960"/>
    <w:rsid w:val="00AD37B4"/>
    <w:rsid w:val="00AD4E68"/>
    <w:rsid w:val="00AD584A"/>
    <w:rsid w:val="00AD715D"/>
    <w:rsid w:val="00AD7928"/>
    <w:rsid w:val="00AE0C6A"/>
    <w:rsid w:val="00AE1308"/>
    <w:rsid w:val="00AE1516"/>
    <w:rsid w:val="00AE34DF"/>
    <w:rsid w:val="00AE3AA1"/>
    <w:rsid w:val="00AE4575"/>
    <w:rsid w:val="00AE6CB2"/>
    <w:rsid w:val="00AF1071"/>
    <w:rsid w:val="00AF3E84"/>
    <w:rsid w:val="00AF3F80"/>
    <w:rsid w:val="00AF4715"/>
    <w:rsid w:val="00AF6389"/>
    <w:rsid w:val="00AF67F7"/>
    <w:rsid w:val="00AF6AB9"/>
    <w:rsid w:val="00AF7A4E"/>
    <w:rsid w:val="00AF7A98"/>
    <w:rsid w:val="00B00946"/>
    <w:rsid w:val="00B01034"/>
    <w:rsid w:val="00B014EC"/>
    <w:rsid w:val="00B01E50"/>
    <w:rsid w:val="00B03C82"/>
    <w:rsid w:val="00B06A1D"/>
    <w:rsid w:val="00B06EDE"/>
    <w:rsid w:val="00B07264"/>
    <w:rsid w:val="00B07ACA"/>
    <w:rsid w:val="00B07F2D"/>
    <w:rsid w:val="00B130F5"/>
    <w:rsid w:val="00B13203"/>
    <w:rsid w:val="00B13A74"/>
    <w:rsid w:val="00B1489D"/>
    <w:rsid w:val="00B14C0E"/>
    <w:rsid w:val="00B1559C"/>
    <w:rsid w:val="00B1602D"/>
    <w:rsid w:val="00B1682A"/>
    <w:rsid w:val="00B17B20"/>
    <w:rsid w:val="00B202E6"/>
    <w:rsid w:val="00B21148"/>
    <w:rsid w:val="00B22A01"/>
    <w:rsid w:val="00B22F13"/>
    <w:rsid w:val="00B23F2D"/>
    <w:rsid w:val="00B23F7D"/>
    <w:rsid w:val="00B24394"/>
    <w:rsid w:val="00B2480B"/>
    <w:rsid w:val="00B24D70"/>
    <w:rsid w:val="00B257D6"/>
    <w:rsid w:val="00B272F4"/>
    <w:rsid w:val="00B278BF"/>
    <w:rsid w:val="00B316A7"/>
    <w:rsid w:val="00B3265B"/>
    <w:rsid w:val="00B32F94"/>
    <w:rsid w:val="00B32FF1"/>
    <w:rsid w:val="00B338CA"/>
    <w:rsid w:val="00B357C7"/>
    <w:rsid w:val="00B367AA"/>
    <w:rsid w:val="00B37309"/>
    <w:rsid w:val="00B4116D"/>
    <w:rsid w:val="00B419F9"/>
    <w:rsid w:val="00B41A90"/>
    <w:rsid w:val="00B426CC"/>
    <w:rsid w:val="00B427C7"/>
    <w:rsid w:val="00B42AAD"/>
    <w:rsid w:val="00B4328E"/>
    <w:rsid w:val="00B43F1A"/>
    <w:rsid w:val="00B4670B"/>
    <w:rsid w:val="00B4692C"/>
    <w:rsid w:val="00B46FE2"/>
    <w:rsid w:val="00B471D9"/>
    <w:rsid w:val="00B501C4"/>
    <w:rsid w:val="00B501E7"/>
    <w:rsid w:val="00B50337"/>
    <w:rsid w:val="00B51355"/>
    <w:rsid w:val="00B537B5"/>
    <w:rsid w:val="00B55355"/>
    <w:rsid w:val="00B55484"/>
    <w:rsid w:val="00B563F8"/>
    <w:rsid w:val="00B56809"/>
    <w:rsid w:val="00B5715F"/>
    <w:rsid w:val="00B60FC4"/>
    <w:rsid w:val="00B618F8"/>
    <w:rsid w:val="00B61A45"/>
    <w:rsid w:val="00B62D46"/>
    <w:rsid w:val="00B65A2C"/>
    <w:rsid w:val="00B65F51"/>
    <w:rsid w:val="00B67ECD"/>
    <w:rsid w:val="00B71855"/>
    <w:rsid w:val="00B72B6C"/>
    <w:rsid w:val="00B72D69"/>
    <w:rsid w:val="00B73270"/>
    <w:rsid w:val="00B7431F"/>
    <w:rsid w:val="00B7437A"/>
    <w:rsid w:val="00B77383"/>
    <w:rsid w:val="00B77ED3"/>
    <w:rsid w:val="00B8076A"/>
    <w:rsid w:val="00B80CC6"/>
    <w:rsid w:val="00B81A70"/>
    <w:rsid w:val="00B8220E"/>
    <w:rsid w:val="00B82316"/>
    <w:rsid w:val="00B83CB3"/>
    <w:rsid w:val="00B84429"/>
    <w:rsid w:val="00B851B6"/>
    <w:rsid w:val="00B85E5F"/>
    <w:rsid w:val="00B861D6"/>
    <w:rsid w:val="00B879CA"/>
    <w:rsid w:val="00B912BF"/>
    <w:rsid w:val="00B91418"/>
    <w:rsid w:val="00B914FE"/>
    <w:rsid w:val="00B9159F"/>
    <w:rsid w:val="00B9343C"/>
    <w:rsid w:val="00B974D9"/>
    <w:rsid w:val="00B97CEE"/>
    <w:rsid w:val="00BA0080"/>
    <w:rsid w:val="00BA01C7"/>
    <w:rsid w:val="00BA15E8"/>
    <w:rsid w:val="00BA3B9D"/>
    <w:rsid w:val="00BA3C3F"/>
    <w:rsid w:val="00BA4101"/>
    <w:rsid w:val="00BA4369"/>
    <w:rsid w:val="00BA5CF1"/>
    <w:rsid w:val="00BA5F55"/>
    <w:rsid w:val="00BA6AA4"/>
    <w:rsid w:val="00BA6D59"/>
    <w:rsid w:val="00BA6D6F"/>
    <w:rsid w:val="00BB2E35"/>
    <w:rsid w:val="00BB46E5"/>
    <w:rsid w:val="00BC13E1"/>
    <w:rsid w:val="00BC13F3"/>
    <w:rsid w:val="00BC17B0"/>
    <w:rsid w:val="00BC2160"/>
    <w:rsid w:val="00BC3BDF"/>
    <w:rsid w:val="00BC48C1"/>
    <w:rsid w:val="00BC50E0"/>
    <w:rsid w:val="00BC5D60"/>
    <w:rsid w:val="00BC6B36"/>
    <w:rsid w:val="00BC6EDB"/>
    <w:rsid w:val="00BC7C95"/>
    <w:rsid w:val="00BD02B1"/>
    <w:rsid w:val="00BD2115"/>
    <w:rsid w:val="00BD501A"/>
    <w:rsid w:val="00BD6D52"/>
    <w:rsid w:val="00BD71D4"/>
    <w:rsid w:val="00BD7693"/>
    <w:rsid w:val="00BE04D6"/>
    <w:rsid w:val="00BE3649"/>
    <w:rsid w:val="00BE57EB"/>
    <w:rsid w:val="00BE6A54"/>
    <w:rsid w:val="00BE6EE9"/>
    <w:rsid w:val="00BE70A9"/>
    <w:rsid w:val="00BF021D"/>
    <w:rsid w:val="00BF08CC"/>
    <w:rsid w:val="00BF1F6D"/>
    <w:rsid w:val="00BF23CD"/>
    <w:rsid w:val="00BF23DF"/>
    <w:rsid w:val="00BF2BC0"/>
    <w:rsid w:val="00BF3A0A"/>
    <w:rsid w:val="00BF45EA"/>
    <w:rsid w:val="00BF5969"/>
    <w:rsid w:val="00BF5B9D"/>
    <w:rsid w:val="00BF7540"/>
    <w:rsid w:val="00BF75A5"/>
    <w:rsid w:val="00C00163"/>
    <w:rsid w:val="00C025A8"/>
    <w:rsid w:val="00C02B23"/>
    <w:rsid w:val="00C03683"/>
    <w:rsid w:val="00C059A8"/>
    <w:rsid w:val="00C05C69"/>
    <w:rsid w:val="00C07F0F"/>
    <w:rsid w:val="00C07F6F"/>
    <w:rsid w:val="00C10AE4"/>
    <w:rsid w:val="00C14514"/>
    <w:rsid w:val="00C146E4"/>
    <w:rsid w:val="00C14C4E"/>
    <w:rsid w:val="00C15181"/>
    <w:rsid w:val="00C16D25"/>
    <w:rsid w:val="00C17281"/>
    <w:rsid w:val="00C174BE"/>
    <w:rsid w:val="00C20118"/>
    <w:rsid w:val="00C2193D"/>
    <w:rsid w:val="00C2214F"/>
    <w:rsid w:val="00C22532"/>
    <w:rsid w:val="00C22ABD"/>
    <w:rsid w:val="00C234E8"/>
    <w:rsid w:val="00C23913"/>
    <w:rsid w:val="00C2546E"/>
    <w:rsid w:val="00C25539"/>
    <w:rsid w:val="00C258F9"/>
    <w:rsid w:val="00C26357"/>
    <w:rsid w:val="00C26370"/>
    <w:rsid w:val="00C26AA1"/>
    <w:rsid w:val="00C27153"/>
    <w:rsid w:val="00C2785E"/>
    <w:rsid w:val="00C3096F"/>
    <w:rsid w:val="00C30EBA"/>
    <w:rsid w:val="00C31829"/>
    <w:rsid w:val="00C33318"/>
    <w:rsid w:val="00C333A0"/>
    <w:rsid w:val="00C33849"/>
    <w:rsid w:val="00C33FD0"/>
    <w:rsid w:val="00C35056"/>
    <w:rsid w:val="00C3558D"/>
    <w:rsid w:val="00C3664B"/>
    <w:rsid w:val="00C378E3"/>
    <w:rsid w:val="00C40BD9"/>
    <w:rsid w:val="00C4113F"/>
    <w:rsid w:val="00C42D32"/>
    <w:rsid w:val="00C43165"/>
    <w:rsid w:val="00C43A72"/>
    <w:rsid w:val="00C43B58"/>
    <w:rsid w:val="00C43CAF"/>
    <w:rsid w:val="00C43EDF"/>
    <w:rsid w:val="00C441DB"/>
    <w:rsid w:val="00C44329"/>
    <w:rsid w:val="00C449C4"/>
    <w:rsid w:val="00C44C16"/>
    <w:rsid w:val="00C4523A"/>
    <w:rsid w:val="00C459C8"/>
    <w:rsid w:val="00C45D04"/>
    <w:rsid w:val="00C46AB0"/>
    <w:rsid w:val="00C50021"/>
    <w:rsid w:val="00C53B74"/>
    <w:rsid w:val="00C53DDB"/>
    <w:rsid w:val="00C5464A"/>
    <w:rsid w:val="00C556C4"/>
    <w:rsid w:val="00C55AD6"/>
    <w:rsid w:val="00C571B0"/>
    <w:rsid w:val="00C5754E"/>
    <w:rsid w:val="00C61DA5"/>
    <w:rsid w:val="00C631BD"/>
    <w:rsid w:val="00C6398E"/>
    <w:rsid w:val="00C641BF"/>
    <w:rsid w:val="00C664B5"/>
    <w:rsid w:val="00C66E52"/>
    <w:rsid w:val="00C67696"/>
    <w:rsid w:val="00C70A4E"/>
    <w:rsid w:val="00C719C3"/>
    <w:rsid w:val="00C71BEE"/>
    <w:rsid w:val="00C71EB1"/>
    <w:rsid w:val="00C71F6E"/>
    <w:rsid w:val="00C7267C"/>
    <w:rsid w:val="00C72714"/>
    <w:rsid w:val="00C7289E"/>
    <w:rsid w:val="00C7310A"/>
    <w:rsid w:val="00C73F31"/>
    <w:rsid w:val="00C75D0A"/>
    <w:rsid w:val="00C76B02"/>
    <w:rsid w:val="00C811D2"/>
    <w:rsid w:val="00C822F2"/>
    <w:rsid w:val="00C846FB"/>
    <w:rsid w:val="00C84D7C"/>
    <w:rsid w:val="00C85D80"/>
    <w:rsid w:val="00C86AA3"/>
    <w:rsid w:val="00C879E1"/>
    <w:rsid w:val="00C90319"/>
    <w:rsid w:val="00C91B95"/>
    <w:rsid w:val="00C91FF6"/>
    <w:rsid w:val="00C921D5"/>
    <w:rsid w:val="00C92667"/>
    <w:rsid w:val="00C934C2"/>
    <w:rsid w:val="00C94236"/>
    <w:rsid w:val="00C94274"/>
    <w:rsid w:val="00C9428F"/>
    <w:rsid w:val="00C953DC"/>
    <w:rsid w:val="00C95746"/>
    <w:rsid w:val="00C957D1"/>
    <w:rsid w:val="00C95B06"/>
    <w:rsid w:val="00C97E7F"/>
    <w:rsid w:val="00CA128A"/>
    <w:rsid w:val="00CA1D99"/>
    <w:rsid w:val="00CA307B"/>
    <w:rsid w:val="00CA366D"/>
    <w:rsid w:val="00CA4DED"/>
    <w:rsid w:val="00CA4F81"/>
    <w:rsid w:val="00CA51A2"/>
    <w:rsid w:val="00CA51BC"/>
    <w:rsid w:val="00CA574E"/>
    <w:rsid w:val="00CA6D2E"/>
    <w:rsid w:val="00CA7492"/>
    <w:rsid w:val="00CB387C"/>
    <w:rsid w:val="00CB3FAE"/>
    <w:rsid w:val="00CB57DE"/>
    <w:rsid w:val="00CB580D"/>
    <w:rsid w:val="00CB5879"/>
    <w:rsid w:val="00CB673C"/>
    <w:rsid w:val="00CB7C31"/>
    <w:rsid w:val="00CC098D"/>
    <w:rsid w:val="00CC4ADF"/>
    <w:rsid w:val="00CC50AD"/>
    <w:rsid w:val="00CC6EF7"/>
    <w:rsid w:val="00CD0459"/>
    <w:rsid w:val="00CD0480"/>
    <w:rsid w:val="00CD130F"/>
    <w:rsid w:val="00CD3282"/>
    <w:rsid w:val="00CD33FC"/>
    <w:rsid w:val="00CD54A7"/>
    <w:rsid w:val="00CD60A0"/>
    <w:rsid w:val="00CD6601"/>
    <w:rsid w:val="00CD668D"/>
    <w:rsid w:val="00CD71A3"/>
    <w:rsid w:val="00CD73E0"/>
    <w:rsid w:val="00CD74AC"/>
    <w:rsid w:val="00CE11E8"/>
    <w:rsid w:val="00CE19DA"/>
    <w:rsid w:val="00CE1E52"/>
    <w:rsid w:val="00CE33CA"/>
    <w:rsid w:val="00CE401C"/>
    <w:rsid w:val="00CE458F"/>
    <w:rsid w:val="00CE6D08"/>
    <w:rsid w:val="00CE7240"/>
    <w:rsid w:val="00CF0BF7"/>
    <w:rsid w:val="00CF1F76"/>
    <w:rsid w:val="00CF30A4"/>
    <w:rsid w:val="00CF3C2C"/>
    <w:rsid w:val="00CF404C"/>
    <w:rsid w:val="00CF4ACC"/>
    <w:rsid w:val="00D00B03"/>
    <w:rsid w:val="00D00F22"/>
    <w:rsid w:val="00D0143B"/>
    <w:rsid w:val="00D01C91"/>
    <w:rsid w:val="00D02D0B"/>
    <w:rsid w:val="00D03F0E"/>
    <w:rsid w:val="00D0466D"/>
    <w:rsid w:val="00D05933"/>
    <w:rsid w:val="00D05F73"/>
    <w:rsid w:val="00D10127"/>
    <w:rsid w:val="00D106AA"/>
    <w:rsid w:val="00D12BFB"/>
    <w:rsid w:val="00D12E41"/>
    <w:rsid w:val="00D136DA"/>
    <w:rsid w:val="00D1441D"/>
    <w:rsid w:val="00D1447F"/>
    <w:rsid w:val="00D1484D"/>
    <w:rsid w:val="00D1636B"/>
    <w:rsid w:val="00D175BA"/>
    <w:rsid w:val="00D17FB9"/>
    <w:rsid w:val="00D2009F"/>
    <w:rsid w:val="00D20D91"/>
    <w:rsid w:val="00D20F4F"/>
    <w:rsid w:val="00D22674"/>
    <w:rsid w:val="00D23780"/>
    <w:rsid w:val="00D254B7"/>
    <w:rsid w:val="00D268AB"/>
    <w:rsid w:val="00D268C1"/>
    <w:rsid w:val="00D26AB2"/>
    <w:rsid w:val="00D27EFD"/>
    <w:rsid w:val="00D30793"/>
    <w:rsid w:val="00D30D47"/>
    <w:rsid w:val="00D3178C"/>
    <w:rsid w:val="00D333C6"/>
    <w:rsid w:val="00D33B61"/>
    <w:rsid w:val="00D33E2F"/>
    <w:rsid w:val="00D3774B"/>
    <w:rsid w:val="00D40151"/>
    <w:rsid w:val="00D40582"/>
    <w:rsid w:val="00D40773"/>
    <w:rsid w:val="00D40DB9"/>
    <w:rsid w:val="00D4176F"/>
    <w:rsid w:val="00D43E9A"/>
    <w:rsid w:val="00D43EF7"/>
    <w:rsid w:val="00D4497F"/>
    <w:rsid w:val="00D44A2A"/>
    <w:rsid w:val="00D44A8A"/>
    <w:rsid w:val="00D455CE"/>
    <w:rsid w:val="00D4601F"/>
    <w:rsid w:val="00D467B6"/>
    <w:rsid w:val="00D47DFF"/>
    <w:rsid w:val="00D50383"/>
    <w:rsid w:val="00D51106"/>
    <w:rsid w:val="00D51640"/>
    <w:rsid w:val="00D5314E"/>
    <w:rsid w:val="00D543BB"/>
    <w:rsid w:val="00D54B81"/>
    <w:rsid w:val="00D5530C"/>
    <w:rsid w:val="00D55E56"/>
    <w:rsid w:val="00D57728"/>
    <w:rsid w:val="00D605B9"/>
    <w:rsid w:val="00D651D6"/>
    <w:rsid w:val="00D66391"/>
    <w:rsid w:val="00D67A70"/>
    <w:rsid w:val="00D704E6"/>
    <w:rsid w:val="00D71139"/>
    <w:rsid w:val="00D73004"/>
    <w:rsid w:val="00D73474"/>
    <w:rsid w:val="00D74388"/>
    <w:rsid w:val="00D74401"/>
    <w:rsid w:val="00D745D4"/>
    <w:rsid w:val="00D747F6"/>
    <w:rsid w:val="00D74CDC"/>
    <w:rsid w:val="00D75011"/>
    <w:rsid w:val="00D75BB2"/>
    <w:rsid w:val="00D76600"/>
    <w:rsid w:val="00D77512"/>
    <w:rsid w:val="00D77523"/>
    <w:rsid w:val="00D77C84"/>
    <w:rsid w:val="00D77CBE"/>
    <w:rsid w:val="00D80643"/>
    <w:rsid w:val="00D82040"/>
    <w:rsid w:val="00D82086"/>
    <w:rsid w:val="00D822EF"/>
    <w:rsid w:val="00D8288E"/>
    <w:rsid w:val="00D83C2A"/>
    <w:rsid w:val="00D8515B"/>
    <w:rsid w:val="00D85D69"/>
    <w:rsid w:val="00D85FA3"/>
    <w:rsid w:val="00D86C28"/>
    <w:rsid w:val="00D87AED"/>
    <w:rsid w:val="00D87D14"/>
    <w:rsid w:val="00D9088C"/>
    <w:rsid w:val="00D9239B"/>
    <w:rsid w:val="00D92498"/>
    <w:rsid w:val="00D92D92"/>
    <w:rsid w:val="00D93A5E"/>
    <w:rsid w:val="00D9541B"/>
    <w:rsid w:val="00D9547A"/>
    <w:rsid w:val="00D965EF"/>
    <w:rsid w:val="00D9664F"/>
    <w:rsid w:val="00D97523"/>
    <w:rsid w:val="00DA041B"/>
    <w:rsid w:val="00DA0AFE"/>
    <w:rsid w:val="00DA12CB"/>
    <w:rsid w:val="00DA1408"/>
    <w:rsid w:val="00DA3351"/>
    <w:rsid w:val="00DA350D"/>
    <w:rsid w:val="00DA47F6"/>
    <w:rsid w:val="00DA4B2F"/>
    <w:rsid w:val="00DA5132"/>
    <w:rsid w:val="00DA6163"/>
    <w:rsid w:val="00DA672E"/>
    <w:rsid w:val="00DA6799"/>
    <w:rsid w:val="00DA6F20"/>
    <w:rsid w:val="00DB02F2"/>
    <w:rsid w:val="00DB16FA"/>
    <w:rsid w:val="00DB259D"/>
    <w:rsid w:val="00DB26BC"/>
    <w:rsid w:val="00DB3A23"/>
    <w:rsid w:val="00DB4AF2"/>
    <w:rsid w:val="00DB5417"/>
    <w:rsid w:val="00DB5A02"/>
    <w:rsid w:val="00DC06A6"/>
    <w:rsid w:val="00DC2154"/>
    <w:rsid w:val="00DC2B07"/>
    <w:rsid w:val="00DC2BAE"/>
    <w:rsid w:val="00DC307F"/>
    <w:rsid w:val="00DC3721"/>
    <w:rsid w:val="00DC3CC5"/>
    <w:rsid w:val="00DC4384"/>
    <w:rsid w:val="00DC43E7"/>
    <w:rsid w:val="00DC4709"/>
    <w:rsid w:val="00DC50B4"/>
    <w:rsid w:val="00DC5C45"/>
    <w:rsid w:val="00DC70F6"/>
    <w:rsid w:val="00DC7781"/>
    <w:rsid w:val="00DD053F"/>
    <w:rsid w:val="00DD14C5"/>
    <w:rsid w:val="00DD30E0"/>
    <w:rsid w:val="00DD39C9"/>
    <w:rsid w:val="00DD3B7C"/>
    <w:rsid w:val="00DD41F9"/>
    <w:rsid w:val="00DD445B"/>
    <w:rsid w:val="00DD4734"/>
    <w:rsid w:val="00DD4B96"/>
    <w:rsid w:val="00DD5CCA"/>
    <w:rsid w:val="00DD6439"/>
    <w:rsid w:val="00DD7C16"/>
    <w:rsid w:val="00DE1BD5"/>
    <w:rsid w:val="00DE2E70"/>
    <w:rsid w:val="00DE3BD6"/>
    <w:rsid w:val="00DE3C58"/>
    <w:rsid w:val="00DE451D"/>
    <w:rsid w:val="00DE46CC"/>
    <w:rsid w:val="00DE4B87"/>
    <w:rsid w:val="00DE58CA"/>
    <w:rsid w:val="00DE6582"/>
    <w:rsid w:val="00DE66D9"/>
    <w:rsid w:val="00DE7075"/>
    <w:rsid w:val="00DE715B"/>
    <w:rsid w:val="00DF0F01"/>
    <w:rsid w:val="00DF195E"/>
    <w:rsid w:val="00DF20C0"/>
    <w:rsid w:val="00DF214F"/>
    <w:rsid w:val="00DF33FB"/>
    <w:rsid w:val="00DF3E80"/>
    <w:rsid w:val="00DF5170"/>
    <w:rsid w:val="00DF52C4"/>
    <w:rsid w:val="00DF56DA"/>
    <w:rsid w:val="00DF5DBE"/>
    <w:rsid w:val="00E01A8C"/>
    <w:rsid w:val="00E034C6"/>
    <w:rsid w:val="00E04B23"/>
    <w:rsid w:val="00E04D90"/>
    <w:rsid w:val="00E0548F"/>
    <w:rsid w:val="00E065F3"/>
    <w:rsid w:val="00E07051"/>
    <w:rsid w:val="00E077A1"/>
    <w:rsid w:val="00E109D5"/>
    <w:rsid w:val="00E1195B"/>
    <w:rsid w:val="00E123E4"/>
    <w:rsid w:val="00E12622"/>
    <w:rsid w:val="00E148AF"/>
    <w:rsid w:val="00E1518D"/>
    <w:rsid w:val="00E151A8"/>
    <w:rsid w:val="00E15C16"/>
    <w:rsid w:val="00E1635B"/>
    <w:rsid w:val="00E16467"/>
    <w:rsid w:val="00E16F4B"/>
    <w:rsid w:val="00E1712C"/>
    <w:rsid w:val="00E17B7E"/>
    <w:rsid w:val="00E2073A"/>
    <w:rsid w:val="00E214D4"/>
    <w:rsid w:val="00E216B9"/>
    <w:rsid w:val="00E23B94"/>
    <w:rsid w:val="00E26C74"/>
    <w:rsid w:val="00E274DC"/>
    <w:rsid w:val="00E316A2"/>
    <w:rsid w:val="00E319FA"/>
    <w:rsid w:val="00E31EFC"/>
    <w:rsid w:val="00E32A1E"/>
    <w:rsid w:val="00E32AAB"/>
    <w:rsid w:val="00E32C2F"/>
    <w:rsid w:val="00E33699"/>
    <w:rsid w:val="00E33C99"/>
    <w:rsid w:val="00E33FD7"/>
    <w:rsid w:val="00E3411C"/>
    <w:rsid w:val="00E34271"/>
    <w:rsid w:val="00E346C5"/>
    <w:rsid w:val="00E35045"/>
    <w:rsid w:val="00E356B4"/>
    <w:rsid w:val="00E356DB"/>
    <w:rsid w:val="00E35893"/>
    <w:rsid w:val="00E35D81"/>
    <w:rsid w:val="00E35F30"/>
    <w:rsid w:val="00E4077E"/>
    <w:rsid w:val="00E40901"/>
    <w:rsid w:val="00E409B4"/>
    <w:rsid w:val="00E40D62"/>
    <w:rsid w:val="00E4136E"/>
    <w:rsid w:val="00E41C43"/>
    <w:rsid w:val="00E4261D"/>
    <w:rsid w:val="00E43D29"/>
    <w:rsid w:val="00E46CE7"/>
    <w:rsid w:val="00E47A46"/>
    <w:rsid w:val="00E513E4"/>
    <w:rsid w:val="00E5166D"/>
    <w:rsid w:val="00E51C3B"/>
    <w:rsid w:val="00E52D16"/>
    <w:rsid w:val="00E53A04"/>
    <w:rsid w:val="00E54462"/>
    <w:rsid w:val="00E55672"/>
    <w:rsid w:val="00E5671E"/>
    <w:rsid w:val="00E60750"/>
    <w:rsid w:val="00E60AFB"/>
    <w:rsid w:val="00E62430"/>
    <w:rsid w:val="00E64DD8"/>
    <w:rsid w:val="00E672FF"/>
    <w:rsid w:val="00E67397"/>
    <w:rsid w:val="00E712D0"/>
    <w:rsid w:val="00E71A38"/>
    <w:rsid w:val="00E71A71"/>
    <w:rsid w:val="00E71D0A"/>
    <w:rsid w:val="00E71EAA"/>
    <w:rsid w:val="00E7228A"/>
    <w:rsid w:val="00E738BF"/>
    <w:rsid w:val="00E75476"/>
    <w:rsid w:val="00E76565"/>
    <w:rsid w:val="00E805CD"/>
    <w:rsid w:val="00E810DF"/>
    <w:rsid w:val="00E832F0"/>
    <w:rsid w:val="00E83AD2"/>
    <w:rsid w:val="00E846B8"/>
    <w:rsid w:val="00E873D7"/>
    <w:rsid w:val="00E9154C"/>
    <w:rsid w:val="00E91E90"/>
    <w:rsid w:val="00E9321F"/>
    <w:rsid w:val="00E94E1D"/>
    <w:rsid w:val="00E95A0B"/>
    <w:rsid w:val="00E974B2"/>
    <w:rsid w:val="00E97594"/>
    <w:rsid w:val="00E97C27"/>
    <w:rsid w:val="00E97E79"/>
    <w:rsid w:val="00EA12C6"/>
    <w:rsid w:val="00EA139F"/>
    <w:rsid w:val="00EA2050"/>
    <w:rsid w:val="00EA2542"/>
    <w:rsid w:val="00EA2C3D"/>
    <w:rsid w:val="00EA3E09"/>
    <w:rsid w:val="00EA41ED"/>
    <w:rsid w:val="00EA5C3C"/>
    <w:rsid w:val="00EA5FF6"/>
    <w:rsid w:val="00EA6269"/>
    <w:rsid w:val="00EA7186"/>
    <w:rsid w:val="00EB09BF"/>
    <w:rsid w:val="00EB131A"/>
    <w:rsid w:val="00EB170B"/>
    <w:rsid w:val="00EB1983"/>
    <w:rsid w:val="00EB4224"/>
    <w:rsid w:val="00EB4BDF"/>
    <w:rsid w:val="00EB5C3C"/>
    <w:rsid w:val="00EB5E45"/>
    <w:rsid w:val="00EB7DCD"/>
    <w:rsid w:val="00EB7E89"/>
    <w:rsid w:val="00EC10F6"/>
    <w:rsid w:val="00EC11D5"/>
    <w:rsid w:val="00EC1E91"/>
    <w:rsid w:val="00EC4E68"/>
    <w:rsid w:val="00EC57F3"/>
    <w:rsid w:val="00EC5EB4"/>
    <w:rsid w:val="00ED0BCF"/>
    <w:rsid w:val="00ED0DD1"/>
    <w:rsid w:val="00ED0FA9"/>
    <w:rsid w:val="00ED1CA1"/>
    <w:rsid w:val="00ED29AF"/>
    <w:rsid w:val="00ED32D0"/>
    <w:rsid w:val="00ED4AF0"/>
    <w:rsid w:val="00ED532E"/>
    <w:rsid w:val="00ED6124"/>
    <w:rsid w:val="00ED624F"/>
    <w:rsid w:val="00ED699F"/>
    <w:rsid w:val="00ED7243"/>
    <w:rsid w:val="00ED785C"/>
    <w:rsid w:val="00ED7A3E"/>
    <w:rsid w:val="00ED7DB3"/>
    <w:rsid w:val="00EE002E"/>
    <w:rsid w:val="00EE04F9"/>
    <w:rsid w:val="00EE0664"/>
    <w:rsid w:val="00EE0922"/>
    <w:rsid w:val="00EE0AA9"/>
    <w:rsid w:val="00EE1374"/>
    <w:rsid w:val="00EE2110"/>
    <w:rsid w:val="00EE2DBF"/>
    <w:rsid w:val="00EE3AAB"/>
    <w:rsid w:val="00EE42D4"/>
    <w:rsid w:val="00EE4EDC"/>
    <w:rsid w:val="00EE5456"/>
    <w:rsid w:val="00EE70A4"/>
    <w:rsid w:val="00EE7661"/>
    <w:rsid w:val="00EE7B46"/>
    <w:rsid w:val="00EE7D99"/>
    <w:rsid w:val="00EF0377"/>
    <w:rsid w:val="00EF0566"/>
    <w:rsid w:val="00EF0619"/>
    <w:rsid w:val="00EF0DB7"/>
    <w:rsid w:val="00EF107D"/>
    <w:rsid w:val="00EF1765"/>
    <w:rsid w:val="00EF17BD"/>
    <w:rsid w:val="00EF2340"/>
    <w:rsid w:val="00EF5F3E"/>
    <w:rsid w:val="00EF704B"/>
    <w:rsid w:val="00EF7913"/>
    <w:rsid w:val="00F00893"/>
    <w:rsid w:val="00F01870"/>
    <w:rsid w:val="00F018B5"/>
    <w:rsid w:val="00F01D75"/>
    <w:rsid w:val="00F02870"/>
    <w:rsid w:val="00F02C67"/>
    <w:rsid w:val="00F03619"/>
    <w:rsid w:val="00F03757"/>
    <w:rsid w:val="00F0455F"/>
    <w:rsid w:val="00F04983"/>
    <w:rsid w:val="00F04E5D"/>
    <w:rsid w:val="00F051CF"/>
    <w:rsid w:val="00F060D4"/>
    <w:rsid w:val="00F06471"/>
    <w:rsid w:val="00F0740C"/>
    <w:rsid w:val="00F10FAC"/>
    <w:rsid w:val="00F11053"/>
    <w:rsid w:val="00F12DDE"/>
    <w:rsid w:val="00F13B43"/>
    <w:rsid w:val="00F142EC"/>
    <w:rsid w:val="00F166C7"/>
    <w:rsid w:val="00F209ED"/>
    <w:rsid w:val="00F20F11"/>
    <w:rsid w:val="00F20F7E"/>
    <w:rsid w:val="00F213BD"/>
    <w:rsid w:val="00F21C6E"/>
    <w:rsid w:val="00F22416"/>
    <w:rsid w:val="00F22757"/>
    <w:rsid w:val="00F23820"/>
    <w:rsid w:val="00F23AD3"/>
    <w:rsid w:val="00F241AC"/>
    <w:rsid w:val="00F2461E"/>
    <w:rsid w:val="00F252D4"/>
    <w:rsid w:val="00F255D8"/>
    <w:rsid w:val="00F27599"/>
    <w:rsid w:val="00F30084"/>
    <w:rsid w:val="00F3055B"/>
    <w:rsid w:val="00F31AB7"/>
    <w:rsid w:val="00F32630"/>
    <w:rsid w:val="00F336DC"/>
    <w:rsid w:val="00F33CF0"/>
    <w:rsid w:val="00F34B93"/>
    <w:rsid w:val="00F3516B"/>
    <w:rsid w:val="00F370F3"/>
    <w:rsid w:val="00F40166"/>
    <w:rsid w:val="00F40F8E"/>
    <w:rsid w:val="00F4104B"/>
    <w:rsid w:val="00F41C10"/>
    <w:rsid w:val="00F423C8"/>
    <w:rsid w:val="00F42757"/>
    <w:rsid w:val="00F4393E"/>
    <w:rsid w:val="00F43B0A"/>
    <w:rsid w:val="00F45371"/>
    <w:rsid w:val="00F45E23"/>
    <w:rsid w:val="00F51690"/>
    <w:rsid w:val="00F52139"/>
    <w:rsid w:val="00F52B73"/>
    <w:rsid w:val="00F52E7A"/>
    <w:rsid w:val="00F53160"/>
    <w:rsid w:val="00F537C3"/>
    <w:rsid w:val="00F53FB9"/>
    <w:rsid w:val="00F54EE1"/>
    <w:rsid w:val="00F55C46"/>
    <w:rsid w:val="00F56590"/>
    <w:rsid w:val="00F576DA"/>
    <w:rsid w:val="00F57805"/>
    <w:rsid w:val="00F57E23"/>
    <w:rsid w:val="00F60BAC"/>
    <w:rsid w:val="00F63704"/>
    <w:rsid w:val="00F64990"/>
    <w:rsid w:val="00F64EBD"/>
    <w:rsid w:val="00F66C8B"/>
    <w:rsid w:val="00F66DA4"/>
    <w:rsid w:val="00F6702D"/>
    <w:rsid w:val="00F70890"/>
    <w:rsid w:val="00F71D17"/>
    <w:rsid w:val="00F7242A"/>
    <w:rsid w:val="00F728F8"/>
    <w:rsid w:val="00F73C9D"/>
    <w:rsid w:val="00F74DFF"/>
    <w:rsid w:val="00F76A56"/>
    <w:rsid w:val="00F76B1F"/>
    <w:rsid w:val="00F77C64"/>
    <w:rsid w:val="00F812C2"/>
    <w:rsid w:val="00F813BD"/>
    <w:rsid w:val="00F82001"/>
    <w:rsid w:val="00F83263"/>
    <w:rsid w:val="00F855B9"/>
    <w:rsid w:val="00F85942"/>
    <w:rsid w:val="00F859BC"/>
    <w:rsid w:val="00F85DD0"/>
    <w:rsid w:val="00F85E0A"/>
    <w:rsid w:val="00F86145"/>
    <w:rsid w:val="00F875BA"/>
    <w:rsid w:val="00F9116D"/>
    <w:rsid w:val="00F91583"/>
    <w:rsid w:val="00F91B32"/>
    <w:rsid w:val="00F9230B"/>
    <w:rsid w:val="00F9449A"/>
    <w:rsid w:val="00F95AB6"/>
    <w:rsid w:val="00FA0375"/>
    <w:rsid w:val="00FA1451"/>
    <w:rsid w:val="00FA4B55"/>
    <w:rsid w:val="00FA4CAF"/>
    <w:rsid w:val="00FB0B4E"/>
    <w:rsid w:val="00FB0DC1"/>
    <w:rsid w:val="00FB10C0"/>
    <w:rsid w:val="00FB135F"/>
    <w:rsid w:val="00FB2D4D"/>
    <w:rsid w:val="00FB4ACB"/>
    <w:rsid w:val="00FB4E07"/>
    <w:rsid w:val="00FB5768"/>
    <w:rsid w:val="00FB59A2"/>
    <w:rsid w:val="00FB7CF9"/>
    <w:rsid w:val="00FC026A"/>
    <w:rsid w:val="00FC483E"/>
    <w:rsid w:val="00FC51E1"/>
    <w:rsid w:val="00FC65C9"/>
    <w:rsid w:val="00FC681A"/>
    <w:rsid w:val="00FC7F76"/>
    <w:rsid w:val="00FD1409"/>
    <w:rsid w:val="00FD27C7"/>
    <w:rsid w:val="00FD4878"/>
    <w:rsid w:val="00FD4AC8"/>
    <w:rsid w:val="00FD4E08"/>
    <w:rsid w:val="00FD5FA9"/>
    <w:rsid w:val="00FD6969"/>
    <w:rsid w:val="00FD6B1A"/>
    <w:rsid w:val="00FD6B8A"/>
    <w:rsid w:val="00FD7E2A"/>
    <w:rsid w:val="00FD7FF0"/>
    <w:rsid w:val="00FE0B47"/>
    <w:rsid w:val="00FE0CBC"/>
    <w:rsid w:val="00FE1746"/>
    <w:rsid w:val="00FE199A"/>
    <w:rsid w:val="00FE1B92"/>
    <w:rsid w:val="00FE2424"/>
    <w:rsid w:val="00FE3A48"/>
    <w:rsid w:val="00FE48EE"/>
    <w:rsid w:val="00FE53CC"/>
    <w:rsid w:val="00FE5429"/>
    <w:rsid w:val="00FE5CA2"/>
    <w:rsid w:val="00FE6B4D"/>
    <w:rsid w:val="00FE724A"/>
    <w:rsid w:val="00FE73A3"/>
    <w:rsid w:val="00FE7796"/>
    <w:rsid w:val="00FF0850"/>
    <w:rsid w:val="00FF2243"/>
    <w:rsid w:val="00FF2B60"/>
    <w:rsid w:val="00FF6594"/>
    <w:rsid w:val="00FF69D7"/>
    <w:rsid w:val="00FF6B7E"/>
    <w:rsid w:val="00FF6BCF"/>
    <w:rsid w:val="00FF755C"/>
    <w:rsid w:val="011031E6"/>
    <w:rsid w:val="01F55459"/>
    <w:rsid w:val="01F94DA0"/>
    <w:rsid w:val="02025101"/>
    <w:rsid w:val="023A2E4D"/>
    <w:rsid w:val="024F096D"/>
    <w:rsid w:val="02693733"/>
    <w:rsid w:val="02E06668"/>
    <w:rsid w:val="033779C9"/>
    <w:rsid w:val="03730246"/>
    <w:rsid w:val="03B82791"/>
    <w:rsid w:val="04872A15"/>
    <w:rsid w:val="049A7F93"/>
    <w:rsid w:val="059705B7"/>
    <w:rsid w:val="05AD1B88"/>
    <w:rsid w:val="05FD48BE"/>
    <w:rsid w:val="063F445E"/>
    <w:rsid w:val="067304F4"/>
    <w:rsid w:val="06A74829"/>
    <w:rsid w:val="06AE6F96"/>
    <w:rsid w:val="075F6EB2"/>
    <w:rsid w:val="07AF7E3A"/>
    <w:rsid w:val="080F6B2A"/>
    <w:rsid w:val="082A3964"/>
    <w:rsid w:val="084073BC"/>
    <w:rsid w:val="092C7268"/>
    <w:rsid w:val="09777267"/>
    <w:rsid w:val="099A53BF"/>
    <w:rsid w:val="099E26EF"/>
    <w:rsid w:val="09ED29B7"/>
    <w:rsid w:val="0A9B28F7"/>
    <w:rsid w:val="0AC509D7"/>
    <w:rsid w:val="0AD8183D"/>
    <w:rsid w:val="0AE61DC4"/>
    <w:rsid w:val="0B676BA6"/>
    <w:rsid w:val="0C362A05"/>
    <w:rsid w:val="0C3B7EEE"/>
    <w:rsid w:val="0C6A2669"/>
    <w:rsid w:val="0D4B23B2"/>
    <w:rsid w:val="0D6C2329"/>
    <w:rsid w:val="0D7A2C98"/>
    <w:rsid w:val="0DBC505E"/>
    <w:rsid w:val="0E533F26"/>
    <w:rsid w:val="0E54415D"/>
    <w:rsid w:val="0EFF581D"/>
    <w:rsid w:val="0F3C499A"/>
    <w:rsid w:val="0FBF64FF"/>
    <w:rsid w:val="0FC93A62"/>
    <w:rsid w:val="0FFC5BE6"/>
    <w:rsid w:val="104F55CF"/>
    <w:rsid w:val="114C73CD"/>
    <w:rsid w:val="11897E9C"/>
    <w:rsid w:val="11C26472"/>
    <w:rsid w:val="123A5AD7"/>
    <w:rsid w:val="125A4E46"/>
    <w:rsid w:val="12744159"/>
    <w:rsid w:val="127A56D7"/>
    <w:rsid w:val="132536A6"/>
    <w:rsid w:val="138660D7"/>
    <w:rsid w:val="13C67017"/>
    <w:rsid w:val="14361A0C"/>
    <w:rsid w:val="14684D4E"/>
    <w:rsid w:val="14972381"/>
    <w:rsid w:val="15A12BAA"/>
    <w:rsid w:val="15BA3FC3"/>
    <w:rsid w:val="15D11219"/>
    <w:rsid w:val="15E44D75"/>
    <w:rsid w:val="15F1161D"/>
    <w:rsid w:val="16225C7A"/>
    <w:rsid w:val="16907088"/>
    <w:rsid w:val="16E12EBC"/>
    <w:rsid w:val="17B12A65"/>
    <w:rsid w:val="180A596F"/>
    <w:rsid w:val="18216B7B"/>
    <w:rsid w:val="18510A99"/>
    <w:rsid w:val="18D23E29"/>
    <w:rsid w:val="195F08E7"/>
    <w:rsid w:val="19914926"/>
    <w:rsid w:val="19C31523"/>
    <w:rsid w:val="1A9A04D5"/>
    <w:rsid w:val="1AAA2EB8"/>
    <w:rsid w:val="1AD31C39"/>
    <w:rsid w:val="1AEE7279"/>
    <w:rsid w:val="1B017496"/>
    <w:rsid w:val="1B163BB6"/>
    <w:rsid w:val="1B4A29CD"/>
    <w:rsid w:val="1B8A22F8"/>
    <w:rsid w:val="1BD0747C"/>
    <w:rsid w:val="1C4A6047"/>
    <w:rsid w:val="1C6D08DF"/>
    <w:rsid w:val="1C6E1C1A"/>
    <w:rsid w:val="1C744D1F"/>
    <w:rsid w:val="1C915908"/>
    <w:rsid w:val="1CD66CC2"/>
    <w:rsid w:val="1D305121"/>
    <w:rsid w:val="1D510BB8"/>
    <w:rsid w:val="1D747BA4"/>
    <w:rsid w:val="1D874BDD"/>
    <w:rsid w:val="1DA653E3"/>
    <w:rsid w:val="1DA65E17"/>
    <w:rsid w:val="1EC649E5"/>
    <w:rsid w:val="1ED55F80"/>
    <w:rsid w:val="1F4B3BFE"/>
    <w:rsid w:val="20344F28"/>
    <w:rsid w:val="20761213"/>
    <w:rsid w:val="21350F58"/>
    <w:rsid w:val="219274B9"/>
    <w:rsid w:val="21B955C6"/>
    <w:rsid w:val="22A84D71"/>
    <w:rsid w:val="22D64075"/>
    <w:rsid w:val="23061875"/>
    <w:rsid w:val="231B417D"/>
    <w:rsid w:val="234E6301"/>
    <w:rsid w:val="235B27CC"/>
    <w:rsid w:val="23720241"/>
    <w:rsid w:val="23F0560A"/>
    <w:rsid w:val="24572F93"/>
    <w:rsid w:val="24912949"/>
    <w:rsid w:val="24970470"/>
    <w:rsid w:val="24FE3706"/>
    <w:rsid w:val="250E1D79"/>
    <w:rsid w:val="25CB1E8B"/>
    <w:rsid w:val="25E140B7"/>
    <w:rsid w:val="260A0E9D"/>
    <w:rsid w:val="261A38FC"/>
    <w:rsid w:val="267C1A48"/>
    <w:rsid w:val="269F0C21"/>
    <w:rsid w:val="27873B8F"/>
    <w:rsid w:val="27A110CE"/>
    <w:rsid w:val="27ED4FC9"/>
    <w:rsid w:val="27EF4E0D"/>
    <w:rsid w:val="2869619A"/>
    <w:rsid w:val="286E4450"/>
    <w:rsid w:val="28920A3E"/>
    <w:rsid w:val="28C80903"/>
    <w:rsid w:val="28E31299"/>
    <w:rsid w:val="29485689"/>
    <w:rsid w:val="295D4698"/>
    <w:rsid w:val="29955C15"/>
    <w:rsid w:val="2AD25A1D"/>
    <w:rsid w:val="2AD83F7C"/>
    <w:rsid w:val="2AE65EE2"/>
    <w:rsid w:val="2AEF3F25"/>
    <w:rsid w:val="2AFA28CA"/>
    <w:rsid w:val="2B2A0DC9"/>
    <w:rsid w:val="2B5A68AC"/>
    <w:rsid w:val="2B752B15"/>
    <w:rsid w:val="2B852ADC"/>
    <w:rsid w:val="2C0559CB"/>
    <w:rsid w:val="2C130C7C"/>
    <w:rsid w:val="2C186C37"/>
    <w:rsid w:val="2C453860"/>
    <w:rsid w:val="2C46226B"/>
    <w:rsid w:val="2C545002"/>
    <w:rsid w:val="2C583D4C"/>
    <w:rsid w:val="2C8B4122"/>
    <w:rsid w:val="2C9E3E55"/>
    <w:rsid w:val="2CB368C6"/>
    <w:rsid w:val="2D160F26"/>
    <w:rsid w:val="2D373F75"/>
    <w:rsid w:val="2D46091B"/>
    <w:rsid w:val="2D6942AF"/>
    <w:rsid w:val="2DA27975"/>
    <w:rsid w:val="2EF27E36"/>
    <w:rsid w:val="2F794705"/>
    <w:rsid w:val="2F8F798E"/>
    <w:rsid w:val="2F9E4AD1"/>
    <w:rsid w:val="31C12394"/>
    <w:rsid w:val="31C918C9"/>
    <w:rsid w:val="31E302DD"/>
    <w:rsid w:val="31F105F9"/>
    <w:rsid w:val="32006F4B"/>
    <w:rsid w:val="322A05A2"/>
    <w:rsid w:val="322D17D7"/>
    <w:rsid w:val="323668DE"/>
    <w:rsid w:val="32470AEB"/>
    <w:rsid w:val="325D20BC"/>
    <w:rsid w:val="326A5D92"/>
    <w:rsid w:val="327D776A"/>
    <w:rsid w:val="32B12408"/>
    <w:rsid w:val="32C928EE"/>
    <w:rsid w:val="32D3264E"/>
    <w:rsid w:val="32FA5B5D"/>
    <w:rsid w:val="330662B0"/>
    <w:rsid w:val="33CA7A40"/>
    <w:rsid w:val="33CD3272"/>
    <w:rsid w:val="341345D7"/>
    <w:rsid w:val="348953EB"/>
    <w:rsid w:val="34A57FC6"/>
    <w:rsid w:val="34B00F04"/>
    <w:rsid w:val="34BA1455"/>
    <w:rsid w:val="34F271C2"/>
    <w:rsid w:val="3538471B"/>
    <w:rsid w:val="35583DAF"/>
    <w:rsid w:val="35762582"/>
    <w:rsid w:val="359E1FAA"/>
    <w:rsid w:val="35D54660"/>
    <w:rsid w:val="36015455"/>
    <w:rsid w:val="36194C10"/>
    <w:rsid w:val="36822566"/>
    <w:rsid w:val="36970324"/>
    <w:rsid w:val="36DF5796"/>
    <w:rsid w:val="36E11F14"/>
    <w:rsid w:val="37797999"/>
    <w:rsid w:val="379D15D1"/>
    <w:rsid w:val="37C130EE"/>
    <w:rsid w:val="3830716D"/>
    <w:rsid w:val="386A5CFA"/>
    <w:rsid w:val="38F92413"/>
    <w:rsid w:val="394915ED"/>
    <w:rsid w:val="39602BBD"/>
    <w:rsid w:val="397877DC"/>
    <w:rsid w:val="39DA652D"/>
    <w:rsid w:val="3A5F274A"/>
    <w:rsid w:val="3B3A743F"/>
    <w:rsid w:val="3B854432"/>
    <w:rsid w:val="3BE35F62"/>
    <w:rsid w:val="3BF05009"/>
    <w:rsid w:val="3C4D3F01"/>
    <w:rsid w:val="3C7626F9"/>
    <w:rsid w:val="3C883773"/>
    <w:rsid w:val="3C9963E7"/>
    <w:rsid w:val="3CAF6892"/>
    <w:rsid w:val="3D271C45"/>
    <w:rsid w:val="3D566902"/>
    <w:rsid w:val="3D7824A0"/>
    <w:rsid w:val="3D7D1865"/>
    <w:rsid w:val="3DBA4867"/>
    <w:rsid w:val="3DC6320C"/>
    <w:rsid w:val="3DFF227A"/>
    <w:rsid w:val="3E1050C1"/>
    <w:rsid w:val="3E575ACD"/>
    <w:rsid w:val="3F910028"/>
    <w:rsid w:val="3FAC02A8"/>
    <w:rsid w:val="3FE257A6"/>
    <w:rsid w:val="4013200C"/>
    <w:rsid w:val="403A57EB"/>
    <w:rsid w:val="409E221E"/>
    <w:rsid w:val="40A610D2"/>
    <w:rsid w:val="414508EB"/>
    <w:rsid w:val="416F45EC"/>
    <w:rsid w:val="41792343"/>
    <w:rsid w:val="41A0352A"/>
    <w:rsid w:val="42563F56"/>
    <w:rsid w:val="42576B28"/>
    <w:rsid w:val="42884BB0"/>
    <w:rsid w:val="42BA70B7"/>
    <w:rsid w:val="42DE4D32"/>
    <w:rsid w:val="430976F7"/>
    <w:rsid w:val="43917E18"/>
    <w:rsid w:val="44047066"/>
    <w:rsid w:val="44141B09"/>
    <w:rsid w:val="444E7AB7"/>
    <w:rsid w:val="44FE19C0"/>
    <w:rsid w:val="45486BFC"/>
    <w:rsid w:val="459E05CA"/>
    <w:rsid w:val="45CA0CBD"/>
    <w:rsid w:val="45DD5596"/>
    <w:rsid w:val="45FB77CB"/>
    <w:rsid w:val="460E39A2"/>
    <w:rsid w:val="46235115"/>
    <w:rsid w:val="4649213E"/>
    <w:rsid w:val="46845CE1"/>
    <w:rsid w:val="46F8008E"/>
    <w:rsid w:val="47B40579"/>
    <w:rsid w:val="47D209FF"/>
    <w:rsid w:val="48886B2B"/>
    <w:rsid w:val="48B545A9"/>
    <w:rsid w:val="494D658F"/>
    <w:rsid w:val="4AD93E52"/>
    <w:rsid w:val="4AEC627C"/>
    <w:rsid w:val="4AEE5B50"/>
    <w:rsid w:val="4B3F63AB"/>
    <w:rsid w:val="4B4C642F"/>
    <w:rsid w:val="4B6742F0"/>
    <w:rsid w:val="4BCA036B"/>
    <w:rsid w:val="4C2F3698"/>
    <w:rsid w:val="4C334438"/>
    <w:rsid w:val="4D4A41CC"/>
    <w:rsid w:val="4D5D0D6B"/>
    <w:rsid w:val="4D9724CF"/>
    <w:rsid w:val="4DAA1D6E"/>
    <w:rsid w:val="4DBE5CAD"/>
    <w:rsid w:val="4E325459"/>
    <w:rsid w:val="4E41068C"/>
    <w:rsid w:val="4F4D3939"/>
    <w:rsid w:val="4FDC066D"/>
    <w:rsid w:val="4FDC515A"/>
    <w:rsid w:val="500454E6"/>
    <w:rsid w:val="5010374F"/>
    <w:rsid w:val="507712A6"/>
    <w:rsid w:val="50CC6933"/>
    <w:rsid w:val="51C55131"/>
    <w:rsid w:val="51D32A1D"/>
    <w:rsid w:val="51E63A25"/>
    <w:rsid w:val="51FD2506"/>
    <w:rsid w:val="5207018F"/>
    <w:rsid w:val="526856F0"/>
    <w:rsid w:val="529F2249"/>
    <w:rsid w:val="52F40701"/>
    <w:rsid w:val="5321350E"/>
    <w:rsid w:val="534558E3"/>
    <w:rsid w:val="536B6ED4"/>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7C000D5"/>
    <w:rsid w:val="58B959EF"/>
    <w:rsid w:val="58C36F41"/>
    <w:rsid w:val="58E6780D"/>
    <w:rsid w:val="592A1893"/>
    <w:rsid w:val="59471624"/>
    <w:rsid w:val="5964586E"/>
    <w:rsid w:val="59F70789"/>
    <w:rsid w:val="5A2F36F3"/>
    <w:rsid w:val="5A3B2434"/>
    <w:rsid w:val="5AF96C91"/>
    <w:rsid w:val="5B6836FC"/>
    <w:rsid w:val="5B72774B"/>
    <w:rsid w:val="5B7A6F8C"/>
    <w:rsid w:val="5B7C7C7A"/>
    <w:rsid w:val="5BEF34D6"/>
    <w:rsid w:val="5C313AEE"/>
    <w:rsid w:val="5C643EC4"/>
    <w:rsid w:val="5C9D38E9"/>
    <w:rsid w:val="5D7117CF"/>
    <w:rsid w:val="5E902278"/>
    <w:rsid w:val="5EB12C47"/>
    <w:rsid w:val="5ED115B9"/>
    <w:rsid w:val="5EFA466C"/>
    <w:rsid w:val="5EFC6636"/>
    <w:rsid w:val="5F762093"/>
    <w:rsid w:val="600B26C3"/>
    <w:rsid w:val="604745DC"/>
    <w:rsid w:val="606E519E"/>
    <w:rsid w:val="60760711"/>
    <w:rsid w:val="61DB639E"/>
    <w:rsid w:val="61F53810"/>
    <w:rsid w:val="622540F5"/>
    <w:rsid w:val="623A44B2"/>
    <w:rsid w:val="626253CB"/>
    <w:rsid w:val="629848C7"/>
    <w:rsid w:val="62AA45FB"/>
    <w:rsid w:val="62C60F92"/>
    <w:rsid w:val="62FF4946"/>
    <w:rsid w:val="639808F7"/>
    <w:rsid w:val="63C06D4B"/>
    <w:rsid w:val="643B43E5"/>
    <w:rsid w:val="644840CB"/>
    <w:rsid w:val="64783A03"/>
    <w:rsid w:val="647C3D75"/>
    <w:rsid w:val="64947310"/>
    <w:rsid w:val="652B653A"/>
    <w:rsid w:val="65324A77"/>
    <w:rsid w:val="65B579E1"/>
    <w:rsid w:val="65C82364"/>
    <w:rsid w:val="65EB2F60"/>
    <w:rsid w:val="665E094F"/>
    <w:rsid w:val="666B1279"/>
    <w:rsid w:val="67445E3E"/>
    <w:rsid w:val="67CA11C8"/>
    <w:rsid w:val="67ED7463"/>
    <w:rsid w:val="680A383B"/>
    <w:rsid w:val="6816444D"/>
    <w:rsid w:val="683F7593"/>
    <w:rsid w:val="684A6092"/>
    <w:rsid w:val="684D6C63"/>
    <w:rsid w:val="684F3BD0"/>
    <w:rsid w:val="692C5D69"/>
    <w:rsid w:val="69782D5D"/>
    <w:rsid w:val="6982278F"/>
    <w:rsid w:val="6A2E5B11"/>
    <w:rsid w:val="6A4110C0"/>
    <w:rsid w:val="6A8D0A8A"/>
    <w:rsid w:val="6A9E4885"/>
    <w:rsid w:val="6AB04778"/>
    <w:rsid w:val="6AF477D8"/>
    <w:rsid w:val="6B533A81"/>
    <w:rsid w:val="6B902CAD"/>
    <w:rsid w:val="6BA344F1"/>
    <w:rsid w:val="6C582E82"/>
    <w:rsid w:val="6C7A4D15"/>
    <w:rsid w:val="6CA125CA"/>
    <w:rsid w:val="6CB0280D"/>
    <w:rsid w:val="6CCC0737"/>
    <w:rsid w:val="6CEE7D34"/>
    <w:rsid w:val="6DA13330"/>
    <w:rsid w:val="6E453429"/>
    <w:rsid w:val="6E947E27"/>
    <w:rsid w:val="6E9D68AD"/>
    <w:rsid w:val="6F7E5FEF"/>
    <w:rsid w:val="6FF2313D"/>
    <w:rsid w:val="70077E0F"/>
    <w:rsid w:val="706923E4"/>
    <w:rsid w:val="70A07075"/>
    <w:rsid w:val="70C04FE9"/>
    <w:rsid w:val="70EE5FFA"/>
    <w:rsid w:val="712E63F7"/>
    <w:rsid w:val="71767512"/>
    <w:rsid w:val="71862610"/>
    <w:rsid w:val="71C32FE3"/>
    <w:rsid w:val="71E202B2"/>
    <w:rsid w:val="71E91227"/>
    <w:rsid w:val="72330169"/>
    <w:rsid w:val="72D80D10"/>
    <w:rsid w:val="72E44894"/>
    <w:rsid w:val="72E72D01"/>
    <w:rsid w:val="733E4FB1"/>
    <w:rsid w:val="736E6F7E"/>
    <w:rsid w:val="739509AF"/>
    <w:rsid w:val="73B54AC6"/>
    <w:rsid w:val="73CD639B"/>
    <w:rsid w:val="753D0260"/>
    <w:rsid w:val="758D7F13"/>
    <w:rsid w:val="75AD42AA"/>
    <w:rsid w:val="75EE27EC"/>
    <w:rsid w:val="763A78B0"/>
    <w:rsid w:val="768B09FE"/>
    <w:rsid w:val="76C90556"/>
    <w:rsid w:val="76C9109B"/>
    <w:rsid w:val="779C1F25"/>
    <w:rsid w:val="78661E84"/>
    <w:rsid w:val="78882890"/>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584F27"/>
    <w:rsid w:val="7D8C2E23"/>
    <w:rsid w:val="7DD345AE"/>
    <w:rsid w:val="7E431733"/>
    <w:rsid w:val="7EED7210"/>
    <w:rsid w:val="7EEE1462"/>
    <w:rsid w:val="7EFB0260"/>
    <w:rsid w:val="7F590AE3"/>
    <w:rsid w:val="7F7C73FD"/>
    <w:rsid w:val="7F865359"/>
    <w:rsid w:val="7F8E0DA1"/>
    <w:rsid w:val="7F9129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qFormat="1" w:uiPriority="39" w:semiHidden="0" w:name="toc 5"/>
    <w:lsdException w:uiPriority="39" w:name="toc 6"/>
    <w:lsdException w:qFormat="1"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qFormat="1"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1"/>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52"/>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53"/>
    <w:unhideWhenUsed/>
    <w:qFormat/>
    <w:uiPriority w:val="9"/>
    <w:pPr>
      <w:keepNext/>
      <w:keepLines/>
      <w:spacing w:before="260" w:after="260" w:line="415" w:lineRule="auto"/>
      <w:outlineLvl w:val="2"/>
    </w:pPr>
    <w:rPr>
      <w:b/>
      <w:bCs/>
      <w:sz w:val="32"/>
      <w:szCs w:val="32"/>
    </w:rPr>
  </w:style>
  <w:style w:type="character" w:default="1" w:styleId="28">
    <w:name w:val="Default Paragraph Font"/>
    <w:semiHidden/>
    <w:unhideWhenUsed/>
    <w:uiPriority w:val="1"/>
  </w:style>
  <w:style w:type="table" w:default="1" w:styleId="26">
    <w:name w:val="Normal Table"/>
    <w:semiHidden/>
    <w:unhideWhenUsed/>
    <w:uiPriority w:val="99"/>
    <w:tblPr>
      <w:tblCellMar>
        <w:top w:w="0" w:type="dxa"/>
        <w:left w:w="108" w:type="dxa"/>
        <w:bottom w:w="0" w:type="dxa"/>
        <w:right w:w="108" w:type="dxa"/>
      </w:tblCellMar>
    </w:tblPr>
  </w:style>
  <w:style w:type="paragraph" w:styleId="5">
    <w:name w:val="toc 7"/>
    <w:basedOn w:val="1"/>
    <w:next w:val="1"/>
    <w:autoRedefine/>
    <w:semiHidden/>
    <w:unhideWhenUsed/>
    <w:qFormat/>
    <w:uiPriority w:val="39"/>
    <w:pPr>
      <w:ind w:left="2520" w:leftChars="1200"/>
    </w:pPr>
  </w:style>
  <w:style w:type="paragraph" w:styleId="6">
    <w:name w:val="table of authorities"/>
    <w:basedOn w:val="1"/>
    <w:next w:val="1"/>
    <w:unhideWhenUsed/>
    <w:qFormat/>
    <w:uiPriority w:val="99"/>
    <w:pPr>
      <w:ind w:left="420" w:leftChars="200"/>
    </w:pPr>
    <w:rPr>
      <w:rFonts w:ascii="Calibri" w:hAnsi="Calibri"/>
      <w:szCs w:val="20"/>
    </w:rPr>
  </w:style>
  <w:style w:type="paragraph" w:styleId="7">
    <w:name w:val="Normal Indent"/>
    <w:basedOn w:val="1"/>
    <w:link w:val="54"/>
    <w:unhideWhenUsed/>
    <w:qFormat/>
    <w:uiPriority w:val="0"/>
    <w:pPr>
      <w:ind w:firstLine="420"/>
    </w:pPr>
    <w:rPr>
      <w:rFonts w:ascii="等线" w:hAnsi="等线" w:cs="黑体"/>
    </w:rPr>
  </w:style>
  <w:style w:type="paragraph" w:styleId="8">
    <w:name w:val="caption"/>
    <w:basedOn w:val="1"/>
    <w:next w:val="1"/>
    <w:semiHidden/>
    <w:unhideWhenUsed/>
    <w:qFormat/>
    <w:uiPriority w:val="35"/>
    <w:pPr>
      <w:widowControl/>
      <w:spacing w:after="200"/>
      <w:jc w:val="left"/>
    </w:pPr>
    <w:rPr>
      <w:rFonts w:ascii="Calibri" w:hAnsi="Calibri"/>
      <w:b/>
      <w:bCs/>
      <w:color w:val="2DA2BF"/>
      <w:kern w:val="0"/>
      <w:sz w:val="18"/>
      <w:szCs w:val="18"/>
    </w:rPr>
  </w:style>
  <w:style w:type="paragraph" w:styleId="9">
    <w:name w:val="annotation text"/>
    <w:basedOn w:val="1"/>
    <w:link w:val="55"/>
    <w:unhideWhenUsed/>
    <w:qFormat/>
    <w:uiPriority w:val="99"/>
    <w:pPr>
      <w:jc w:val="left"/>
    </w:pPr>
  </w:style>
  <w:style w:type="paragraph" w:styleId="10">
    <w:name w:val="Body Text"/>
    <w:basedOn w:val="1"/>
    <w:link w:val="60"/>
    <w:unhideWhenUsed/>
    <w:qFormat/>
    <w:uiPriority w:val="99"/>
    <w:pPr>
      <w:widowControl/>
      <w:spacing w:after="160"/>
      <w:jc w:val="left"/>
    </w:pPr>
    <w:rPr>
      <w:rFonts w:ascii="仿宋体" w:eastAsia="仿宋体"/>
      <w:kern w:val="0"/>
      <w:sz w:val="20"/>
      <w:lang w:eastAsia="en-US"/>
    </w:rPr>
  </w:style>
  <w:style w:type="paragraph" w:styleId="11">
    <w:name w:val="Body Text Indent"/>
    <w:basedOn w:val="1"/>
    <w:link w:val="79"/>
    <w:semiHidden/>
    <w:unhideWhenUsed/>
    <w:qFormat/>
    <w:uiPriority w:val="99"/>
    <w:pPr>
      <w:spacing w:after="120"/>
      <w:ind w:left="283"/>
    </w:pPr>
  </w:style>
  <w:style w:type="paragraph" w:styleId="12">
    <w:name w:val="toc 5"/>
    <w:basedOn w:val="1"/>
    <w:next w:val="1"/>
    <w:unhideWhenUsed/>
    <w:qFormat/>
    <w:uiPriority w:val="39"/>
    <w:pPr>
      <w:adjustRightInd w:val="0"/>
      <w:snapToGrid w:val="0"/>
      <w:spacing w:line="360" w:lineRule="auto"/>
      <w:ind w:left="150" w:leftChars="150"/>
    </w:pPr>
    <w:rPr>
      <w:rFonts w:asciiTheme="minorHAnsi" w:hAnsiTheme="minorHAnsi" w:eastAsiaTheme="minorEastAsia" w:cstheme="minorBidi"/>
      <w:sz w:val="28"/>
    </w:rPr>
  </w:style>
  <w:style w:type="paragraph" w:styleId="13">
    <w:name w:val="Plain Text"/>
    <w:basedOn w:val="1"/>
    <w:next w:val="1"/>
    <w:link w:val="61"/>
    <w:unhideWhenUsed/>
    <w:qFormat/>
    <w:uiPriority w:val="99"/>
    <w:rPr>
      <w:rFonts w:ascii="宋体" w:hAnsi="Courier New" w:cs="Courier New"/>
      <w:szCs w:val="21"/>
    </w:rPr>
  </w:style>
  <w:style w:type="paragraph" w:styleId="14">
    <w:name w:val="endnote text"/>
    <w:basedOn w:val="1"/>
    <w:link w:val="59"/>
    <w:unhideWhenUsed/>
    <w:qFormat/>
    <w:uiPriority w:val="99"/>
    <w:pPr>
      <w:snapToGrid w:val="0"/>
      <w:jc w:val="left"/>
    </w:pPr>
    <w:rPr>
      <w:rFonts w:ascii="等线" w:hAnsi="等线" w:cs="黑体"/>
    </w:rPr>
  </w:style>
  <w:style w:type="paragraph" w:styleId="15">
    <w:name w:val="Balloon Text"/>
    <w:basedOn w:val="1"/>
    <w:link w:val="63"/>
    <w:unhideWhenUsed/>
    <w:qFormat/>
    <w:uiPriority w:val="99"/>
    <w:rPr>
      <w:rFonts w:ascii="等线" w:hAnsi="等线" w:cs="黑体"/>
      <w:sz w:val="18"/>
      <w:szCs w:val="18"/>
    </w:rPr>
  </w:style>
  <w:style w:type="paragraph" w:styleId="16">
    <w:name w:val="footer"/>
    <w:basedOn w:val="1"/>
    <w:link w:val="58"/>
    <w:unhideWhenUsed/>
    <w:qFormat/>
    <w:uiPriority w:val="99"/>
    <w:pPr>
      <w:tabs>
        <w:tab w:val="center" w:pos="4153"/>
        <w:tab w:val="right" w:pos="8306"/>
      </w:tabs>
      <w:snapToGrid w:val="0"/>
      <w:jc w:val="left"/>
    </w:pPr>
    <w:rPr>
      <w:rFonts w:ascii="等线" w:hAnsi="等线" w:cs="黑体"/>
      <w:sz w:val="18"/>
      <w:szCs w:val="18"/>
    </w:rPr>
  </w:style>
  <w:style w:type="paragraph" w:styleId="17">
    <w:name w:val="envelope return"/>
    <w:basedOn w:val="1"/>
    <w:autoRedefine/>
    <w:unhideWhenUsed/>
    <w:qFormat/>
    <w:uiPriority w:val="99"/>
    <w:pPr>
      <w:snapToGrid w:val="0"/>
    </w:pPr>
    <w:rPr>
      <w:rFonts w:ascii="Cambria" w:hAnsi="Cambria" w:eastAsiaTheme="minorEastAsia" w:cstheme="minorBidi"/>
      <w:szCs w:val="20"/>
    </w:rPr>
  </w:style>
  <w:style w:type="paragraph" w:styleId="18">
    <w:name w:val="header"/>
    <w:basedOn w:val="1"/>
    <w:link w:val="57"/>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9">
    <w:name w:val="toc 1"/>
    <w:basedOn w:val="20"/>
    <w:next w:val="2"/>
    <w:unhideWhenUsed/>
    <w:qFormat/>
    <w:uiPriority w:val="39"/>
    <w:pPr>
      <w:widowControl/>
      <w:tabs>
        <w:tab w:val="right" w:leader="dot" w:pos="9514"/>
      </w:tabs>
      <w:spacing w:line="440" w:lineRule="exact"/>
      <w:jc w:val="center"/>
    </w:pPr>
    <w:rPr>
      <w:rFonts w:eastAsia="黑体"/>
      <w:b/>
      <w:i w:val="0"/>
      <w:sz w:val="24"/>
      <w:szCs w:val="24"/>
    </w:rPr>
  </w:style>
  <w:style w:type="paragraph" w:customStyle="1" w:styleId="20">
    <w:name w:val="引用1"/>
    <w:basedOn w:val="1"/>
    <w:next w:val="1"/>
    <w:link w:val="64"/>
    <w:qFormat/>
    <w:uiPriority w:val="29"/>
    <w:rPr>
      <w:rFonts w:ascii="等线" w:hAnsi="等线" w:cs="黑体"/>
      <w:i/>
      <w:iCs/>
      <w:color w:val="000000"/>
    </w:rPr>
  </w:style>
  <w:style w:type="paragraph" w:styleId="21">
    <w:name w:val="toc 2"/>
    <w:basedOn w:val="20"/>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styleId="2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23">
    <w:name w:val="annotation subject"/>
    <w:basedOn w:val="9"/>
    <w:next w:val="9"/>
    <w:link w:val="62"/>
    <w:unhideWhenUsed/>
    <w:qFormat/>
    <w:uiPriority w:val="99"/>
    <w:rPr>
      <w:rFonts w:ascii="等线" w:hAnsi="等线" w:cs="黑体"/>
      <w:b/>
      <w:bCs/>
    </w:rPr>
  </w:style>
  <w:style w:type="paragraph" w:styleId="24">
    <w:name w:val="Body Text First Indent"/>
    <w:basedOn w:val="10"/>
    <w:link w:val="78"/>
    <w:autoRedefine/>
    <w:semiHidden/>
    <w:unhideWhenUsed/>
    <w:qFormat/>
    <w:uiPriority w:val="99"/>
    <w:pPr>
      <w:widowControl w:val="0"/>
      <w:spacing w:after="120"/>
      <w:ind w:firstLine="420" w:firstLineChars="100"/>
      <w:jc w:val="both"/>
    </w:pPr>
    <w:rPr>
      <w:rFonts w:asciiTheme="minorHAnsi" w:hAnsiTheme="minorHAnsi" w:eastAsiaTheme="minorEastAsia" w:cstheme="minorBidi"/>
      <w:kern w:val="2"/>
      <w:sz w:val="21"/>
      <w:lang w:eastAsia="zh-CN"/>
    </w:rPr>
  </w:style>
  <w:style w:type="paragraph" w:styleId="25">
    <w:name w:val="Body Text First Indent 2"/>
    <w:basedOn w:val="11"/>
    <w:link w:val="80"/>
    <w:unhideWhenUsed/>
    <w:qFormat/>
    <w:uiPriority w:val="99"/>
    <w:pPr>
      <w:spacing w:after="0"/>
      <w:ind w:left="360" w:firstLine="360"/>
    </w:p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rPr>
  </w:style>
  <w:style w:type="character" w:styleId="30">
    <w:name w:val="FollowedHyperlink"/>
    <w:basedOn w:val="28"/>
    <w:unhideWhenUsed/>
    <w:qFormat/>
    <w:uiPriority w:val="99"/>
    <w:rPr>
      <w:color w:val="954F72"/>
      <w:u w:val="single"/>
    </w:rPr>
  </w:style>
  <w:style w:type="character" w:styleId="31">
    <w:name w:val="Emphasis"/>
    <w:qFormat/>
    <w:uiPriority w:val="20"/>
    <w:rPr>
      <w:i/>
      <w:iCs/>
    </w:rPr>
  </w:style>
  <w:style w:type="character" w:styleId="32">
    <w:name w:val="HTML Typewriter"/>
    <w:basedOn w:val="28"/>
    <w:qFormat/>
    <w:uiPriority w:val="0"/>
    <w:rPr>
      <w:rFonts w:hint="default" w:ascii="monospace" w:hAnsi="monospace" w:eastAsia="monospace" w:cs="monospace"/>
      <w:sz w:val="20"/>
    </w:rPr>
  </w:style>
  <w:style w:type="character" w:styleId="33">
    <w:name w:val="Hyperlink"/>
    <w:unhideWhenUsed/>
    <w:qFormat/>
    <w:uiPriority w:val="99"/>
    <w:rPr>
      <w:color w:val="0000FF"/>
      <w:u w:val="single"/>
    </w:rPr>
  </w:style>
  <w:style w:type="character" w:styleId="34">
    <w:name w:val="annotation reference"/>
    <w:basedOn w:val="28"/>
    <w:unhideWhenUsed/>
    <w:qFormat/>
    <w:uiPriority w:val="99"/>
    <w:rPr>
      <w:sz w:val="21"/>
      <w:szCs w:val="21"/>
    </w:rPr>
  </w:style>
  <w:style w:type="paragraph" w:customStyle="1" w:styleId="35">
    <w:name w:val="msonormal"/>
    <w:basedOn w:val="1"/>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6">
    <w:name w:val="列表段落1"/>
    <w:basedOn w:val="1"/>
    <w:link w:val="69"/>
    <w:qFormat/>
    <w:uiPriority w:val="34"/>
    <w:pPr>
      <w:ind w:firstLine="420" w:firstLineChars="200"/>
    </w:pPr>
  </w:style>
  <w:style w:type="paragraph" w:customStyle="1" w:styleId="37">
    <w:name w:val="列出段落1"/>
    <w:basedOn w:val="1"/>
    <w:qFormat/>
    <w:uiPriority w:val="34"/>
    <w:pPr>
      <w:ind w:firstLine="420" w:firstLineChars="200"/>
    </w:pPr>
  </w:style>
  <w:style w:type="paragraph" w:customStyle="1" w:styleId="38">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9">
    <w:name w:val="列出段落2"/>
    <w:basedOn w:val="1"/>
    <w:qFormat/>
    <w:uiPriority w:val="34"/>
    <w:pPr>
      <w:ind w:firstLine="420" w:firstLineChars="200"/>
    </w:pPr>
  </w:style>
  <w:style w:type="paragraph" w:customStyle="1" w:styleId="40">
    <w:name w:val="p0"/>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
    <w:name w:val="段落"/>
    <w:basedOn w:val="1"/>
    <w:qFormat/>
    <w:uiPriority w:val="99"/>
    <w:pPr>
      <w:shd w:val="clear" w:color="auto" w:fill="FFFFFF"/>
      <w:spacing w:line="360" w:lineRule="auto"/>
      <w:ind w:firstLine="480" w:firstLineChars="200"/>
    </w:pPr>
    <w:rPr>
      <w:rFonts w:ascii="Calibri" w:hAnsi="Calibri" w:cs="黑体"/>
      <w:sz w:val="24"/>
    </w:rPr>
  </w:style>
  <w:style w:type="paragraph" w:customStyle="1" w:styleId="42">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43">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44">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样式 标题 3 + (中文) 黑体 小四 非加粗 段前: 7.8 磅 段后: 0 磅 行距: 固定值 20 磅"/>
    <w:basedOn w:val="4"/>
    <w:qFormat/>
    <w:uiPriority w:val="99"/>
    <w:pPr>
      <w:spacing w:before="0" w:after="0" w:line="400" w:lineRule="exact"/>
    </w:pPr>
    <w:rPr>
      <w:rFonts w:ascii="Calibri" w:hAnsi="Calibri" w:eastAsia="黑体" w:cs="宋体"/>
      <w:b w:val="0"/>
      <w:sz w:val="24"/>
      <w:szCs w:val="20"/>
    </w:rPr>
  </w:style>
  <w:style w:type="paragraph" w:customStyle="1" w:styleId="46">
    <w:name w:val="Table Paragraph"/>
    <w:basedOn w:val="1"/>
    <w:qFormat/>
    <w:uiPriority w:val="1"/>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7">
    <w:name w:val="纯文本1"/>
    <w:basedOn w:val="1"/>
    <w:qFormat/>
    <w:uiPriority w:val="99"/>
    <w:pPr>
      <w:widowControl/>
      <w:spacing w:after="200" w:line="276" w:lineRule="auto"/>
      <w:jc w:val="left"/>
    </w:pPr>
    <w:rPr>
      <w:rFonts w:ascii="宋体" w:hAnsi="Courier New"/>
      <w:kern w:val="0"/>
      <w:sz w:val="22"/>
      <w:szCs w:val="21"/>
    </w:rPr>
  </w:style>
  <w:style w:type="paragraph" w:customStyle="1" w:styleId="48">
    <w:name w:val="footnote description"/>
    <w:next w:val="1"/>
    <w:link w:val="65"/>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9">
    <w:name w:val="修订1"/>
    <w:hidden/>
    <w:semiHidden/>
    <w:qFormat/>
    <w:uiPriority w:val="99"/>
    <w:rPr>
      <w:rFonts w:ascii="Times New Roman" w:hAnsi="Times New Roman" w:eastAsia="宋体" w:cs="Times New Roman"/>
      <w:kern w:val="2"/>
      <w:sz w:val="21"/>
      <w:szCs w:val="22"/>
      <w:lang w:val="en-US" w:eastAsia="zh-CN" w:bidi="ar-SA"/>
    </w:rPr>
  </w:style>
  <w:style w:type="paragraph" w:customStyle="1" w:styleId="50">
    <w:name w:val="普通 (Web)"/>
    <w:basedOn w:val="1"/>
    <w:next w:val="1"/>
    <w:link w:val="74"/>
    <w:qFormat/>
    <w:uiPriority w:val="0"/>
    <w:pPr>
      <w:autoSpaceDE w:val="0"/>
      <w:autoSpaceDN w:val="0"/>
      <w:adjustRightInd w:val="0"/>
      <w:jc w:val="left"/>
    </w:pPr>
    <w:rPr>
      <w:rFonts w:ascii="黑体" w:eastAsia="黑体"/>
      <w:kern w:val="0"/>
      <w:sz w:val="24"/>
    </w:rPr>
  </w:style>
  <w:style w:type="character" w:customStyle="1" w:styleId="51">
    <w:name w:val="标题 1 字符"/>
    <w:basedOn w:val="28"/>
    <w:link w:val="2"/>
    <w:qFormat/>
    <w:uiPriority w:val="1"/>
    <w:rPr>
      <w:rFonts w:ascii="Times New Roman" w:hAnsi="Times New Roman" w:eastAsia="宋体" w:cs="Times New Roman"/>
      <w:b/>
      <w:bCs/>
      <w:kern w:val="44"/>
      <w:sz w:val="44"/>
      <w:szCs w:val="44"/>
    </w:rPr>
  </w:style>
  <w:style w:type="character" w:customStyle="1" w:styleId="52">
    <w:name w:val="标题 2 字符"/>
    <w:basedOn w:val="28"/>
    <w:link w:val="3"/>
    <w:semiHidden/>
    <w:qFormat/>
    <w:uiPriority w:val="9"/>
    <w:rPr>
      <w:rFonts w:ascii="Cambria" w:hAnsi="Cambria" w:eastAsia="宋体" w:cs="Times New Roman"/>
      <w:b/>
      <w:bCs/>
      <w:kern w:val="0"/>
      <w:sz w:val="32"/>
      <w:szCs w:val="32"/>
    </w:rPr>
  </w:style>
  <w:style w:type="character" w:customStyle="1" w:styleId="53">
    <w:name w:val="标题 3 字符"/>
    <w:basedOn w:val="28"/>
    <w:link w:val="4"/>
    <w:qFormat/>
    <w:uiPriority w:val="9"/>
    <w:rPr>
      <w:rFonts w:ascii="Times New Roman" w:hAnsi="Times New Roman" w:eastAsia="宋体" w:cs="Times New Roman"/>
      <w:b/>
      <w:bCs/>
      <w:sz w:val="32"/>
      <w:szCs w:val="32"/>
    </w:rPr>
  </w:style>
  <w:style w:type="character" w:customStyle="1" w:styleId="54">
    <w:name w:val="正文缩进 字符"/>
    <w:link w:val="7"/>
    <w:qFormat/>
    <w:locked/>
    <w:uiPriority w:val="0"/>
  </w:style>
  <w:style w:type="character" w:customStyle="1" w:styleId="55">
    <w:name w:val="批注文字 字符1"/>
    <w:basedOn w:val="28"/>
    <w:link w:val="9"/>
    <w:semiHidden/>
    <w:qFormat/>
    <w:locked/>
    <w:uiPriority w:val="99"/>
    <w:rPr>
      <w:rFonts w:ascii="Times New Roman" w:hAnsi="Times New Roman" w:eastAsia="宋体" w:cs="Times New Roman"/>
    </w:rPr>
  </w:style>
  <w:style w:type="character" w:customStyle="1" w:styleId="56">
    <w:name w:val="批注文字 字符"/>
    <w:basedOn w:val="28"/>
    <w:qFormat/>
    <w:uiPriority w:val="99"/>
    <w:rPr>
      <w:rFonts w:ascii="Times New Roman" w:hAnsi="Times New Roman" w:eastAsia="宋体" w:cs="Times New Roman"/>
    </w:rPr>
  </w:style>
  <w:style w:type="character" w:customStyle="1" w:styleId="57">
    <w:name w:val="页眉 字符"/>
    <w:basedOn w:val="28"/>
    <w:link w:val="18"/>
    <w:qFormat/>
    <w:uiPriority w:val="99"/>
    <w:rPr>
      <w:sz w:val="18"/>
      <w:szCs w:val="18"/>
    </w:rPr>
  </w:style>
  <w:style w:type="character" w:customStyle="1" w:styleId="58">
    <w:name w:val="页脚 字符"/>
    <w:basedOn w:val="28"/>
    <w:link w:val="16"/>
    <w:qFormat/>
    <w:uiPriority w:val="99"/>
    <w:rPr>
      <w:sz w:val="18"/>
      <w:szCs w:val="18"/>
    </w:rPr>
  </w:style>
  <w:style w:type="character" w:customStyle="1" w:styleId="59">
    <w:name w:val="尾注文本 字符"/>
    <w:basedOn w:val="28"/>
    <w:link w:val="14"/>
    <w:semiHidden/>
    <w:qFormat/>
    <w:uiPriority w:val="99"/>
  </w:style>
  <w:style w:type="character" w:customStyle="1" w:styleId="60">
    <w:name w:val="正文文本 字符"/>
    <w:basedOn w:val="28"/>
    <w:link w:val="10"/>
    <w:semiHidden/>
    <w:qFormat/>
    <w:uiPriority w:val="99"/>
    <w:rPr>
      <w:rFonts w:ascii="仿宋体" w:hAnsi="Times New Roman" w:eastAsia="仿宋体" w:cs="Times New Roman"/>
      <w:kern w:val="0"/>
      <w:sz w:val="20"/>
      <w:lang w:eastAsia="en-US"/>
    </w:rPr>
  </w:style>
  <w:style w:type="character" w:customStyle="1" w:styleId="61">
    <w:name w:val="纯文本 字符"/>
    <w:basedOn w:val="28"/>
    <w:link w:val="13"/>
    <w:semiHidden/>
    <w:qFormat/>
    <w:uiPriority w:val="99"/>
    <w:rPr>
      <w:rFonts w:ascii="宋体" w:hAnsi="Courier New" w:cs="Courier New"/>
      <w:szCs w:val="21"/>
    </w:rPr>
  </w:style>
  <w:style w:type="character" w:customStyle="1" w:styleId="62">
    <w:name w:val="批注主题 字符"/>
    <w:basedOn w:val="56"/>
    <w:link w:val="23"/>
    <w:semiHidden/>
    <w:qFormat/>
    <w:uiPriority w:val="99"/>
    <w:rPr>
      <w:rFonts w:ascii="Times New Roman" w:hAnsi="Times New Roman" w:eastAsia="宋体" w:cs="Times New Roman"/>
      <w:b/>
      <w:bCs/>
    </w:rPr>
  </w:style>
  <w:style w:type="character" w:customStyle="1" w:styleId="63">
    <w:name w:val="批注框文本 字符"/>
    <w:basedOn w:val="28"/>
    <w:link w:val="15"/>
    <w:semiHidden/>
    <w:qFormat/>
    <w:uiPriority w:val="99"/>
    <w:rPr>
      <w:sz w:val="18"/>
      <w:szCs w:val="18"/>
    </w:rPr>
  </w:style>
  <w:style w:type="character" w:customStyle="1" w:styleId="64">
    <w:name w:val="引用 Char"/>
    <w:link w:val="20"/>
    <w:qFormat/>
    <w:locked/>
    <w:uiPriority w:val="29"/>
    <w:rPr>
      <w:i/>
      <w:iCs/>
      <w:color w:val="000000"/>
    </w:rPr>
  </w:style>
  <w:style w:type="character" w:customStyle="1" w:styleId="65">
    <w:name w:val="footnote description Char"/>
    <w:link w:val="48"/>
    <w:qFormat/>
    <w:locked/>
    <w:uiPriority w:val="0"/>
    <w:rPr>
      <w:rFonts w:ascii="宋体" w:hAnsi="宋体" w:eastAsia="宋体" w:cs="宋体"/>
      <w:color w:val="000000"/>
      <w:sz w:val="18"/>
    </w:rPr>
  </w:style>
  <w:style w:type="character" w:customStyle="1" w:styleId="66">
    <w:name w:val="font01"/>
    <w:basedOn w:val="28"/>
    <w:qFormat/>
    <w:uiPriority w:val="0"/>
    <w:rPr>
      <w:rFonts w:hint="eastAsia" w:ascii="宋体" w:hAnsi="宋体" w:eastAsia="宋体" w:cs="宋体"/>
      <w:color w:val="000000"/>
      <w:sz w:val="20"/>
      <w:szCs w:val="20"/>
      <w:u w:val="none"/>
    </w:rPr>
  </w:style>
  <w:style w:type="character" w:customStyle="1" w:styleId="67">
    <w:name w:val="font21"/>
    <w:basedOn w:val="28"/>
    <w:qFormat/>
    <w:uiPriority w:val="0"/>
    <w:rPr>
      <w:rFonts w:hint="eastAsia" w:ascii="宋体" w:hAnsi="宋体" w:eastAsia="宋体"/>
      <w:color w:val="000000"/>
      <w:sz w:val="20"/>
      <w:szCs w:val="20"/>
      <w:u w:val="none"/>
    </w:rPr>
  </w:style>
  <w:style w:type="character" w:customStyle="1" w:styleId="68">
    <w:name w:val="纯文本 字符1"/>
    <w:basedOn w:val="28"/>
    <w:qFormat/>
    <w:uiPriority w:val="0"/>
    <w:rPr>
      <w:rFonts w:hint="eastAsia" w:ascii="宋体" w:hAnsi="Courier New" w:eastAsia="等线" w:cs="Courier New"/>
    </w:rPr>
  </w:style>
  <w:style w:type="character" w:customStyle="1" w:styleId="69">
    <w:name w:val="列出段落 字符"/>
    <w:link w:val="36"/>
    <w:qFormat/>
    <w:uiPriority w:val="34"/>
    <w:rPr>
      <w:rFonts w:ascii="Times New Roman" w:hAnsi="Times New Roman" w:eastAsia="宋体" w:cs="Times New Roman"/>
    </w:rPr>
  </w:style>
  <w:style w:type="character" w:customStyle="1" w:styleId="70">
    <w:name w:val="页脚 字符1"/>
    <w:basedOn w:val="28"/>
    <w:semiHidden/>
    <w:qFormat/>
    <w:uiPriority w:val="99"/>
    <w:rPr>
      <w:rFonts w:hint="default" w:ascii="Times New Roman" w:hAnsi="Times New Roman" w:eastAsia="宋体" w:cs="Times New Roman"/>
      <w:sz w:val="18"/>
      <w:szCs w:val="18"/>
    </w:rPr>
  </w:style>
  <w:style w:type="character" w:customStyle="1" w:styleId="71">
    <w:name w:val="尾注文本 字符1"/>
    <w:basedOn w:val="28"/>
    <w:semiHidden/>
    <w:qFormat/>
    <w:uiPriority w:val="99"/>
    <w:rPr>
      <w:rFonts w:hint="default" w:ascii="Times New Roman" w:hAnsi="Times New Roman" w:eastAsia="宋体" w:cs="Times New Roman"/>
    </w:rPr>
  </w:style>
  <w:style w:type="character" w:customStyle="1" w:styleId="72">
    <w:name w:val="批注主题 字符1"/>
    <w:basedOn w:val="56"/>
    <w:semiHidden/>
    <w:qFormat/>
    <w:uiPriority w:val="99"/>
    <w:rPr>
      <w:rFonts w:hint="default" w:ascii="Times New Roman" w:hAnsi="Times New Roman" w:eastAsia="宋体" w:cs="Times New Roman"/>
      <w:b/>
      <w:bCs/>
    </w:rPr>
  </w:style>
  <w:style w:type="character" w:customStyle="1" w:styleId="73">
    <w:name w:val="批注框文本 字符1"/>
    <w:basedOn w:val="28"/>
    <w:semiHidden/>
    <w:qFormat/>
    <w:uiPriority w:val="99"/>
    <w:rPr>
      <w:rFonts w:hint="default" w:ascii="Times New Roman" w:hAnsi="Times New Roman" w:eastAsia="宋体" w:cs="Times New Roman"/>
      <w:sz w:val="18"/>
      <w:szCs w:val="18"/>
    </w:rPr>
  </w:style>
  <w:style w:type="character" w:customStyle="1" w:styleId="74">
    <w:name w:val="普通 (Web) Char"/>
    <w:link w:val="50"/>
    <w:qFormat/>
    <w:uiPriority w:val="0"/>
    <w:rPr>
      <w:rFonts w:ascii="黑体" w:eastAsia="黑体"/>
      <w:kern w:val="0"/>
      <w:sz w:val="24"/>
    </w:rPr>
  </w:style>
  <w:style w:type="table" w:customStyle="1" w:styleId="75">
    <w:name w:val="网格型1"/>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6">
    <w:name w:val="List Paragraph"/>
    <w:basedOn w:val="1"/>
    <w:qFormat/>
    <w:uiPriority w:val="34"/>
    <w:pPr>
      <w:ind w:firstLine="420" w:firstLineChars="200"/>
    </w:pPr>
    <w:rPr>
      <w:rFonts w:asciiTheme="minorHAnsi" w:hAnsiTheme="minorHAnsi" w:eastAsiaTheme="minorEastAsia" w:cstheme="minorBidi"/>
    </w:rPr>
  </w:style>
  <w:style w:type="character" w:customStyle="1" w:styleId="77">
    <w:name w:val="content-right_2s-h4"/>
    <w:basedOn w:val="28"/>
    <w:qFormat/>
    <w:uiPriority w:val="0"/>
  </w:style>
  <w:style w:type="character" w:customStyle="1" w:styleId="78">
    <w:name w:val="正文文本首行缩进 字符"/>
    <w:basedOn w:val="60"/>
    <w:link w:val="24"/>
    <w:semiHidden/>
    <w:qFormat/>
    <w:uiPriority w:val="99"/>
    <w:rPr>
      <w:rFonts w:asciiTheme="minorHAnsi" w:hAnsiTheme="minorHAnsi" w:eastAsiaTheme="minorEastAsia" w:cstheme="minorBidi"/>
      <w:kern w:val="2"/>
      <w:sz w:val="21"/>
      <w:szCs w:val="22"/>
      <w:lang w:eastAsia="en-US"/>
    </w:rPr>
  </w:style>
  <w:style w:type="character" w:customStyle="1" w:styleId="79">
    <w:name w:val="正文文本缩进 字符"/>
    <w:basedOn w:val="28"/>
    <w:link w:val="11"/>
    <w:autoRedefine/>
    <w:semiHidden/>
    <w:qFormat/>
    <w:uiPriority w:val="99"/>
    <w:rPr>
      <w:kern w:val="2"/>
      <w:sz w:val="21"/>
      <w:szCs w:val="22"/>
    </w:rPr>
  </w:style>
  <w:style w:type="character" w:customStyle="1" w:styleId="80">
    <w:name w:val="正文文本首行缩进 2 字符"/>
    <w:basedOn w:val="79"/>
    <w:link w:val="25"/>
    <w:autoRedefine/>
    <w:qFormat/>
    <w:uiPriority w:val="99"/>
    <w:rPr>
      <w:kern w:val="2"/>
      <w:sz w:val="21"/>
      <w:szCs w:val="22"/>
    </w:rPr>
  </w:style>
  <w:style w:type="paragraph" w:customStyle="1" w:styleId="81">
    <w:name w:val="Char Char Char Char1"/>
    <w:basedOn w:val="1"/>
    <w:qFormat/>
    <w:uiPriority w:val="0"/>
    <w:rPr>
      <w:rFonts w:ascii="Tahoma" w:hAnsi="Tahoma"/>
      <w:sz w:val="24"/>
      <w:szCs w:val="20"/>
      <w:lang w:val="en"/>
    </w:rPr>
  </w:style>
  <w:style w:type="paragraph" w:customStyle="1" w:styleId="82">
    <w:name w:val="Table Text"/>
    <w:basedOn w:val="1"/>
    <w:autoRedefine/>
    <w:semiHidden/>
    <w:qFormat/>
    <w:uiPriority w:val="99"/>
    <w:rPr>
      <w:rFonts w:ascii="宋体" w:hAnsi="宋体" w:cs="宋体"/>
      <w:szCs w:val="21"/>
      <w:lang w:eastAsia="en-US"/>
    </w:rPr>
  </w:style>
  <w:style w:type="character" w:customStyle="1" w:styleId="83">
    <w:name w:val="font11"/>
    <w:basedOn w:val="28"/>
    <w:autoRedefine/>
    <w:qFormat/>
    <w:uiPriority w:val="0"/>
    <w:rPr>
      <w:rFonts w:hint="eastAsia" w:ascii="宋体" w:hAnsi="宋体" w:eastAsia="宋体" w:cs="宋体"/>
      <w:color w:val="000000"/>
      <w:sz w:val="20"/>
      <w:szCs w:val="20"/>
      <w:u w:val="none"/>
    </w:rPr>
  </w:style>
  <w:style w:type="character" w:customStyle="1" w:styleId="84">
    <w:name w:val="font71"/>
    <w:basedOn w:val="28"/>
    <w:autoRedefine/>
    <w:qFormat/>
    <w:uiPriority w:val="0"/>
    <w:rPr>
      <w:rFonts w:hint="eastAsia" w:ascii="宋体" w:hAnsi="宋体" w:eastAsia="宋体" w:cs="宋体"/>
      <w:color w:val="000000"/>
      <w:sz w:val="20"/>
      <w:szCs w:val="20"/>
      <w:u w:val="single"/>
    </w:rPr>
  </w:style>
  <w:style w:type="table" w:customStyle="1" w:styleId="85">
    <w:name w:val="Table Normal"/>
    <w:autoRedefine/>
    <w:semiHidden/>
    <w:qFormat/>
    <w:uiPriority w:val="0"/>
    <w:tblPr>
      <w:tblCellMar>
        <w:top w:w="0" w:type="dxa"/>
        <w:left w:w="0" w:type="dxa"/>
        <w:bottom w:w="0" w:type="dxa"/>
        <w:right w:w="0" w:type="dxa"/>
      </w:tblCellMar>
    </w:tblPr>
  </w:style>
  <w:style w:type="character" w:customStyle="1" w:styleId="86">
    <w:name w:val="font31"/>
    <w:basedOn w:val="28"/>
    <w:qFormat/>
    <w:uiPriority w:val="0"/>
    <w:rPr>
      <w:rFonts w:hint="default" w:ascii="Wingdings 2" w:hAnsi="Wingdings 2"/>
      <w:color w:val="000000"/>
      <w:sz w:val="20"/>
      <w:szCs w:val="20"/>
      <w:u w:val="none"/>
    </w:rPr>
  </w:style>
  <w:style w:type="character" w:customStyle="1" w:styleId="87">
    <w:name w:val="font41"/>
    <w:basedOn w:val="28"/>
    <w:qFormat/>
    <w:uiPriority w:val="0"/>
    <w:rPr>
      <w:rFonts w:hint="eastAsia" w:ascii="宋体" w:hAnsi="宋体" w:eastAsia="宋体"/>
      <w:color w:val="000000"/>
      <w:sz w:val="20"/>
      <w:szCs w:val="20"/>
      <w:u w:val="none"/>
    </w:rPr>
  </w:style>
  <w:style w:type="paragraph" w:customStyle="1" w:styleId="88">
    <w:name w:val="表-内容"/>
    <w:basedOn w:val="1"/>
    <w:qFormat/>
    <w:uiPriority w:val="0"/>
    <w:pPr>
      <w:autoSpaceDE w:val="0"/>
      <w:autoSpaceDN w:val="0"/>
      <w:spacing w:line="360" w:lineRule="auto"/>
    </w:pPr>
    <w:rPr>
      <w:rFonts w:ascii="仿宋" w:hAnsi="仿宋" w:eastAsia="仿宋"/>
      <w:color w:val="000000"/>
      <w:sz w:val="24"/>
      <w:szCs w:val="21"/>
    </w:rPr>
  </w:style>
  <w:style w:type="paragraph" w:customStyle="1" w:styleId="89">
    <w:name w:val="表-行名"/>
    <w:basedOn w:val="1"/>
    <w:qFormat/>
    <w:uiPriority w:val="0"/>
    <w:pPr>
      <w:autoSpaceDE w:val="0"/>
      <w:autoSpaceDN w:val="0"/>
      <w:spacing w:line="360" w:lineRule="auto"/>
      <w:jc w:val="center"/>
    </w:pPr>
    <w:rPr>
      <w:rFonts w:ascii="仿宋" w:hAnsi="仿宋" w:eastAsia="仿宋"/>
      <w:color w:val="000000"/>
      <w:sz w:val="24"/>
      <w:szCs w:val="21"/>
    </w:rPr>
  </w:style>
  <w:style w:type="character" w:customStyle="1" w:styleId="90">
    <w:name w:val="未处理的提及1"/>
    <w:basedOn w:val="28"/>
    <w:semiHidden/>
    <w:unhideWhenUsed/>
    <w:qFormat/>
    <w:uiPriority w:val="99"/>
    <w:rPr>
      <w:color w:val="605E5C"/>
      <w:shd w:val="clear" w:color="auto" w:fill="E1DFDD"/>
    </w:rPr>
  </w:style>
  <w:style w:type="character" w:customStyle="1" w:styleId="91">
    <w:name w:val="未处理的提及2"/>
    <w:basedOn w:val="28"/>
    <w:semiHidden/>
    <w:unhideWhenUsed/>
    <w:qFormat/>
    <w:uiPriority w:val="99"/>
    <w:rPr>
      <w:color w:val="605E5C"/>
      <w:shd w:val="clear" w:color="auto" w:fill="E1DFDD"/>
    </w:rPr>
  </w:style>
  <w:style w:type="paragraph" w:customStyle="1" w:styleId="92">
    <w:name w:val="修订2"/>
    <w:hidden/>
    <w:semiHidden/>
    <w:unhideWhenUsed/>
    <w:qFormat/>
    <w:uiPriority w:val="99"/>
    <w:rPr>
      <w:rFonts w:ascii="Times New Roman" w:hAnsi="Times New Roman" w:eastAsia="宋体" w:cs="Times New Roman"/>
      <w:kern w:val="2"/>
      <w:sz w:val="21"/>
      <w:szCs w:val="22"/>
      <w:lang w:val="en-US" w:eastAsia="zh-CN" w:bidi="ar-SA"/>
    </w:rPr>
  </w:style>
  <w:style w:type="character" w:customStyle="1" w:styleId="93">
    <w:name w:val="font51"/>
    <w:basedOn w:val="28"/>
    <w:qFormat/>
    <w:uiPriority w:val="0"/>
    <w:rPr>
      <w:rFonts w:hint="eastAsia" w:ascii="宋体" w:hAnsi="宋体" w:eastAsia="宋体" w:cs="宋体"/>
      <w:color w:val="FF0000"/>
      <w:sz w:val="22"/>
      <w:szCs w:val="22"/>
      <w:u w:val="none"/>
    </w:rPr>
  </w:style>
  <w:style w:type="paragraph" w:customStyle="1" w:styleId="94">
    <w:name w:val="BGZW"/>
    <w:basedOn w:val="1"/>
    <w:qFormat/>
    <w:uiPriority w:val="0"/>
    <w:pPr>
      <w:widowControl/>
      <w:wordWrap w:val="0"/>
    </w:pPr>
    <w:rPr>
      <w:rFonts w:ascii="宋体" w:hAnsi="宋体" w:cs="宋体"/>
      <w:color w:val="000000"/>
      <w:kern w:val="0"/>
      <w:szCs w:val="21"/>
    </w:rPr>
  </w:style>
  <w:style w:type="paragraph" w:customStyle="1" w:styleId="95">
    <w:name w:val="Revision"/>
    <w:hidden/>
    <w:unhideWhenUsed/>
    <w:qFormat/>
    <w:uiPriority w:val="99"/>
    <w:rPr>
      <w:rFonts w:ascii="Times New Roman" w:hAnsi="Times New Roman" w:eastAsia="宋体" w:cs="Times New Roman"/>
      <w:kern w:val="2"/>
      <w:sz w:val="21"/>
      <w:szCs w:val="22"/>
      <w:lang w:val="en-US" w:eastAsia="zh-CN" w:bidi="ar-SA"/>
    </w:rPr>
  </w:style>
  <w:style w:type="character" w:customStyle="1" w:styleId="96">
    <w:name w:val="Unresolved Mention"/>
    <w:basedOn w:val="2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45E36F9D94240A7BF718239C8B3B097"/>
        <w:style w:val=""/>
        <w:category>
          <w:name w:val="常规"/>
          <w:gallery w:val="placeholder"/>
        </w:category>
        <w:types>
          <w:type w:val="bbPlcHdr"/>
        </w:types>
        <w:behaviors>
          <w:behavior w:val="content"/>
        </w:behaviors>
        <w:description w:val=""/>
        <w:guid w:val="{24CD38EB-E430-4555-8933-AFD677FB31AC}"/>
      </w:docPartPr>
      <w:docPartBody>
        <w:p w14:paraId="5FEF57F2">
          <w:pPr>
            <w:pStyle w:val="5"/>
          </w:pPr>
          <w:r>
            <w:rPr>
              <w:rStyle w:val="4"/>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D7D"/>
    <w:rsid w:val="00011F68"/>
    <w:rsid w:val="00037770"/>
    <w:rsid w:val="00077A3B"/>
    <w:rsid w:val="000E5ACD"/>
    <w:rsid w:val="00151E0B"/>
    <w:rsid w:val="001B2C1B"/>
    <w:rsid w:val="00283029"/>
    <w:rsid w:val="004C5CE3"/>
    <w:rsid w:val="00500592"/>
    <w:rsid w:val="00512B4F"/>
    <w:rsid w:val="005264AD"/>
    <w:rsid w:val="005648E5"/>
    <w:rsid w:val="00576D1B"/>
    <w:rsid w:val="00603C8E"/>
    <w:rsid w:val="00637CD6"/>
    <w:rsid w:val="0064458B"/>
    <w:rsid w:val="006E6869"/>
    <w:rsid w:val="00705A8A"/>
    <w:rsid w:val="00740B0C"/>
    <w:rsid w:val="00755D7D"/>
    <w:rsid w:val="00767839"/>
    <w:rsid w:val="00843926"/>
    <w:rsid w:val="008B1354"/>
    <w:rsid w:val="008F526D"/>
    <w:rsid w:val="009C3ADE"/>
    <w:rsid w:val="00B47617"/>
    <w:rsid w:val="00BA013E"/>
    <w:rsid w:val="00BE57F8"/>
    <w:rsid w:val="00C4264A"/>
    <w:rsid w:val="00CA256A"/>
    <w:rsid w:val="00D65BAB"/>
    <w:rsid w:val="00D9682E"/>
    <w:rsid w:val="00E27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iPriority="99" w:semiHidden="0"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unhideWhenUsed/>
    <w:qFormat/>
    <w:uiPriority w:val="99"/>
    <w:rPr>
      <w:color w:val="808080"/>
    </w:rPr>
  </w:style>
  <w:style w:type="paragraph" w:customStyle="1" w:styleId="5">
    <w:name w:val="745E36F9D94240A7BF718239C8B3B097"/>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99</Pages>
  <Words>16381</Words>
  <Characters>17465</Characters>
  <Lines>550</Lines>
  <Paragraphs>155</Paragraphs>
  <TotalTime>0</TotalTime>
  <ScaleCrop>false</ScaleCrop>
  <LinksUpToDate>false</LinksUpToDate>
  <CharactersWithSpaces>17686</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2026-04-20T03:32:00Z</dcterms:created>
  <dc:creator>WG</dc:creator>
  <cp:lastModifiedBy>墨辞</cp:lastModifiedBy>
  <cp:lastPrinted>2021-06-18T01:38:00Z</cp:lastPrinted>
  <dcterms:modified xsi:type="dcterms:W3CDTF">2026-06-04T08:16:31Z</dcterms:modified>
  <dc:title>公开招标文件</dc:title>
  <cp:revision>307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7540EB424F43483087A207779CA272C6_13</vt:lpwstr>
  </property>
  <property fmtid="{D5CDD505-2E9C-101B-9397-08002B2CF9AE}" pid="4" name="KSOTemplateDocerSaveRecord">
    <vt:lpwstr>eyJoZGlkIjoiNTBmZmVkZjQ4MDNjZTVhMzQ1MjA0ZTM1ZmFiMjQ4NmEiLCJ1c2VySWQiOiIyNzQ4OTA1MjEifQ==</vt:lpwstr>
  </property>
</Properties>
</file>