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D70873">
      <w:pPr>
        <w:shd w:val="clear" w:color="auto" w:fill="auto"/>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drawing>
          <wp:anchor distT="0" distB="0" distL="114300" distR="114300" simplePos="0" relativeHeight="251666432" behindDoc="0" locked="0" layoutInCell="1" allowOverlap="1">
            <wp:simplePos x="0" y="0"/>
            <wp:positionH relativeFrom="column">
              <wp:posOffset>0</wp:posOffset>
            </wp:positionH>
            <wp:positionV relativeFrom="paragraph">
              <wp:posOffset>10795</wp:posOffset>
            </wp:positionV>
            <wp:extent cx="493395" cy="544195"/>
            <wp:effectExtent l="0" t="0" r="1905" b="8255"/>
            <wp:wrapSquare wrapText="bothSides"/>
            <wp:docPr id="9" name="图片 1"/>
            <wp:cNvGraphicFramePr/>
            <a:graphic xmlns:a="http://schemas.openxmlformats.org/drawingml/2006/main">
              <a:graphicData uri="http://schemas.openxmlformats.org/drawingml/2006/picture">
                <pic:pic xmlns:pic="http://schemas.openxmlformats.org/drawingml/2006/picture">
                  <pic:nvPicPr>
                    <pic:cNvPr id="9" name="图片 1"/>
                    <pic:cNvPicPr/>
                  </pic:nvPicPr>
                  <pic:blipFill>
                    <a:blip r:embed="rId11"/>
                    <a:stretch>
                      <a:fillRect/>
                    </a:stretch>
                  </pic:blipFill>
                  <pic:spPr>
                    <a:xfrm>
                      <a:off x="0" y="0"/>
                      <a:ext cx="493395" cy="544195"/>
                    </a:xfrm>
                    <a:prstGeom prst="rect">
                      <a:avLst/>
                    </a:prstGeom>
                    <a:noFill/>
                    <a:ln>
                      <a:noFill/>
                    </a:ln>
                  </pic:spPr>
                </pic:pic>
              </a:graphicData>
            </a:graphic>
          </wp:anchor>
        </w:drawing>
      </w:r>
      <w:r>
        <w:rPr>
          <w:rFonts w:hint="eastAsia" w:ascii="宋体" w:hAnsi="宋体" w:eastAsia="宋体" w:cs="宋体"/>
          <w:b/>
          <w:bCs/>
          <w:color w:val="auto"/>
          <w:sz w:val="28"/>
          <w:szCs w:val="28"/>
          <w:highlight w:val="none"/>
        </w:rPr>
        <w:t>湖北世发招标有限公司</w:t>
      </w:r>
    </w:p>
    <w:p w14:paraId="67FEF935">
      <w:pPr>
        <w:spacing w:line="240" w:lineRule="exact"/>
        <w:jc w:val="left"/>
        <w:rPr>
          <w:rFonts w:ascii="宋体" w:hAnsi="宋体"/>
          <w:b/>
          <w:color w:val="auto"/>
          <w:sz w:val="32"/>
          <w:highlight w:val="none"/>
          <w:u w:val="none"/>
        </w:rPr>
      </w:pPr>
      <w:r>
        <w:rPr>
          <w:rFonts w:hint="eastAsia" w:ascii="宋体" w:hAnsi="宋体" w:eastAsia="宋体" w:cs="宋体"/>
          <w:b/>
          <w:bCs/>
          <w:color w:val="auto"/>
          <w:sz w:val="28"/>
          <w:szCs w:val="28"/>
          <w:highlight w:val="none"/>
        </w:rPr>
        <w:t>Hubei shifa Bidding Co.,Ltd.</w:t>
      </w:r>
    </w:p>
    <w:p w14:paraId="0D93E589">
      <w:pPr>
        <w:pageBreakBefore w:val="0"/>
        <w:widowControl w:val="0"/>
        <w:kinsoku/>
        <w:wordWrap w:val="0"/>
        <w:overflowPunct/>
        <w:bidi w:val="0"/>
        <w:spacing w:line="240" w:lineRule="exact"/>
        <w:jc w:val="left"/>
        <w:rPr>
          <w:rFonts w:hint="eastAsia" w:ascii="宋体" w:hAnsi="宋体" w:eastAsia="宋体" w:cs="宋体"/>
          <w:b/>
          <w:color w:val="auto"/>
          <w:sz w:val="32"/>
          <w:highlight w:val="none"/>
        </w:rPr>
      </w:pPr>
    </w:p>
    <w:p w14:paraId="4BD72F6B">
      <w:pPr>
        <w:pageBreakBefore w:val="0"/>
        <w:widowControl w:val="0"/>
        <w:kinsoku/>
        <w:wordWrap w:val="0"/>
        <w:overflowPunct/>
        <w:bidi w:val="0"/>
        <w:spacing w:line="240" w:lineRule="exact"/>
        <w:jc w:val="left"/>
        <w:rPr>
          <w:rFonts w:hint="eastAsia" w:ascii="宋体" w:hAnsi="宋体" w:eastAsia="宋体" w:cs="宋体"/>
          <w:b/>
          <w:color w:val="auto"/>
          <w:sz w:val="32"/>
          <w:highlight w:val="none"/>
        </w:rPr>
      </w:pPr>
    </w:p>
    <w:p w14:paraId="75C34BC2">
      <w:pPr>
        <w:pageBreakBefore w:val="0"/>
        <w:widowControl w:val="0"/>
        <w:kinsoku/>
        <w:wordWrap w:val="0"/>
        <w:overflowPunct/>
        <w:bidi w:val="0"/>
        <w:spacing w:line="240" w:lineRule="exact"/>
        <w:jc w:val="left"/>
        <w:rPr>
          <w:rFonts w:hint="eastAsia" w:ascii="宋体" w:hAnsi="宋体" w:eastAsia="宋体" w:cs="宋体"/>
          <w:b/>
          <w:color w:val="auto"/>
          <w:sz w:val="32"/>
          <w:highlight w:val="none"/>
        </w:rPr>
      </w:pPr>
    </w:p>
    <w:p w14:paraId="05372485">
      <w:pPr>
        <w:pageBreakBefore w:val="0"/>
        <w:widowControl w:val="0"/>
        <w:kinsoku/>
        <w:wordWrap w:val="0"/>
        <w:overflowPunct/>
        <w:bidi w:val="0"/>
        <w:spacing w:line="240" w:lineRule="exact"/>
        <w:jc w:val="left"/>
        <w:rPr>
          <w:rFonts w:hint="eastAsia" w:ascii="宋体" w:hAnsi="宋体" w:eastAsia="宋体" w:cs="宋体"/>
          <w:b/>
          <w:color w:val="auto"/>
          <w:sz w:val="32"/>
          <w:highlight w:val="none"/>
        </w:rPr>
      </w:pPr>
    </w:p>
    <w:p w14:paraId="31BF5C69">
      <w:pPr>
        <w:pageBreakBefore w:val="0"/>
        <w:widowControl w:val="0"/>
        <w:kinsoku/>
        <w:wordWrap w:val="0"/>
        <w:overflowPunct/>
        <w:bidi w:val="0"/>
        <w:spacing w:line="240" w:lineRule="exact"/>
        <w:jc w:val="left"/>
        <w:rPr>
          <w:rFonts w:hint="eastAsia" w:ascii="宋体" w:hAnsi="宋体" w:eastAsia="宋体" w:cs="宋体"/>
          <w:b/>
          <w:color w:val="auto"/>
          <w:sz w:val="32"/>
          <w:highlight w:val="none"/>
        </w:rPr>
      </w:pPr>
    </w:p>
    <w:p w14:paraId="4148EE66">
      <w:pPr>
        <w:pageBreakBefore w:val="0"/>
        <w:widowControl w:val="0"/>
        <w:kinsoku/>
        <w:wordWrap w:val="0"/>
        <w:overflowPunct/>
        <w:bidi w:val="0"/>
        <w:spacing w:line="360" w:lineRule="auto"/>
        <w:jc w:val="center"/>
        <w:rPr>
          <w:rFonts w:hint="eastAsia" w:ascii="宋体" w:hAnsi="宋体" w:eastAsia="宋体" w:cs="宋体"/>
          <w:b/>
          <w:color w:val="auto"/>
          <w:sz w:val="120"/>
          <w:szCs w:val="120"/>
          <w:highlight w:val="none"/>
        </w:rPr>
      </w:pPr>
      <w:r>
        <w:rPr>
          <w:rFonts w:hint="eastAsia" w:ascii="宋体" w:hAnsi="宋体" w:eastAsia="宋体" w:cs="宋体"/>
          <w:b/>
          <w:color w:val="auto"/>
          <w:sz w:val="120"/>
          <w:szCs w:val="120"/>
          <w:highlight w:val="none"/>
        </w:rPr>
        <w:t>公开招标文件</w:t>
      </w:r>
    </w:p>
    <w:p w14:paraId="6B6EEEB6">
      <w:pPr>
        <w:pStyle w:val="10"/>
        <w:pageBreakBefore w:val="0"/>
        <w:widowControl w:val="0"/>
        <w:shd w:val="clear"/>
        <w:tabs>
          <w:tab w:val="left" w:pos="703"/>
        </w:tabs>
        <w:kinsoku/>
        <w:wordWrap w:val="0"/>
        <w:overflowPunct/>
        <w:bidi w:val="0"/>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（政府采购）</w:t>
      </w:r>
    </w:p>
    <w:p w14:paraId="335C381F">
      <w:pPr>
        <w:pStyle w:val="10"/>
        <w:pageBreakBefore w:val="0"/>
        <w:widowControl w:val="0"/>
        <w:tabs>
          <w:tab w:val="left" w:pos="703"/>
        </w:tabs>
        <w:kinsoku/>
        <w:wordWrap w:val="0"/>
        <w:overflowPunct/>
        <w:bidi w:val="0"/>
        <w:spacing w:line="360" w:lineRule="auto"/>
        <w:rPr>
          <w:rFonts w:hint="eastAsia" w:ascii="宋体" w:hAnsi="宋体" w:eastAsia="宋体" w:cs="宋体"/>
          <w:b/>
          <w:color w:val="auto"/>
          <w:sz w:val="28"/>
          <w:highlight w:val="none"/>
        </w:rPr>
      </w:pPr>
    </w:p>
    <w:p w14:paraId="0B2D5C89">
      <w:pPr>
        <w:pStyle w:val="10"/>
        <w:pageBreakBefore w:val="0"/>
        <w:widowControl w:val="0"/>
        <w:tabs>
          <w:tab w:val="left" w:pos="703"/>
        </w:tabs>
        <w:kinsoku/>
        <w:wordWrap w:val="0"/>
        <w:overflowPunct/>
        <w:bidi w:val="0"/>
        <w:spacing w:line="360" w:lineRule="auto"/>
        <w:rPr>
          <w:rFonts w:hint="eastAsia" w:ascii="宋体" w:hAnsi="宋体" w:eastAsia="宋体" w:cs="宋体"/>
          <w:b/>
          <w:color w:val="auto"/>
          <w:sz w:val="28"/>
          <w:highlight w:val="none"/>
        </w:rPr>
      </w:pPr>
    </w:p>
    <w:p w14:paraId="3E24172F">
      <w:pPr>
        <w:pStyle w:val="10"/>
        <w:pageBreakBefore w:val="0"/>
        <w:widowControl w:val="0"/>
        <w:tabs>
          <w:tab w:val="left" w:pos="703"/>
        </w:tabs>
        <w:kinsoku/>
        <w:wordWrap w:val="0"/>
        <w:overflowPunct/>
        <w:bidi w:val="0"/>
        <w:spacing w:line="360" w:lineRule="auto"/>
        <w:rPr>
          <w:rFonts w:hint="eastAsia" w:ascii="宋体" w:hAnsi="宋体" w:eastAsia="宋体" w:cs="宋体"/>
          <w:b/>
          <w:color w:val="auto"/>
          <w:sz w:val="28"/>
          <w:highlight w:val="none"/>
        </w:rPr>
      </w:pPr>
    </w:p>
    <w:p w14:paraId="1874297D">
      <w:pPr>
        <w:pStyle w:val="10"/>
        <w:pageBreakBefore w:val="0"/>
        <w:widowControl w:val="0"/>
        <w:tabs>
          <w:tab w:val="left" w:pos="703"/>
        </w:tabs>
        <w:kinsoku/>
        <w:wordWrap w:val="0"/>
        <w:overflowPunct/>
        <w:bidi w:val="0"/>
        <w:spacing w:line="360" w:lineRule="auto"/>
        <w:ind w:firstLine="840" w:firstLineChars="300"/>
        <w:rPr>
          <w:rFonts w:hint="default" w:ascii="宋体" w:hAnsi="宋体" w:eastAsia="宋体" w:cs="宋体"/>
          <w:b/>
          <w:color w:val="auto"/>
          <w:sz w:val="28"/>
          <w:highlight w:val="none"/>
          <w:lang w:val="en-US" w:eastAsia="zh-CN"/>
        </w:rPr>
      </w:pPr>
      <w:r>
        <w:rPr>
          <w:rFonts w:hint="eastAsia" w:ascii="宋体" w:hAnsi="宋体" w:eastAsia="宋体" w:cs="宋体"/>
          <w:b/>
          <w:color w:val="auto"/>
          <w:sz w:val="28"/>
          <w:highlight w:val="none"/>
        </w:rPr>
        <w:t>项目编号</w:t>
      </w:r>
      <w:r>
        <w:rPr>
          <w:rFonts w:hint="eastAsia" w:ascii="宋体" w:hAnsi="宋体" w:eastAsia="宋体" w:cs="宋体"/>
          <w:b/>
          <w:color w:val="auto"/>
          <w:sz w:val="28"/>
          <w:highlight w:val="none"/>
          <w:lang w:eastAsia="zh-CN"/>
        </w:rPr>
        <w:t>：</w:t>
      </w:r>
      <w:r>
        <w:rPr>
          <w:rFonts w:hint="eastAsia" w:hAnsi="宋体" w:cs="宋体"/>
          <w:b/>
          <w:color w:val="auto"/>
          <w:sz w:val="28"/>
          <w:highlight w:val="none"/>
          <w:lang w:eastAsia="zh-CN"/>
        </w:rPr>
        <w:t>WUTH2026040018（HBSF-ZC-26041624）</w:t>
      </w:r>
    </w:p>
    <w:p w14:paraId="431B0FB4">
      <w:pPr>
        <w:pStyle w:val="10"/>
        <w:pageBreakBefore w:val="0"/>
        <w:widowControl w:val="0"/>
        <w:tabs>
          <w:tab w:val="left" w:pos="703"/>
        </w:tabs>
        <w:kinsoku/>
        <w:wordWrap w:val="0"/>
        <w:overflowPunct/>
        <w:bidi w:val="0"/>
        <w:spacing w:line="360" w:lineRule="auto"/>
        <w:ind w:firstLine="840" w:firstLineChars="300"/>
        <w:rPr>
          <w:rFonts w:hint="eastAsia" w:ascii="宋体" w:hAnsi="宋体" w:eastAsia="宋体" w:cs="宋体"/>
          <w:b/>
          <w:color w:val="auto"/>
          <w:sz w:val="28"/>
          <w:highlight w:val="none"/>
          <w:lang w:eastAsia="zh-CN"/>
        </w:rPr>
      </w:pPr>
      <w:r>
        <w:rPr>
          <w:rFonts w:hint="eastAsia" w:ascii="宋体" w:hAnsi="宋体" w:eastAsia="宋体" w:cs="宋体"/>
          <w:b/>
          <w:color w:val="auto"/>
          <w:sz w:val="28"/>
          <w:highlight w:val="none"/>
        </w:rPr>
        <w:t>项目名称：</w:t>
      </w:r>
      <w:r>
        <w:rPr>
          <w:rFonts w:hint="eastAsia" w:hAnsi="宋体" w:cs="宋体"/>
          <w:b/>
          <w:color w:val="auto"/>
          <w:sz w:val="28"/>
          <w:highlight w:val="none"/>
          <w:lang w:eastAsia="zh-CN"/>
        </w:rPr>
        <w:t>武汉理工大学等离子体烧成及控制模块购置项目</w:t>
      </w:r>
    </w:p>
    <w:p w14:paraId="31DFB625">
      <w:pPr>
        <w:pStyle w:val="10"/>
        <w:pageBreakBefore w:val="0"/>
        <w:widowControl w:val="0"/>
        <w:tabs>
          <w:tab w:val="left" w:pos="703"/>
        </w:tabs>
        <w:kinsoku/>
        <w:wordWrap w:val="0"/>
        <w:overflowPunct/>
        <w:bidi w:val="0"/>
        <w:spacing w:line="360" w:lineRule="auto"/>
        <w:rPr>
          <w:rFonts w:hint="eastAsia" w:ascii="宋体" w:hAnsi="宋体" w:eastAsia="宋体" w:cs="宋体"/>
          <w:b/>
          <w:color w:val="auto"/>
          <w:sz w:val="24"/>
          <w:highlight w:val="none"/>
        </w:rPr>
      </w:pPr>
    </w:p>
    <w:p w14:paraId="77DAD63B">
      <w:pPr>
        <w:pStyle w:val="10"/>
        <w:pageBreakBefore w:val="0"/>
        <w:widowControl w:val="0"/>
        <w:tabs>
          <w:tab w:val="left" w:pos="703"/>
        </w:tabs>
        <w:kinsoku/>
        <w:wordWrap w:val="0"/>
        <w:overflowPunct/>
        <w:bidi w:val="0"/>
        <w:spacing w:line="360" w:lineRule="auto"/>
        <w:rPr>
          <w:rFonts w:hint="eastAsia" w:ascii="宋体" w:hAnsi="宋体" w:eastAsia="宋体" w:cs="宋体"/>
          <w:b/>
          <w:color w:val="auto"/>
          <w:sz w:val="24"/>
          <w:highlight w:val="none"/>
        </w:rPr>
      </w:pPr>
    </w:p>
    <w:p w14:paraId="371729BD">
      <w:pPr>
        <w:pStyle w:val="10"/>
        <w:pageBreakBefore w:val="0"/>
        <w:widowControl w:val="0"/>
        <w:tabs>
          <w:tab w:val="left" w:pos="703"/>
        </w:tabs>
        <w:kinsoku/>
        <w:wordWrap w:val="0"/>
        <w:overflowPunct/>
        <w:bidi w:val="0"/>
        <w:spacing w:line="360" w:lineRule="auto"/>
        <w:rPr>
          <w:rFonts w:hint="eastAsia" w:ascii="宋体" w:hAnsi="宋体" w:eastAsia="宋体" w:cs="宋体"/>
          <w:b/>
          <w:color w:val="auto"/>
          <w:sz w:val="24"/>
          <w:highlight w:val="none"/>
        </w:rPr>
      </w:pPr>
    </w:p>
    <w:tbl>
      <w:tblPr>
        <w:tblStyle w:val="25"/>
        <w:tblW w:w="7540" w:type="dxa"/>
        <w:jc w:val="center"/>
        <w:tblLayout w:type="fixed"/>
        <w:tblCellMar>
          <w:top w:w="0" w:type="dxa"/>
          <w:left w:w="108" w:type="dxa"/>
          <w:bottom w:w="0" w:type="dxa"/>
          <w:right w:w="108" w:type="dxa"/>
        </w:tblCellMar>
      </w:tblPr>
      <w:tblGrid>
        <w:gridCol w:w="7540"/>
      </w:tblGrid>
      <w:tr w14:paraId="2447011E">
        <w:trPr>
          <w:trHeight w:val="854" w:hRule="atLeast"/>
          <w:jc w:val="center"/>
        </w:trPr>
        <w:tc>
          <w:tcPr>
            <w:tcW w:w="7540" w:type="dxa"/>
            <w:vAlign w:val="center"/>
          </w:tcPr>
          <w:p w14:paraId="6908E012">
            <w:pPr>
              <w:keepNext w:val="0"/>
              <w:keepLines w:val="0"/>
              <w:pageBreakBefore w:val="0"/>
              <w:widowControl w:val="0"/>
              <w:suppressLineNumbers w:val="0"/>
              <w:kinsoku/>
              <w:wordWrap w:val="0"/>
              <w:overflowPunct/>
              <w:bidi w:val="0"/>
              <w:spacing w:before="120" w:beforeAutospacing="0" w:after="120" w:afterAutospacing="0"/>
              <w:ind w:left="0" w:right="0"/>
              <w:jc w:val="lef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采购人：武汉理工大学</w:t>
            </w:r>
          </w:p>
        </w:tc>
      </w:tr>
      <w:tr w14:paraId="725726FB">
        <w:tblPrEx>
          <w:tblCellMar>
            <w:top w:w="0" w:type="dxa"/>
            <w:left w:w="108" w:type="dxa"/>
            <w:bottom w:w="0" w:type="dxa"/>
            <w:right w:w="108" w:type="dxa"/>
          </w:tblCellMar>
        </w:tblPrEx>
        <w:trPr>
          <w:trHeight w:val="854" w:hRule="atLeast"/>
          <w:jc w:val="center"/>
        </w:trPr>
        <w:tc>
          <w:tcPr>
            <w:tcW w:w="7540" w:type="dxa"/>
            <w:vAlign w:val="center"/>
          </w:tcPr>
          <w:p w14:paraId="5C16A632">
            <w:pPr>
              <w:keepNext w:val="0"/>
              <w:keepLines w:val="0"/>
              <w:pageBreakBefore w:val="0"/>
              <w:widowControl w:val="0"/>
              <w:suppressLineNumbers w:val="0"/>
              <w:kinsoku/>
              <w:wordWrap w:val="0"/>
              <w:overflowPunct/>
              <w:bidi w:val="0"/>
              <w:spacing w:before="120" w:beforeAutospacing="0" w:after="120" w:afterAutospacing="0"/>
              <w:ind w:left="0" w:right="0"/>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zh-CN"/>
              </w:rPr>
              <w:t>代理机构：</w:t>
            </w:r>
            <w:r>
              <w:rPr>
                <w:rFonts w:hint="eastAsia"/>
                <w:b/>
                <w:color w:val="auto"/>
                <w:sz w:val="28"/>
                <w:szCs w:val="28"/>
                <w:highlight w:val="none"/>
                <w:u w:val="none"/>
                <w:lang w:val="zh-CN"/>
              </w:rPr>
              <w:t>湖北世发招标有限公司</w:t>
            </w:r>
          </w:p>
        </w:tc>
      </w:tr>
      <w:tr w14:paraId="2C298CC0">
        <w:tblPrEx>
          <w:tblCellMar>
            <w:top w:w="0" w:type="dxa"/>
            <w:left w:w="108" w:type="dxa"/>
            <w:bottom w:w="0" w:type="dxa"/>
            <w:right w:w="108" w:type="dxa"/>
          </w:tblCellMar>
        </w:tblPrEx>
        <w:trPr>
          <w:trHeight w:val="854" w:hRule="atLeast"/>
          <w:jc w:val="center"/>
        </w:trPr>
        <w:tc>
          <w:tcPr>
            <w:tcW w:w="7540" w:type="dxa"/>
            <w:vAlign w:val="center"/>
          </w:tcPr>
          <w:p w14:paraId="06CB9C1E">
            <w:pPr>
              <w:keepNext w:val="0"/>
              <w:keepLines w:val="0"/>
              <w:pageBreakBefore w:val="0"/>
              <w:widowControl w:val="0"/>
              <w:suppressLineNumbers w:val="0"/>
              <w:kinsoku/>
              <w:wordWrap w:val="0"/>
              <w:overflowPunct/>
              <w:bidi w:val="0"/>
              <w:spacing w:before="120" w:beforeAutospacing="0" w:after="120" w:afterAutospacing="0"/>
              <w:ind w:left="0" w:right="0"/>
              <w:jc w:val="lef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编制时间：二〇二</w:t>
            </w: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lang w:val="zh-CN"/>
              </w:rPr>
              <w:t>年</w:t>
            </w:r>
            <w:r>
              <w:rPr>
                <w:rFonts w:hint="eastAsia" w:ascii="宋体" w:hAnsi="宋体" w:cs="宋体"/>
                <w:b/>
                <w:color w:val="auto"/>
                <w:sz w:val="28"/>
                <w:szCs w:val="28"/>
                <w:highlight w:val="none"/>
                <w:lang w:val="en-US" w:eastAsia="zh-CN"/>
              </w:rPr>
              <w:t>五</w:t>
            </w:r>
            <w:r>
              <w:rPr>
                <w:rFonts w:hint="eastAsia" w:ascii="宋体" w:hAnsi="宋体" w:eastAsia="宋体" w:cs="宋体"/>
                <w:b/>
                <w:color w:val="auto"/>
                <w:sz w:val="28"/>
                <w:szCs w:val="28"/>
                <w:highlight w:val="none"/>
                <w:lang w:val="zh-CN"/>
              </w:rPr>
              <w:t>月</w:t>
            </w:r>
          </w:p>
        </w:tc>
      </w:tr>
    </w:tbl>
    <w:p w14:paraId="58BDFA6E">
      <w:pPr>
        <w:pageBreakBefore w:val="0"/>
        <w:widowControl w:val="0"/>
        <w:kinsoku/>
        <w:wordWrap w:val="0"/>
        <w:overflowPunct/>
        <w:bidi w:val="0"/>
        <w:spacing w:before="312" w:beforeLines="100" w:line="276" w:lineRule="auto"/>
        <w:jc w:val="center"/>
        <w:rPr>
          <w:rFonts w:hint="eastAsia" w:ascii="宋体" w:hAnsi="宋体" w:eastAsia="宋体" w:cs="宋体"/>
          <w:color w:val="auto"/>
          <w:sz w:val="30"/>
          <w:szCs w:val="30"/>
          <w:highlight w:val="none"/>
        </w:rPr>
        <w:sectPr>
          <w:type w:val="continuous"/>
          <w:pgSz w:w="11906" w:h="16838"/>
          <w:pgMar w:top="1134" w:right="1191" w:bottom="1134" w:left="1191" w:header="851" w:footer="624" w:gutter="0"/>
          <w:pgNumType w:start="0"/>
          <w:cols w:space="720" w:num="1"/>
          <w:titlePg/>
          <w:docGrid w:type="linesAndChars" w:linePitch="312" w:charSpace="0"/>
        </w:sectPr>
      </w:pPr>
    </w:p>
    <w:p w14:paraId="3F5B78A1">
      <w:pPr>
        <w:pageBreakBefore w:val="0"/>
        <w:widowControl w:val="0"/>
        <w:kinsoku/>
        <w:wordWrap w:val="0"/>
        <w:overflowPunct/>
        <w:bidi w:val="0"/>
        <w:jc w:val="left"/>
        <w:rPr>
          <w:rFonts w:hint="eastAsia" w:ascii="宋体" w:hAnsi="宋体" w:eastAsia="宋体" w:cs="宋体"/>
          <w:color w:val="auto"/>
          <w:sz w:val="30"/>
          <w:szCs w:val="30"/>
          <w:highlight w:val="none"/>
        </w:rPr>
        <w:sectPr>
          <w:headerReference r:id="rId5" w:type="first"/>
          <w:footerReference r:id="rId7" w:type="first"/>
          <w:headerReference r:id="rId3" w:type="default"/>
          <w:headerReference r:id="rId4" w:type="even"/>
          <w:footerReference r:id="rId6" w:type="even"/>
          <w:type w:val="continuous"/>
          <w:pgSz w:w="11906" w:h="16838"/>
          <w:pgMar w:top="1134" w:right="1191" w:bottom="1134" w:left="1191" w:header="851" w:footer="624" w:gutter="0"/>
          <w:pgNumType w:start="1"/>
          <w:cols w:space="720" w:num="1"/>
          <w:docGrid w:type="linesAndChars" w:linePitch="312" w:charSpace="0"/>
        </w:sectPr>
      </w:pPr>
      <w:r>
        <w:rPr>
          <w:rFonts w:hint="eastAsia" w:ascii="宋体" w:hAnsi="宋体" w:eastAsia="宋体" w:cs="宋体"/>
          <w:color w:val="auto"/>
          <w:sz w:val="30"/>
          <w:szCs w:val="30"/>
          <w:highlight w:val="none"/>
        </w:rPr>
        <w:br w:type="page"/>
      </w:r>
    </w:p>
    <w:p w14:paraId="61046920">
      <w:pPr>
        <w:pageBreakBefore w:val="0"/>
        <w:widowControl w:val="0"/>
        <w:shd w:val="clear"/>
        <w:kinsoku/>
        <w:wordWrap w:val="0"/>
        <w:overflowPunct/>
        <w:bidi w:val="0"/>
        <w:spacing w:before="312" w:beforeLines="100" w:line="276" w:lineRule="auto"/>
        <w:jc w:val="center"/>
        <w:rPr>
          <w:rFonts w:hint="eastAsia" w:ascii="宋体" w:hAnsi="宋体" w:eastAsia="宋体" w:cs="宋体"/>
          <w:b/>
          <w:bCs/>
          <w:color w:val="auto"/>
          <w:sz w:val="30"/>
          <w:szCs w:val="30"/>
          <w:highlight w:val="none"/>
        </w:rPr>
        <w:sectPr>
          <w:footerReference r:id="rId8" w:type="default"/>
          <w:pgSz w:w="11906" w:h="16838"/>
          <w:pgMar w:top="1134" w:right="1134" w:bottom="1134" w:left="1134" w:header="851" w:footer="992" w:gutter="0"/>
          <w:pgNumType w:fmt="decimal"/>
          <w:cols w:space="0" w:num="1"/>
          <w:docGrid w:type="lines" w:linePitch="312" w:charSpace="0"/>
        </w:sectPr>
      </w:pPr>
    </w:p>
    <w:p w14:paraId="12581253">
      <w:pPr>
        <w:pageBreakBefore w:val="0"/>
        <w:widowControl w:val="0"/>
        <w:shd w:val="clear"/>
        <w:kinsoku/>
        <w:wordWrap w:val="0"/>
        <w:overflowPunct/>
        <w:bidi w:val="0"/>
        <w:spacing w:before="312" w:beforeLines="100" w:line="276"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目录</w:t>
      </w:r>
    </w:p>
    <w:p w14:paraId="7AC81C37">
      <w:pPr>
        <w:pStyle w:val="15"/>
        <w:keepNext w:val="0"/>
        <w:keepLines w:val="0"/>
        <w:pageBreakBefore w:val="0"/>
        <w:tabs>
          <w:tab w:val="right" w:leader="dot" w:pos="9638"/>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b w:val="0"/>
          <w:iCs w:val="0"/>
          <w:color w:val="auto"/>
          <w:sz w:val="21"/>
          <w:szCs w:val="21"/>
          <w:highlight w:val="none"/>
        </w:rPr>
        <w:fldChar w:fldCharType="begin"/>
      </w:r>
      <w:r>
        <w:rPr>
          <w:rFonts w:hint="eastAsia" w:ascii="宋体" w:hAnsi="宋体" w:eastAsia="宋体" w:cs="宋体"/>
          <w:b w:val="0"/>
          <w:iCs w:val="0"/>
          <w:color w:val="auto"/>
          <w:sz w:val="21"/>
          <w:szCs w:val="21"/>
          <w:highlight w:val="none"/>
        </w:rPr>
        <w:instrText xml:space="preserve"> TOC \o "1-2" \h \z \u </w:instrText>
      </w:r>
      <w:r>
        <w:rPr>
          <w:rFonts w:hint="eastAsia" w:ascii="宋体" w:hAnsi="宋体" w:eastAsia="宋体" w:cs="宋体"/>
          <w:b w:val="0"/>
          <w:iCs w:val="0"/>
          <w:color w:val="auto"/>
          <w:sz w:val="21"/>
          <w:szCs w:val="21"/>
          <w:highlight w:val="none"/>
        </w:rPr>
        <w:fldChar w:fldCharType="separate"/>
      </w:r>
      <w:r>
        <w:rPr>
          <w:rFonts w:hint="eastAsia" w:ascii="宋体" w:hAnsi="宋体" w:eastAsia="宋体" w:cs="宋体"/>
          <w:iCs w:val="0"/>
          <w:color w:val="auto"/>
          <w:szCs w:val="21"/>
          <w:highlight w:val="none"/>
        </w:rPr>
        <w:fldChar w:fldCharType="begin"/>
      </w:r>
      <w:r>
        <w:rPr>
          <w:rFonts w:hint="eastAsia" w:ascii="宋体" w:hAnsi="宋体" w:eastAsia="宋体" w:cs="宋体"/>
          <w:iCs w:val="0"/>
          <w:color w:val="auto"/>
          <w:szCs w:val="21"/>
          <w:highlight w:val="none"/>
        </w:rPr>
        <w:instrText xml:space="preserve"> HYPERLINK \l _Toc30778 </w:instrText>
      </w:r>
      <w:r>
        <w:rPr>
          <w:rFonts w:hint="eastAsia" w:ascii="宋体" w:hAnsi="宋体" w:eastAsia="宋体" w:cs="宋体"/>
          <w:iCs w:val="0"/>
          <w:color w:val="auto"/>
          <w:szCs w:val="21"/>
          <w:highlight w:val="none"/>
        </w:rPr>
        <w:fldChar w:fldCharType="separate"/>
      </w:r>
      <w:r>
        <w:rPr>
          <w:rFonts w:hint="eastAsia" w:ascii="宋体" w:hAnsi="宋体" w:eastAsia="宋体" w:cs="宋体"/>
          <w:color w:val="auto"/>
          <w:szCs w:val="28"/>
          <w:highlight w:val="none"/>
        </w:rPr>
        <w:t>第一章招标公告（投标邀请书）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_Toc30778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iCs w:val="0"/>
          <w:color w:val="auto"/>
          <w:szCs w:val="21"/>
          <w:highlight w:val="none"/>
        </w:rPr>
        <w:fldChar w:fldCharType="end"/>
      </w:r>
    </w:p>
    <w:p w14:paraId="1B7192CE">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_Toc14928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一、项目基本情况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_Toc14928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1FF9FB6">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_Toc31088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二、投标人的资格要求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_Toc31088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7F06E0F8">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_Toc3287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三、获取招标文件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_Toc3287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3ABC5B4E">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_Toc32129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四、提交投标文件截止时间、开标时间和地点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_Toc32129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2BC67107">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_Toc4949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五、公告期限</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27801270">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_Toc8468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六、其他补充事宜</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_Toc8468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4F903191">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_Toc13848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七、对本次招标提出询问，请按以下方式联系。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_Toc13848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20967A46">
      <w:pPr>
        <w:pStyle w:val="15"/>
        <w:keepNext w:val="0"/>
        <w:keepLines w:val="0"/>
        <w:pageBreakBefore w:val="0"/>
        <w:tabs>
          <w:tab w:val="right" w:leader="dot" w:pos="9638"/>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_Toc30840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第二章投标人须知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_Toc30840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18F71D6A">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_Toc14466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1"/>
          <w:highlight w:val="none"/>
          <w:lang w:val="zh-CN"/>
        </w:rPr>
        <w:t>投标人须知前附表</w:t>
      </w:r>
      <w:bookmarkStart w:id="149" w:name="_GoBack"/>
      <w:bookmarkEnd w:id="149"/>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_Toc14466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64611FD">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_Toc146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1"/>
          <w:highlight w:val="none"/>
          <w:lang w:val="zh-CN"/>
        </w:rPr>
        <w:t>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7BD0829D">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_Toc30412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一、 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_Toc30412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15446124">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_Toc13330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二、 招标文件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_Toc13330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EF7F0B5">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_Toc15058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三、 投标文件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_Toc15058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3326E25">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_Toc20365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四、 开标与评标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_Toc20365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3278C42C">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_Toc10328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五、 投标人信用信息及查询</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_Toc10328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7369B108">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_Toc25392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六、 中标与合同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_Toc25392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2FEB57BB">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_Toc1133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七、 采购信息公告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17</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2DAC77C">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_Toc1820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八、 质疑及提交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9E54864">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_Toc30923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九、 保密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_Toc30923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1DF27550">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_Toc28601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十、 相关条文解读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_Toc28601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3B351839">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_Toc15215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十一、 适用法律、法规、规章及规范性文件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_Toc15215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3D7F48B9">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_Toc18811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十二、 招标文件的解释权</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_Toc18811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19</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AFD9D96">
      <w:pPr>
        <w:pStyle w:val="15"/>
        <w:keepNext w:val="0"/>
        <w:keepLines w:val="0"/>
        <w:pageBreakBefore w:val="0"/>
        <w:tabs>
          <w:tab w:val="right" w:leader="dot" w:pos="9638"/>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_Toc958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第三章技术、服务及商务要求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_Toc958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731EBD80">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_Toc16365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4"/>
          <w:highlight w:val="none"/>
        </w:rPr>
        <w:t>一、综述</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_Toc16365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3980FCE">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_Toc16875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4"/>
          <w:highlight w:val="none"/>
        </w:rPr>
        <w:t>二、技术、服务要求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_Toc16875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1CC2D3F3">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_Toc26478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2"/>
          <w:szCs w:val="24"/>
          <w:highlight w:val="none"/>
          <w:lang w:val="en-US" w:eastAsia="zh-CN" w:bidi="ar-SA"/>
        </w:rPr>
        <w:t>三、</w:t>
      </w:r>
      <w:r>
        <w:rPr>
          <w:rFonts w:hint="eastAsia" w:ascii="宋体" w:hAnsi="宋体" w:eastAsia="宋体" w:cs="宋体"/>
          <w:color w:val="auto"/>
          <w:szCs w:val="24"/>
          <w:highlight w:val="none"/>
        </w:rPr>
        <w:t>商务要求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_Toc26478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C1C6DF1">
      <w:pPr>
        <w:pStyle w:val="15"/>
        <w:keepNext w:val="0"/>
        <w:keepLines w:val="0"/>
        <w:pageBreakBefore w:val="0"/>
        <w:tabs>
          <w:tab w:val="right" w:leader="dot" w:pos="9638"/>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_Toc28096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第四章资格审查方法及标准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_Toc28096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C15D6F3">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_Toc7754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一、 资格审查方法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_Toc7754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282173D">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_Toc22998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二、 资格审查表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_Toc22998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334438F9">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_Toc14502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lang w:val="zh-CN"/>
        </w:rPr>
        <w:t xml:space="preserve">三、 </w:t>
      </w:r>
      <w:r>
        <w:rPr>
          <w:rFonts w:hint="eastAsia" w:ascii="宋体" w:hAnsi="宋体" w:eastAsia="宋体" w:cs="宋体"/>
          <w:color w:val="auto"/>
          <w:kern w:val="0"/>
          <w:szCs w:val="21"/>
          <w:highlight w:val="none"/>
          <w:lang w:val="zh-CN"/>
        </w:rPr>
        <w:t>确定资格审查合格投标人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_Toc14502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27</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7C930428">
      <w:pPr>
        <w:pStyle w:val="15"/>
        <w:keepNext w:val="0"/>
        <w:keepLines w:val="0"/>
        <w:pageBreakBefore w:val="0"/>
        <w:tabs>
          <w:tab w:val="right" w:leader="dot" w:pos="9638"/>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_Toc15627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第五章评标方法、程序及标准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_Toc15627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20100AED">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_Toc3532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一、 评标方法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_Toc3532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20F1CB8A">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lang w:val="zh-CN"/>
        </w:rPr>
        <w:t>二、 评标程序及标准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7F66597">
      <w:pPr>
        <w:pStyle w:val="18"/>
        <w:keepNext w:val="0"/>
        <w:keepLines w:val="0"/>
        <w:pageBreakBefore w:val="0"/>
        <w:tabs>
          <w:tab w:val="right" w:leader="dot" w:pos="9638"/>
          <w:tab w:val="clear" w:pos="756"/>
          <w:tab w:val="clear" w:pos="966"/>
          <w:tab w:val="clear" w:pos="1204"/>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_Toc15840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kern w:val="0"/>
          <w:szCs w:val="21"/>
          <w:highlight w:val="none"/>
        </w:rPr>
        <w:t xml:space="preserve">三、 </w:t>
      </w:r>
      <w:r>
        <w:rPr>
          <w:rFonts w:hint="eastAsia" w:ascii="宋体" w:hAnsi="宋体" w:eastAsia="宋体" w:cs="宋体"/>
          <w:color w:val="auto"/>
          <w:kern w:val="0"/>
          <w:szCs w:val="21"/>
          <w:highlight w:val="none"/>
          <w:lang w:val="zh-CN"/>
        </w:rPr>
        <w:t>评审因素及评分标准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_Toc15840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31</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DF5EB40">
      <w:pPr>
        <w:pStyle w:val="15"/>
        <w:keepNext w:val="0"/>
        <w:keepLines w:val="0"/>
        <w:pageBreakBefore w:val="0"/>
        <w:tabs>
          <w:tab w:val="right" w:leader="dot" w:pos="9638"/>
          <w:tab w:val="clear" w:pos="9514"/>
        </w:tabs>
        <w:kinsoku/>
        <w:overflowPunct/>
        <w:topLinePunct w:val="0"/>
        <w:autoSpaceDE/>
        <w:autoSpaceDN/>
        <w:bidi w:val="0"/>
        <w:adjustRightInd/>
        <w:snapToGrid/>
        <w:spacing w:line="360" w:lineRule="exact"/>
        <w:ind w:left="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_Toc14783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第六章合同书格式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_Toc14783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4F5AA23">
      <w:pPr>
        <w:pStyle w:val="15"/>
        <w:keepNext w:val="0"/>
        <w:keepLines w:val="0"/>
        <w:pageBreakBefore w:val="0"/>
        <w:tabs>
          <w:tab w:val="right" w:leader="dot" w:pos="9638"/>
          <w:tab w:val="clear" w:pos="9514"/>
        </w:tabs>
        <w:kinsoku/>
        <w:overflowPunct/>
        <w:topLinePunct w:val="0"/>
        <w:autoSpaceDE/>
        <w:autoSpaceDN/>
        <w:bidi w:val="0"/>
        <w:adjustRightInd/>
        <w:snapToGrid/>
        <w:spacing w:line="360" w:lineRule="exact"/>
        <w:ind w:left="0"/>
        <w:textAlignment w:val="auto"/>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_Toc3277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第七章投标文件格式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_Toc3277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37</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027D223">
      <w:pPr>
        <w:keepNext w:val="0"/>
        <w:keepLines w:val="0"/>
        <w:pageBreakBefore w:val="0"/>
        <w:widowControl w:val="0"/>
        <w:kinsoku/>
        <w:wordWrap w:val="0"/>
        <w:overflowPunct/>
        <w:topLinePunct w:val="0"/>
        <w:autoSpaceDE/>
        <w:autoSpaceDN/>
        <w:bidi w:val="0"/>
        <w:adjustRightInd/>
        <w:snapToGrid/>
        <w:spacing w:line="360" w:lineRule="exact"/>
        <w:ind w:left="0"/>
        <w:jc w:val="center"/>
        <w:textAlignment w:val="auto"/>
        <w:outlineLvl w:val="0"/>
        <w:rPr>
          <w:rFonts w:hint="eastAsia" w:ascii="宋体" w:hAnsi="宋体" w:eastAsia="宋体" w:cs="宋体"/>
          <w:color w:val="auto"/>
          <w:szCs w:val="21"/>
          <w:highlight w:val="none"/>
        </w:rPr>
        <w:sectPr>
          <w:pgSz w:w="11906" w:h="16838"/>
          <w:pgMar w:top="1134" w:right="1134" w:bottom="1134" w:left="1134" w:header="851" w:footer="992" w:gutter="0"/>
          <w:pgNumType w:fmt="decimal"/>
          <w:cols w:space="0" w:num="1"/>
          <w:docGrid w:type="lines" w:linePitch="312" w:charSpace="0"/>
        </w:sectPr>
      </w:pPr>
      <w:r>
        <w:rPr>
          <w:rFonts w:hint="eastAsia" w:ascii="宋体" w:hAnsi="宋体" w:eastAsia="宋体" w:cs="宋体"/>
          <w:color w:val="auto"/>
          <w:szCs w:val="21"/>
          <w:highlight w:val="none"/>
        </w:rPr>
        <w:fldChar w:fldCharType="end"/>
      </w:r>
      <w:bookmarkStart w:id="0" w:name="_Toc30778"/>
    </w:p>
    <w:p w14:paraId="1551DDCE">
      <w:pPr>
        <w:keepNext w:val="0"/>
        <w:keepLines w:val="0"/>
        <w:pageBreakBefore w:val="0"/>
        <w:widowControl w:val="0"/>
        <w:kinsoku/>
        <w:wordWrap w:val="0"/>
        <w:overflowPunct/>
        <w:topLinePunct w:val="0"/>
        <w:autoSpaceDE/>
        <w:autoSpaceDN/>
        <w:bidi w:val="0"/>
        <w:adjustRightInd/>
        <w:snapToGrid/>
        <w:spacing w:line="360" w:lineRule="exact"/>
        <w:ind w:left="0"/>
        <w:jc w:val="center"/>
        <w:textAlignment w:val="auto"/>
        <w:outlineLvl w:val="0"/>
        <w:rPr>
          <w:rFonts w:hint="eastAsia" w:ascii="宋体" w:hAnsi="宋体" w:eastAsia="宋体" w:cs="宋体"/>
          <w:color w:val="auto"/>
          <w:sz w:val="28"/>
          <w:szCs w:val="28"/>
          <w:highlight w:val="none"/>
        </w:rPr>
        <w:sectPr>
          <w:pgSz w:w="11906" w:h="16838"/>
          <w:pgMar w:top="1134" w:right="1134" w:bottom="1134" w:left="1134" w:header="851" w:footer="992" w:gutter="0"/>
          <w:pgNumType w:fmt="decimal"/>
          <w:cols w:space="0" w:num="1"/>
          <w:docGrid w:type="lines" w:linePitch="312" w:charSpace="0"/>
        </w:sectPr>
      </w:pPr>
    </w:p>
    <w:p w14:paraId="56D50D42">
      <w:pPr>
        <w:keepNext w:val="0"/>
        <w:keepLines w:val="0"/>
        <w:pageBreakBefore w:val="0"/>
        <w:widowControl w:val="0"/>
        <w:kinsoku/>
        <w:wordWrap w:val="0"/>
        <w:overflowPunct/>
        <w:topLinePunct w:val="0"/>
        <w:autoSpaceDE/>
        <w:autoSpaceDN/>
        <w:bidi w:val="0"/>
        <w:adjustRightInd/>
        <w:snapToGrid/>
        <w:spacing w:line="360" w:lineRule="exact"/>
        <w:ind w:left="0"/>
        <w:jc w:val="center"/>
        <w:textAlignment w:val="auto"/>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第一章招标公告（投标邀请书）</w:t>
      </w:r>
      <w:bookmarkEnd w:id="0"/>
    </w:p>
    <w:p w14:paraId="077A9001">
      <w:pPr>
        <w:pageBreakBefore w:val="0"/>
        <w:widowControl w:val="0"/>
        <w:kinsoku/>
        <w:wordWrap w:val="0"/>
        <w:overflowPunct/>
        <w:bidi w:val="0"/>
        <w:ind w:firstLine="420" w:firstLineChars="200"/>
        <w:rPr>
          <w:rFonts w:hint="eastAsia" w:ascii="宋体" w:hAnsi="宋体" w:eastAsia="宋体" w:cs="宋体"/>
          <w:color w:val="auto"/>
          <w:szCs w:val="21"/>
          <w:highlight w:val="none"/>
        </w:rPr>
      </w:pPr>
    </w:p>
    <w:tbl>
      <w:tblPr>
        <w:tblStyle w:val="25"/>
        <w:tblW w:w="5000"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9854"/>
      </w:tblGrid>
      <w:tr w14:paraId="7574D0B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5000" w:type="pct"/>
          </w:tcPr>
          <w:p w14:paraId="5396130E">
            <w:pPr>
              <w:keepNext w:val="0"/>
              <w:keepLines w:val="0"/>
              <w:pageBreakBefore w:val="0"/>
              <w:widowControl w:val="0"/>
              <w:suppressLineNumbers w:val="0"/>
              <w:kinsoku/>
              <w:wordWrap w:val="0"/>
              <w:overflowPunct/>
              <w:bidi w:val="0"/>
              <w:spacing w:before="0" w:beforeAutospacing="0" w:after="0" w:afterAutospacing="0" w:line="360" w:lineRule="auto"/>
              <w:ind w:left="0" w:right="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项目概况</w:t>
            </w:r>
          </w:p>
          <w:p w14:paraId="2B38E714">
            <w:pPr>
              <w:keepNext w:val="0"/>
              <w:keepLines w:val="0"/>
              <w:pageBreakBefore w:val="0"/>
              <w:widowControl w:val="0"/>
              <w:suppressLineNumbers w:val="0"/>
              <w:kinsoku/>
              <w:wordWrap w:val="0"/>
              <w:overflowPunct/>
              <w:bidi w:val="0"/>
              <w:spacing w:before="0" w:beforeAutospacing="0" w:after="0" w:afterAutospacing="0" w:line="360" w:lineRule="auto"/>
              <w:ind w:left="0" w:right="0" w:firstLine="420" w:firstLineChars="200"/>
              <w:rPr>
                <w:rFonts w:hint="eastAsia" w:ascii="宋体" w:hAnsi="宋体" w:eastAsia="宋体" w:cs="宋体"/>
                <w:color w:val="auto"/>
                <w:kern w:val="0"/>
                <w:szCs w:val="21"/>
                <w:highlight w:val="none"/>
              </w:rPr>
            </w:pPr>
            <w:r>
              <w:rPr>
                <w:rFonts w:hint="eastAsia" w:ascii="宋体" w:hAnsi="宋体" w:cs="宋体"/>
                <w:color w:val="auto"/>
                <w:szCs w:val="21"/>
                <w:highlight w:val="none"/>
                <w:u w:val="single"/>
                <w:lang w:eastAsia="zh-CN"/>
              </w:rPr>
              <w:t>武汉理工大学等离子体烧成及控制模块购置项目</w:t>
            </w:r>
            <w:r>
              <w:rPr>
                <w:rFonts w:hint="eastAsia" w:ascii="宋体" w:hAnsi="宋体" w:eastAsia="宋体" w:cs="宋体"/>
                <w:color w:val="auto"/>
                <w:szCs w:val="21"/>
                <w:highlight w:val="none"/>
              </w:rPr>
              <w:t>招标项目的潜在投标人应在</w:t>
            </w:r>
            <w:r>
              <w:rPr>
                <w:rFonts w:hint="eastAsia" w:ascii="宋体" w:hAnsi="宋体" w:cs="宋体"/>
                <w:color w:val="auto"/>
                <w:szCs w:val="21"/>
                <w:highlight w:val="none"/>
                <w:u w:val="single"/>
                <w:lang w:val="en-US" w:eastAsia="zh-CN"/>
              </w:rPr>
              <w:t>武昌区中南路街民主路786号华银大厦10层湖北世发招标有限公司或网络（邮箱hbsfzb@sina.cn）</w:t>
            </w:r>
            <w:r>
              <w:rPr>
                <w:rFonts w:hint="eastAsia" w:ascii="宋体" w:hAnsi="宋体" w:eastAsia="宋体" w:cs="宋体"/>
                <w:color w:val="auto"/>
                <w:szCs w:val="21"/>
                <w:highlight w:val="none"/>
              </w:rPr>
              <w:t>获取招标文件，并于</w:t>
            </w:r>
            <w:r>
              <w:rPr>
                <w:rFonts w:hint="eastAsia" w:ascii="宋体" w:hAnsi="宋体" w:eastAsia="宋体" w:cs="宋体"/>
                <w:color w:val="auto"/>
                <w:szCs w:val="21"/>
                <w:highlight w:val="none"/>
                <w:u w:val="single"/>
                <w:lang w:val="en-US" w:eastAsia="zh-CN"/>
              </w:rPr>
              <w:t>202</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lang w:val="en-US" w:eastAsia="zh-CN"/>
              </w:rPr>
              <w:t>年</w:t>
            </w:r>
            <w:r>
              <w:rPr>
                <w:rFonts w:hint="eastAsia" w:ascii="宋体" w:hAnsi="宋体" w:cs="宋体"/>
                <w:color w:val="auto"/>
                <w:szCs w:val="21"/>
                <w:highlight w:val="none"/>
                <w:u w:val="single"/>
                <w:lang w:val="en-US" w:eastAsia="zh-CN"/>
              </w:rPr>
              <w:t>06</w:t>
            </w:r>
            <w:r>
              <w:rPr>
                <w:rFonts w:hint="eastAsia" w:ascii="宋体" w:hAnsi="宋体" w:eastAsia="宋体" w:cs="宋体"/>
                <w:color w:val="auto"/>
                <w:szCs w:val="21"/>
                <w:highlight w:val="none"/>
                <w:u w:val="single"/>
                <w:lang w:val="en-US" w:eastAsia="zh-CN"/>
              </w:rPr>
              <w:t>月</w:t>
            </w:r>
            <w:r>
              <w:rPr>
                <w:rFonts w:hint="eastAsia" w:ascii="宋体" w:hAnsi="宋体" w:cs="宋体"/>
                <w:color w:val="auto"/>
                <w:szCs w:val="21"/>
                <w:highlight w:val="none"/>
                <w:u w:val="single"/>
                <w:lang w:val="en-US" w:eastAsia="zh-CN"/>
              </w:rPr>
              <w:t>01</w:t>
            </w:r>
            <w:r>
              <w:rPr>
                <w:rFonts w:hint="eastAsia" w:ascii="宋体" w:hAnsi="宋体" w:eastAsia="宋体" w:cs="宋体"/>
                <w:color w:val="auto"/>
                <w:szCs w:val="21"/>
                <w:highlight w:val="none"/>
                <w:u w:val="single"/>
                <w:lang w:val="en-US" w:eastAsia="zh-CN"/>
              </w:rPr>
              <w:t>日</w:t>
            </w:r>
            <w:r>
              <w:rPr>
                <w:rFonts w:hint="eastAsia" w:ascii="宋体" w:hAnsi="宋体" w:cs="宋体"/>
                <w:color w:val="auto"/>
                <w:szCs w:val="21"/>
                <w:highlight w:val="none"/>
                <w:u w:val="single"/>
                <w:lang w:val="en-US" w:eastAsia="zh-CN"/>
              </w:rPr>
              <w:t>09</w:t>
            </w:r>
            <w:r>
              <w:rPr>
                <w:rFonts w:hint="eastAsia" w:ascii="宋体" w:hAnsi="宋体" w:eastAsia="宋体" w:cs="宋体"/>
                <w:color w:val="auto"/>
                <w:szCs w:val="21"/>
                <w:highlight w:val="none"/>
                <w:u w:val="single"/>
                <w:lang w:val="en-US" w:eastAsia="zh-CN"/>
              </w:rPr>
              <w:t>点</w:t>
            </w:r>
            <w:r>
              <w:rPr>
                <w:rFonts w:hint="eastAsia" w:ascii="宋体" w:hAnsi="宋体" w:cs="宋体"/>
                <w:color w:val="auto"/>
                <w:szCs w:val="21"/>
                <w:highlight w:val="none"/>
                <w:u w:val="single"/>
                <w:lang w:val="en-US" w:eastAsia="zh-CN"/>
              </w:rPr>
              <w:t>00</w:t>
            </w:r>
            <w:r>
              <w:rPr>
                <w:rFonts w:hint="eastAsia" w:ascii="宋体" w:hAnsi="宋体" w:eastAsia="宋体" w:cs="宋体"/>
                <w:color w:val="auto"/>
                <w:szCs w:val="21"/>
                <w:highlight w:val="none"/>
                <w:u w:val="single"/>
                <w:lang w:val="en-US" w:eastAsia="zh-CN"/>
              </w:rPr>
              <w:t>分</w:t>
            </w:r>
            <w:r>
              <w:rPr>
                <w:rFonts w:hint="eastAsia" w:ascii="宋体" w:hAnsi="宋体" w:eastAsia="宋体" w:cs="宋体"/>
                <w:color w:val="auto"/>
                <w:szCs w:val="21"/>
                <w:highlight w:val="none"/>
              </w:rPr>
              <w:t>（北京时间）前递交投标文件。</w:t>
            </w:r>
          </w:p>
        </w:tc>
      </w:tr>
    </w:tbl>
    <w:p w14:paraId="6BE3EB9E">
      <w:pPr>
        <w:pStyle w:val="5"/>
        <w:pageBreakBefore w:val="0"/>
        <w:widowControl w:val="0"/>
        <w:shd w:val="clear" w:color="auto" w:fill="FEFEFE"/>
        <w:kinsoku/>
        <w:wordWrap w:val="0"/>
        <w:overflowPunct/>
        <w:bidi w:val="0"/>
        <w:spacing w:before="0" w:after="0" w:line="360" w:lineRule="auto"/>
        <w:ind w:firstLine="422" w:firstLineChars="200"/>
        <w:rPr>
          <w:rFonts w:hint="eastAsia" w:ascii="宋体" w:hAnsi="宋体" w:eastAsia="宋体" w:cs="宋体"/>
          <w:color w:val="auto"/>
          <w:sz w:val="21"/>
          <w:szCs w:val="21"/>
          <w:highlight w:val="none"/>
        </w:rPr>
      </w:pPr>
      <w:bookmarkStart w:id="1" w:name="_Toc119594475"/>
      <w:bookmarkStart w:id="2" w:name="_Toc4648"/>
      <w:bookmarkStart w:id="3" w:name="_Toc14928"/>
      <w:r>
        <w:rPr>
          <w:rFonts w:hint="eastAsia" w:ascii="宋体" w:hAnsi="宋体" w:eastAsia="宋体" w:cs="宋体"/>
          <w:color w:val="auto"/>
          <w:sz w:val="21"/>
          <w:szCs w:val="21"/>
          <w:highlight w:val="none"/>
        </w:rPr>
        <w:t>一、项目基本情况</w:t>
      </w:r>
      <w:bookmarkEnd w:id="1"/>
      <w:bookmarkEnd w:id="2"/>
      <w:bookmarkEnd w:id="3"/>
    </w:p>
    <w:p w14:paraId="6C570783">
      <w:pPr>
        <w:pStyle w:val="20"/>
        <w:pageBreakBefore w:val="0"/>
        <w:widowControl w:val="0"/>
        <w:shd w:val="clear" w:color="auto" w:fill="FEFEFE"/>
        <w:kinsoku/>
        <w:wordWrap w:val="0"/>
        <w:overflowPunct/>
        <w:bidi w:val="0"/>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1、项目编号：</w:t>
      </w:r>
      <w:r>
        <w:rPr>
          <w:rFonts w:hint="eastAsia" w:cs="宋体"/>
          <w:color w:val="auto"/>
          <w:sz w:val="21"/>
          <w:szCs w:val="21"/>
          <w:highlight w:val="none"/>
          <w:u w:val="single"/>
          <w:lang w:eastAsia="zh-CN"/>
        </w:rPr>
        <w:t>WUTH2026040018（HBSF-ZC-26041624）</w:t>
      </w:r>
    </w:p>
    <w:p w14:paraId="3B453A99">
      <w:pPr>
        <w:pStyle w:val="20"/>
        <w:pageBreakBefore w:val="0"/>
        <w:widowControl w:val="0"/>
        <w:shd w:val="clear" w:color="auto" w:fill="FEFEFE"/>
        <w:kinsoku/>
        <w:wordWrap w:val="0"/>
        <w:overflowPunct/>
        <w:bidi w:val="0"/>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cs="宋体"/>
          <w:color w:val="auto"/>
          <w:sz w:val="21"/>
          <w:szCs w:val="21"/>
          <w:highlight w:val="none"/>
          <w:u w:val="single"/>
          <w:lang w:eastAsia="zh-CN"/>
        </w:rPr>
        <w:t>武汉理工大学等离子体烧成及控制模块购置项目</w:t>
      </w:r>
    </w:p>
    <w:p w14:paraId="08FA8474">
      <w:pPr>
        <w:pStyle w:val="20"/>
        <w:pageBreakBefore w:val="0"/>
        <w:widowControl w:val="0"/>
        <w:shd w:val="clear" w:color="auto" w:fill="FEFEFE"/>
        <w:kinsoku/>
        <w:wordWrap w:val="0"/>
        <w:overflowPunct/>
        <w:bidi w:val="0"/>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3、预算金额：</w:t>
      </w:r>
      <w:r>
        <w:rPr>
          <w:rFonts w:hint="eastAsia" w:cs="宋体"/>
          <w:color w:val="auto"/>
          <w:sz w:val="21"/>
          <w:szCs w:val="21"/>
          <w:highlight w:val="none"/>
          <w:u w:val="single"/>
          <w:lang w:val="en-US" w:eastAsia="zh-CN"/>
        </w:rPr>
        <w:t>630</w:t>
      </w:r>
      <w:r>
        <w:rPr>
          <w:rFonts w:hint="eastAsia" w:ascii="宋体" w:hAnsi="宋体" w:eastAsia="宋体" w:cs="宋体"/>
          <w:color w:val="auto"/>
          <w:sz w:val="21"/>
          <w:szCs w:val="21"/>
          <w:highlight w:val="none"/>
        </w:rPr>
        <w:t>万元（人民币）</w:t>
      </w:r>
    </w:p>
    <w:p w14:paraId="16C966F6">
      <w:pPr>
        <w:pStyle w:val="20"/>
        <w:pageBreakBefore w:val="0"/>
        <w:widowControl w:val="0"/>
        <w:shd w:val="clear" w:color="auto" w:fill="FEFEFE"/>
        <w:kinsoku/>
        <w:wordWrap w:val="0"/>
        <w:overflowPunct/>
        <w:bidi w:val="0"/>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4、最高限价：</w:t>
      </w:r>
      <w:r>
        <w:rPr>
          <w:rFonts w:hint="eastAsia" w:cs="宋体"/>
          <w:color w:val="auto"/>
          <w:sz w:val="21"/>
          <w:szCs w:val="21"/>
          <w:highlight w:val="none"/>
          <w:u w:val="single"/>
          <w:lang w:val="en-US" w:eastAsia="zh-CN"/>
        </w:rPr>
        <w:t>630</w:t>
      </w:r>
      <w:r>
        <w:rPr>
          <w:rFonts w:hint="eastAsia" w:ascii="宋体" w:hAnsi="宋体" w:eastAsia="宋体" w:cs="宋体"/>
          <w:color w:val="auto"/>
          <w:sz w:val="21"/>
          <w:szCs w:val="21"/>
          <w:highlight w:val="none"/>
        </w:rPr>
        <w:t>万元（人民币）</w:t>
      </w:r>
    </w:p>
    <w:p w14:paraId="29205F7A">
      <w:pPr>
        <w:pStyle w:val="20"/>
        <w:pageBreakBefore w:val="0"/>
        <w:widowControl w:val="0"/>
        <w:shd w:val="clear" w:color="auto" w:fill="FEFEFE"/>
        <w:kinsoku/>
        <w:wordWrap w:val="0"/>
        <w:overflowPunct/>
        <w:bidi w:val="0"/>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5、采购需求：本项目共分</w:t>
      </w:r>
      <w:r>
        <w:rPr>
          <w:rFonts w:hint="eastAsia" w:cs="宋体"/>
          <w:color w:val="auto"/>
          <w:sz w:val="21"/>
          <w:szCs w:val="21"/>
          <w:highlight w:val="none"/>
          <w:lang w:val="en-US" w:eastAsia="zh-CN"/>
        </w:rPr>
        <w:t>1个</w:t>
      </w:r>
      <w:r>
        <w:rPr>
          <w:rFonts w:hint="eastAsia" w:ascii="宋体" w:hAnsi="宋体" w:eastAsia="宋体" w:cs="宋体"/>
          <w:color w:val="auto"/>
          <w:sz w:val="21"/>
          <w:szCs w:val="21"/>
          <w:highlight w:val="none"/>
        </w:rPr>
        <w:t>包。详细技术规格、参数及要求见本项目采购文件第三章内容。</w:t>
      </w:r>
    </w:p>
    <w:tbl>
      <w:tblPr>
        <w:tblStyle w:val="25"/>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54"/>
        <w:gridCol w:w="1615"/>
        <w:gridCol w:w="1524"/>
        <w:gridCol w:w="1010"/>
        <w:gridCol w:w="2599"/>
        <w:gridCol w:w="2288"/>
      </w:tblGrid>
      <w:tr w14:paraId="259ED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37" w:type="pct"/>
            <w:vAlign w:val="center"/>
          </w:tcPr>
          <w:p w14:paraId="600F8A83">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包号</w:t>
            </w:r>
          </w:p>
        </w:tc>
        <w:tc>
          <w:tcPr>
            <w:tcW w:w="833" w:type="pct"/>
            <w:vAlign w:val="center"/>
          </w:tcPr>
          <w:p w14:paraId="0B0A4E77">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786" w:type="pct"/>
            <w:vAlign w:val="center"/>
          </w:tcPr>
          <w:p w14:paraId="0B739D1A">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采购内容</w:t>
            </w:r>
          </w:p>
        </w:tc>
        <w:tc>
          <w:tcPr>
            <w:tcW w:w="521" w:type="pct"/>
            <w:vAlign w:val="center"/>
          </w:tcPr>
          <w:p w14:paraId="3B4EF812">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340" w:type="pct"/>
            <w:vAlign w:val="center"/>
          </w:tcPr>
          <w:p w14:paraId="61457103">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预算金额（万元）</w:t>
            </w:r>
          </w:p>
        </w:tc>
        <w:tc>
          <w:tcPr>
            <w:tcW w:w="1180" w:type="pct"/>
            <w:vAlign w:val="center"/>
          </w:tcPr>
          <w:p w14:paraId="5F62C50E">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78208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0" w:hRule="atLeast"/>
          <w:jc w:val="center"/>
        </w:trPr>
        <w:tc>
          <w:tcPr>
            <w:tcW w:w="337" w:type="pct"/>
            <w:vMerge w:val="restart"/>
            <w:vAlign w:val="center"/>
          </w:tcPr>
          <w:p w14:paraId="71B1293E">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包1</w:t>
            </w:r>
          </w:p>
        </w:tc>
        <w:tc>
          <w:tcPr>
            <w:tcW w:w="833" w:type="pct"/>
            <w:vMerge w:val="restart"/>
            <w:vAlign w:val="center"/>
          </w:tcPr>
          <w:p w14:paraId="0EF02A38">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cs="宋体"/>
                <w:color w:val="auto"/>
                <w:sz w:val="21"/>
                <w:szCs w:val="21"/>
                <w:highlight w:val="none"/>
                <w:u w:val="none"/>
                <w:lang w:eastAsia="zh-CN"/>
              </w:rPr>
            </w:pPr>
            <w:r>
              <w:rPr>
                <w:rFonts w:hint="eastAsia" w:cs="宋体"/>
                <w:color w:val="auto"/>
                <w:sz w:val="21"/>
                <w:szCs w:val="21"/>
                <w:highlight w:val="none"/>
                <w:u w:val="none"/>
                <w:lang w:eastAsia="zh-CN"/>
              </w:rPr>
              <w:t>武汉理工大学等离子体烧成及控制模块购置项目</w:t>
            </w:r>
          </w:p>
        </w:tc>
        <w:tc>
          <w:tcPr>
            <w:tcW w:w="1524" w:type="dxa"/>
            <w:vAlign w:val="center"/>
          </w:tcPr>
          <w:p w14:paraId="1AD1AF02">
            <w:pPr>
              <w:keepNext w:val="0"/>
              <w:keepLines w:val="0"/>
              <w:widowControl/>
              <w:suppressLineNumbers w:val="0"/>
              <w:spacing w:before="0" w:beforeAutospacing="0" w:after="0" w:afterAutospacing="0" w:line="400" w:lineRule="exact"/>
              <w:ind w:left="0" w:right="0"/>
              <w:jc w:val="center"/>
              <w:rPr>
                <w:rFonts w:hint="eastAsia" w:cs="宋体"/>
                <w:color w:val="auto"/>
                <w:sz w:val="21"/>
                <w:szCs w:val="21"/>
                <w:highlight w:val="none"/>
                <w:u w:val="none"/>
                <w:lang w:val="en-US" w:eastAsia="zh-CN"/>
              </w:rPr>
            </w:pPr>
            <w:r>
              <w:rPr>
                <w:rFonts w:hint="eastAsia" w:ascii="宋体" w:hAnsi="宋体" w:cs="Times New Roman"/>
                <w:color w:val="auto"/>
                <w:szCs w:val="24"/>
                <w:highlight w:val="none"/>
              </w:rPr>
              <w:t>全电一体炉</w:t>
            </w:r>
          </w:p>
        </w:tc>
        <w:tc>
          <w:tcPr>
            <w:tcW w:w="521" w:type="pct"/>
            <w:shd w:val="clear" w:color="auto" w:fill="auto"/>
            <w:vAlign w:val="center"/>
          </w:tcPr>
          <w:p w14:paraId="756AA9C4">
            <w:pPr>
              <w:keepNext w:val="0"/>
              <w:keepLines w:val="0"/>
              <w:widowControl/>
              <w:suppressLineNumbers w:val="0"/>
              <w:spacing w:before="0" w:beforeAutospacing="0" w:after="0" w:afterAutospacing="0" w:line="400" w:lineRule="exact"/>
              <w:ind w:left="0" w:right="0"/>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1套</w:t>
            </w:r>
          </w:p>
        </w:tc>
        <w:tc>
          <w:tcPr>
            <w:tcW w:w="1340" w:type="pct"/>
            <w:vMerge w:val="restart"/>
            <w:vAlign w:val="center"/>
          </w:tcPr>
          <w:p w14:paraId="09B50BBB">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人民币</w:t>
            </w:r>
            <w:r>
              <w:rPr>
                <w:rFonts w:hint="eastAsia" w:cs="宋体"/>
                <w:color w:val="auto"/>
                <w:sz w:val="21"/>
                <w:szCs w:val="21"/>
                <w:highlight w:val="none"/>
                <w:u w:val="none"/>
                <w:lang w:val="en-US" w:eastAsia="zh-CN"/>
              </w:rPr>
              <w:t>630</w:t>
            </w:r>
            <w:r>
              <w:rPr>
                <w:rFonts w:hint="eastAsia" w:ascii="宋体" w:hAnsi="宋体" w:eastAsia="宋体" w:cs="宋体"/>
                <w:color w:val="auto"/>
                <w:sz w:val="21"/>
                <w:szCs w:val="21"/>
                <w:highlight w:val="none"/>
                <w:u w:val="none"/>
              </w:rPr>
              <w:t>万元</w:t>
            </w:r>
            <w:r>
              <w:rPr>
                <w:rFonts w:hint="eastAsia" w:ascii="宋体" w:hAnsi="宋体" w:eastAsia="宋体" w:cs="宋体"/>
                <w:color w:val="auto"/>
                <w:sz w:val="21"/>
                <w:szCs w:val="21"/>
                <w:highlight w:val="none"/>
                <w:u w:val="none"/>
                <w:lang w:eastAsia="zh-CN"/>
              </w:rPr>
              <w:t>，投标人</w:t>
            </w:r>
            <w:r>
              <w:rPr>
                <w:rFonts w:hint="eastAsia" w:ascii="宋体" w:hAnsi="宋体" w:eastAsia="宋体" w:cs="宋体"/>
                <w:color w:val="auto"/>
                <w:sz w:val="21"/>
                <w:szCs w:val="21"/>
                <w:highlight w:val="none"/>
                <w:u w:val="none"/>
              </w:rPr>
              <w:t>报价均不得超过该包预算金额（最高限价），否则按无效</w:t>
            </w:r>
            <w:r>
              <w:rPr>
                <w:rFonts w:hint="eastAsia" w:cs="宋体"/>
                <w:color w:val="auto"/>
                <w:sz w:val="21"/>
                <w:szCs w:val="21"/>
                <w:highlight w:val="none"/>
                <w:u w:val="none"/>
                <w:lang w:val="en-US" w:eastAsia="zh-CN"/>
              </w:rPr>
              <w:t>投标</w:t>
            </w:r>
            <w:r>
              <w:rPr>
                <w:rFonts w:hint="eastAsia" w:ascii="宋体" w:hAnsi="宋体" w:eastAsia="宋体" w:cs="宋体"/>
                <w:color w:val="auto"/>
                <w:sz w:val="21"/>
                <w:szCs w:val="21"/>
                <w:highlight w:val="none"/>
                <w:u w:val="none"/>
                <w:lang w:eastAsia="zh-CN"/>
              </w:rPr>
              <w:t>文件</w:t>
            </w:r>
            <w:r>
              <w:rPr>
                <w:rFonts w:hint="eastAsia" w:ascii="宋体" w:hAnsi="宋体" w:eastAsia="宋体" w:cs="宋体"/>
                <w:color w:val="auto"/>
                <w:sz w:val="21"/>
                <w:szCs w:val="21"/>
                <w:highlight w:val="none"/>
                <w:u w:val="none"/>
              </w:rPr>
              <w:t>处理。</w:t>
            </w:r>
          </w:p>
        </w:tc>
        <w:tc>
          <w:tcPr>
            <w:tcW w:w="1180" w:type="pct"/>
            <w:vMerge w:val="restart"/>
            <w:vAlign w:val="center"/>
          </w:tcPr>
          <w:p w14:paraId="5C8EE696">
            <w:pPr>
              <w:pStyle w:val="20"/>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kern w:val="0"/>
                <w:sz w:val="21"/>
                <w:szCs w:val="21"/>
                <w:highlight w:val="none"/>
                <w:lang w:val="en-US" w:eastAsia="zh-CN" w:bidi="ar-SA"/>
              </w:rPr>
              <w:t>1、</w:t>
            </w:r>
            <w:r>
              <w:rPr>
                <w:rFonts w:hint="eastAsia" w:ascii="宋体" w:hAnsi="宋体" w:eastAsia="宋体" w:cs="宋体"/>
                <w:color w:val="auto"/>
                <w:sz w:val="21"/>
                <w:szCs w:val="21"/>
                <w:highlight w:val="none"/>
                <w:u w:val="none"/>
              </w:rPr>
              <w:t>本项目不接受进口产品</w:t>
            </w:r>
            <w:r>
              <w:rPr>
                <w:rFonts w:hint="eastAsia" w:cs="宋体"/>
                <w:color w:val="auto"/>
                <w:sz w:val="21"/>
                <w:szCs w:val="21"/>
                <w:highlight w:val="none"/>
                <w:u w:val="none"/>
                <w:lang w:val="en-US" w:eastAsia="zh-CN"/>
              </w:rPr>
              <w:t>投标</w:t>
            </w:r>
            <w:r>
              <w:rPr>
                <w:rFonts w:hint="eastAsia" w:ascii="宋体" w:hAnsi="宋体" w:eastAsia="宋体" w:cs="宋体"/>
                <w:color w:val="auto"/>
                <w:sz w:val="21"/>
                <w:szCs w:val="21"/>
                <w:highlight w:val="none"/>
                <w:u w:val="none"/>
              </w:rPr>
              <w:t>；</w:t>
            </w:r>
          </w:p>
          <w:p w14:paraId="792943F6">
            <w:pPr>
              <w:pStyle w:val="20"/>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2、本项目核心产品为</w:t>
            </w:r>
            <w:r>
              <w:rPr>
                <w:rFonts w:hint="eastAsia" w:ascii="宋体" w:hAnsi="宋体" w:eastAsia="宋体" w:cs="宋体"/>
                <w:b/>
                <w:bCs/>
                <w:color w:val="auto"/>
                <w:sz w:val="21"/>
                <w:szCs w:val="21"/>
                <w:highlight w:val="none"/>
                <w:u w:val="none"/>
              </w:rPr>
              <w:t>全电一体炉</w:t>
            </w:r>
            <w:r>
              <w:rPr>
                <w:rFonts w:hint="eastAsia" w:ascii="宋体" w:hAnsi="宋体" w:eastAsia="宋体" w:cs="宋体"/>
                <w:color w:val="auto"/>
                <w:sz w:val="21"/>
                <w:szCs w:val="21"/>
                <w:highlight w:val="none"/>
                <w:u w:val="none"/>
              </w:rPr>
              <w:t>。</w:t>
            </w:r>
          </w:p>
        </w:tc>
      </w:tr>
      <w:tr w14:paraId="063C1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0" w:hRule="atLeast"/>
          <w:jc w:val="center"/>
        </w:trPr>
        <w:tc>
          <w:tcPr>
            <w:tcW w:w="337" w:type="pct"/>
            <w:vMerge w:val="continue"/>
            <w:vAlign w:val="center"/>
          </w:tcPr>
          <w:p w14:paraId="3981A1D3">
            <w:pPr>
              <w:keepNext w:val="0"/>
              <w:keepLines w:val="0"/>
              <w:widowControl/>
              <w:suppressLineNumbers w:val="0"/>
              <w:spacing w:before="0" w:beforeAutospacing="0" w:after="0" w:afterAutospacing="0" w:line="400" w:lineRule="exact"/>
              <w:ind w:left="0" w:right="0"/>
              <w:jc w:val="center"/>
              <w:rPr>
                <w:rFonts w:hint="default"/>
                <w:color w:val="auto"/>
                <w:highlight w:val="none"/>
              </w:rPr>
            </w:pPr>
          </w:p>
        </w:tc>
        <w:tc>
          <w:tcPr>
            <w:tcW w:w="833" w:type="pct"/>
            <w:vMerge w:val="continue"/>
            <w:vAlign w:val="center"/>
          </w:tcPr>
          <w:p w14:paraId="07CDE0EB">
            <w:pPr>
              <w:keepNext w:val="0"/>
              <w:keepLines w:val="0"/>
              <w:widowControl/>
              <w:suppressLineNumbers w:val="0"/>
              <w:spacing w:before="0" w:beforeAutospacing="0" w:after="0" w:afterAutospacing="0" w:line="400" w:lineRule="exact"/>
              <w:ind w:left="0" w:right="0"/>
              <w:jc w:val="center"/>
              <w:rPr>
                <w:rFonts w:hint="default"/>
                <w:color w:val="auto"/>
                <w:highlight w:val="none"/>
              </w:rPr>
            </w:pPr>
          </w:p>
        </w:tc>
        <w:tc>
          <w:tcPr>
            <w:tcW w:w="1524" w:type="dxa"/>
            <w:vAlign w:val="center"/>
          </w:tcPr>
          <w:p w14:paraId="117709FD">
            <w:pPr>
              <w:keepNext w:val="0"/>
              <w:keepLines w:val="0"/>
              <w:widowControl/>
              <w:suppressLineNumbers w:val="0"/>
              <w:spacing w:before="0" w:beforeAutospacing="0" w:after="0" w:afterAutospacing="0" w:line="400" w:lineRule="exact"/>
              <w:ind w:left="0" w:right="0"/>
              <w:jc w:val="center"/>
              <w:rPr>
                <w:rFonts w:hint="eastAsia" w:cs="宋体"/>
                <w:color w:val="auto"/>
                <w:sz w:val="21"/>
                <w:szCs w:val="21"/>
                <w:highlight w:val="none"/>
                <w:u w:val="none"/>
                <w:lang w:eastAsia="zh-CN"/>
              </w:rPr>
            </w:pPr>
            <w:r>
              <w:rPr>
                <w:rFonts w:hint="eastAsia" w:ascii="宋体" w:hAnsi="宋体" w:cs="Times New Roman"/>
                <w:color w:val="auto"/>
                <w:szCs w:val="24"/>
                <w:highlight w:val="none"/>
              </w:rPr>
              <w:t>等离子体火炬</w:t>
            </w:r>
          </w:p>
        </w:tc>
        <w:tc>
          <w:tcPr>
            <w:tcW w:w="521" w:type="pct"/>
            <w:shd w:val="clear" w:color="auto" w:fill="auto"/>
            <w:vAlign w:val="center"/>
          </w:tcPr>
          <w:p w14:paraId="0A0175B5">
            <w:pPr>
              <w:keepNext w:val="0"/>
              <w:keepLines w:val="0"/>
              <w:widowControl/>
              <w:suppressLineNumbers w:val="0"/>
              <w:spacing w:before="0" w:beforeAutospacing="0" w:after="0" w:afterAutospacing="0" w:line="400" w:lineRule="exact"/>
              <w:ind w:left="0" w:right="0"/>
              <w:jc w:val="center"/>
              <w:rPr>
                <w:rFonts w:hint="eastAsia" w:cs="宋体"/>
                <w:color w:val="auto"/>
                <w:sz w:val="21"/>
                <w:szCs w:val="21"/>
                <w:highlight w:val="none"/>
                <w:u w:val="none"/>
                <w:lang w:eastAsia="zh-CN"/>
              </w:rPr>
            </w:pPr>
            <w:r>
              <w:rPr>
                <w:rFonts w:hint="eastAsia" w:ascii="宋体" w:hAnsi="宋体" w:cs="宋体"/>
                <w:b w:val="0"/>
                <w:bCs w:val="0"/>
                <w:color w:val="auto"/>
                <w:kern w:val="0"/>
                <w:sz w:val="21"/>
                <w:szCs w:val="21"/>
                <w:highlight w:val="none"/>
                <w:lang w:val="en-US" w:eastAsia="zh-CN" w:bidi="ar-SA"/>
              </w:rPr>
              <w:t>1套</w:t>
            </w:r>
          </w:p>
        </w:tc>
        <w:tc>
          <w:tcPr>
            <w:tcW w:w="1340" w:type="pct"/>
            <w:vMerge w:val="continue"/>
            <w:vAlign w:val="center"/>
          </w:tcPr>
          <w:p w14:paraId="60FF8893">
            <w:pPr>
              <w:keepNext w:val="0"/>
              <w:keepLines w:val="0"/>
              <w:widowControl/>
              <w:suppressLineNumbers w:val="0"/>
              <w:spacing w:before="0" w:beforeAutospacing="0" w:after="0" w:afterAutospacing="0" w:line="400" w:lineRule="exact"/>
              <w:ind w:left="0" w:right="0"/>
              <w:jc w:val="center"/>
              <w:rPr>
                <w:rFonts w:hint="eastAsia" w:cs="宋体"/>
                <w:color w:val="auto"/>
                <w:sz w:val="21"/>
                <w:szCs w:val="21"/>
                <w:highlight w:val="none"/>
                <w:u w:val="none"/>
                <w:lang w:eastAsia="zh-CN"/>
              </w:rPr>
            </w:pPr>
          </w:p>
        </w:tc>
        <w:tc>
          <w:tcPr>
            <w:tcW w:w="1180" w:type="pct"/>
            <w:vMerge w:val="continue"/>
            <w:vAlign w:val="center"/>
          </w:tcPr>
          <w:p w14:paraId="494DD0F8">
            <w:pPr>
              <w:keepNext w:val="0"/>
              <w:keepLines w:val="0"/>
              <w:widowControl/>
              <w:suppressLineNumbers w:val="0"/>
              <w:spacing w:before="0" w:beforeAutospacing="0" w:after="0" w:afterAutospacing="0" w:line="400" w:lineRule="exact"/>
              <w:ind w:left="0" w:right="0"/>
              <w:jc w:val="center"/>
              <w:rPr>
                <w:rFonts w:hint="eastAsia" w:cs="宋体"/>
                <w:color w:val="auto"/>
                <w:sz w:val="21"/>
                <w:szCs w:val="21"/>
                <w:highlight w:val="none"/>
                <w:u w:val="none"/>
                <w:lang w:eastAsia="zh-CN"/>
              </w:rPr>
            </w:pPr>
          </w:p>
        </w:tc>
      </w:tr>
    </w:tbl>
    <w:p w14:paraId="45C79140">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6、合同履行期限：交货期</w:t>
      </w:r>
      <w:r>
        <w:rPr>
          <w:rFonts w:hint="eastAsia" w:cs="宋体"/>
          <w:color w:val="auto"/>
          <w:sz w:val="21"/>
          <w:szCs w:val="21"/>
          <w:highlight w:val="none"/>
          <w:lang w:val="en-US" w:eastAsia="zh-CN"/>
        </w:rPr>
        <w:t>为</w:t>
      </w:r>
      <w:r>
        <w:rPr>
          <w:rFonts w:hint="eastAsia" w:ascii="宋体" w:hAnsi="宋体" w:eastAsia="宋体" w:cs="宋体"/>
          <w:color w:val="auto"/>
          <w:sz w:val="21"/>
          <w:szCs w:val="21"/>
          <w:highlight w:val="none"/>
        </w:rPr>
        <w:t>合同签订后3个月内交货</w:t>
      </w:r>
      <w:r>
        <w:rPr>
          <w:rFonts w:hint="eastAsia" w:cs="宋体"/>
          <w:color w:val="auto"/>
          <w:sz w:val="21"/>
          <w:szCs w:val="21"/>
          <w:highlight w:val="none"/>
          <w:lang w:eastAsia="zh-CN"/>
        </w:rPr>
        <w:t>；</w:t>
      </w:r>
      <w:r>
        <w:rPr>
          <w:rFonts w:hint="eastAsia" w:cs="宋体"/>
          <w:color w:val="auto"/>
          <w:sz w:val="21"/>
          <w:szCs w:val="21"/>
          <w:highlight w:val="none"/>
          <w:lang w:val="en-US" w:eastAsia="zh-CN"/>
        </w:rPr>
        <w:t>质保期</w:t>
      </w:r>
      <w:r>
        <w:rPr>
          <w:rFonts w:hint="eastAsia" w:ascii="宋体" w:hAnsi="宋体" w:eastAsia="宋体" w:cs="宋体"/>
          <w:color w:val="auto"/>
          <w:sz w:val="21"/>
          <w:szCs w:val="21"/>
          <w:highlight w:val="none"/>
          <w:lang w:val="en-US" w:eastAsia="zh-CN"/>
        </w:rPr>
        <w:t>为自验收合格之日起2年</w:t>
      </w:r>
      <w:r>
        <w:rPr>
          <w:rFonts w:hint="eastAsia" w:cs="宋体"/>
          <w:color w:val="auto"/>
          <w:sz w:val="21"/>
          <w:szCs w:val="21"/>
          <w:highlight w:val="none"/>
          <w:lang w:val="en-US" w:eastAsia="zh-CN"/>
        </w:rPr>
        <w:t>。</w:t>
      </w:r>
    </w:p>
    <w:p w14:paraId="08A2C468">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7、本项目（不接受)联合体投标。</w:t>
      </w:r>
    </w:p>
    <w:p w14:paraId="0686DD39">
      <w:pPr>
        <w:pStyle w:val="5"/>
        <w:pageBreakBefore w:val="0"/>
        <w:widowControl w:val="0"/>
        <w:shd w:val="clear" w:color="auto" w:fill="FEFEFE"/>
        <w:kinsoku/>
        <w:wordWrap w:val="0"/>
        <w:overflowPunct/>
        <w:topLinePunct w:val="0"/>
        <w:autoSpaceDE/>
        <w:autoSpaceDN/>
        <w:bidi w:val="0"/>
        <w:spacing w:before="0" w:after="0" w:line="360" w:lineRule="auto"/>
        <w:ind w:firstLine="422" w:firstLineChars="200"/>
        <w:textAlignment w:val="auto"/>
        <w:rPr>
          <w:rFonts w:hint="eastAsia" w:ascii="宋体" w:hAnsi="宋体" w:eastAsia="宋体" w:cs="宋体"/>
          <w:color w:val="auto"/>
          <w:sz w:val="21"/>
          <w:szCs w:val="21"/>
          <w:highlight w:val="none"/>
        </w:rPr>
      </w:pPr>
      <w:bookmarkStart w:id="4" w:name="_Toc119594476"/>
      <w:bookmarkStart w:id="5" w:name="_Toc13994"/>
      <w:bookmarkStart w:id="6" w:name="_Toc31088"/>
      <w:r>
        <w:rPr>
          <w:rFonts w:hint="eastAsia" w:ascii="宋体" w:hAnsi="宋体" w:eastAsia="宋体" w:cs="宋体"/>
          <w:color w:val="auto"/>
          <w:sz w:val="21"/>
          <w:szCs w:val="21"/>
          <w:highlight w:val="none"/>
        </w:rPr>
        <w:t>二、投标人的资格要求</w:t>
      </w:r>
      <w:bookmarkEnd w:id="4"/>
      <w:bookmarkEnd w:id="5"/>
      <w:bookmarkEnd w:id="6"/>
    </w:p>
    <w:p w14:paraId="5893CD37">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1.满足《中华人民共和国政府采购法》第二十二条规定</w:t>
      </w:r>
      <w:r>
        <w:rPr>
          <w:rFonts w:hint="eastAsia" w:cs="宋体"/>
          <w:color w:val="auto"/>
          <w:sz w:val="21"/>
          <w:szCs w:val="21"/>
          <w:highlight w:val="none"/>
          <w:lang w:eastAsia="zh-CN"/>
        </w:rPr>
        <w:t>：</w:t>
      </w:r>
    </w:p>
    <w:p w14:paraId="015FE497">
      <w:pPr>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（1）具有独立承担民事责任的能力；</w:t>
      </w:r>
    </w:p>
    <w:p w14:paraId="42D3920E">
      <w:pPr>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（2）具有良好的商业信誉和健全的财务会计制度；</w:t>
      </w:r>
    </w:p>
    <w:p w14:paraId="28A9D70C">
      <w:pPr>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（3）具有履行合同所必需的设备和专业技术能力；</w:t>
      </w:r>
    </w:p>
    <w:p w14:paraId="73F9D95D">
      <w:pPr>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（4）有依法缴纳税收和社会保障资金的良好记录；</w:t>
      </w:r>
    </w:p>
    <w:p w14:paraId="60FD3FED">
      <w:pPr>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（5）参加政府采购活动前三年内，在经营活动中没有重大违法记录；</w:t>
      </w:r>
    </w:p>
    <w:p w14:paraId="4A89DFAC">
      <w:pPr>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（6）法律、行政法规规定的其他条件。</w:t>
      </w:r>
    </w:p>
    <w:p w14:paraId="59CAAD3B">
      <w:pPr>
        <w:pStyle w:val="34"/>
        <w:pageBreakBefore w:val="0"/>
        <w:widowControl w:val="0"/>
        <w:kinsoku/>
        <w:wordWrap w:val="0"/>
        <w:overflowPunct/>
        <w:topLinePunct w:val="0"/>
        <w:autoSpaceDE/>
        <w:autoSpaceDN/>
        <w:bidi w:val="0"/>
        <w:spacing w:line="360" w:lineRule="auto"/>
        <w:textAlignment w:val="auto"/>
        <w:rPr>
          <w:rFonts w:hint="eastAsia" w:ascii="宋体" w:hAnsi="宋体" w:eastAsia="宋体" w:cs="宋体"/>
          <w:i/>
          <w:strike w:val="0"/>
          <w:color w:val="auto"/>
          <w:szCs w:val="21"/>
          <w:highlight w:val="none"/>
          <w:lang w:eastAsia="zh-CN"/>
        </w:rPr>
      </w:pPr>
      <w:r>
        <w:rPr>
          <w:rFonts w:hint="eastAsia" w:ascii="宋体" w:hAnsi="宋体" w:eastAsia="宋体" w:cs="宋体"/>
          <w:color w:val="auto"/>
          <w:kern w:val="0"/>
          <w:sz w:val="21"/>
          <w:szCs w:val="21"/>
          <w:highlight w:val="none"/>
          <w:lang w:val="en-US" w:eastAsia="zh-CN" w:bidi="ar-SA"/>
        </w:rPr>
        <w:t>2.</w:t>
      </w:r>
      <w:r>
        <w:rPr>
          <w:rFonts w:hint="eastAsia" w:ascii="宋体" w:hAnsi="宋体" w:eastAsia="宋体" w:cs="宋体"/>
          <w:color w:val="auto"/>
          <w:sz w:val="21"/>
          <w:szCs w:val="21"/>
          <w:highlight w:val="none"/>
        </w:rPr>
        <w:t>落实政府采购政策需满足的资格要求：本政府采购项目</w:t>
      </w:r>
      <w:r>
        <w:rPr>
          <w:rFonts w:hint="eastAsia" w:ascii="宋体" w:hAnsi="宋体" w:eastAsia="宋体" w:cs="宋体"/>
          <w:b/>
          <w:bCs/>
          <w:color w:val="auto"/>
          <w:sz w:val="21"/>
          <w:szCs w:val="21"/>
          <w:highlight w:val="none"/>
        </w:rPr>
        <w:t>是</w:t>
      </w:r>
      <w:r>
        <w:rPr>
          <w:rFonts w:hint="eastAsia" w:ascii="宋体" w:hAnsi="宋体" w:eastAsia="宋体" w:cs="宋体"/>
          <w:color w:val="auto"/>
          <w:sz w:val="21"/>
          <w:szCs w:val="21"/>
          <w:highlight w:val="none"/>
        </w:rPr>
        <w:t>专门面向中小企业，本项目落实政府采购中小企业扶持政策，本项目采购标的对应的中小企业划分标准所属行业为“</w:t>
      </w:r>
      <w:r>
        <w:rPr>
          <w:rFonts w:hint="eastAsia" w:ascii="宋体" w:hAnsi="宋体" w:cs="宋体"/>
          <w:color w:val="auto"/>
          <w:sz w:val="21"/>
          <w:szCs w:val="21"/>
          <w:highlight w:val="none"/>
          <w:lang w:val="en-US" w:eastAsia="zh-CN"/>
        </w:rPr>
        <w:t>工业</w:t>
      </w:r>
      <w:r>
        <w:rPr>
          <w:rFonts w:hint="eastAsia" w:ascii="宋体" w:hAnsi="宋体" w:eastAsia="宋体" w:cs="宋体"/>
          <w:color w:val="auto"/>
          <w:sz w:val="21"/>
          <w:szCs w:val="21"/>
          <w:highlight w:val="none"/>
        </w:rPr>
        <w:t>”（投标人需提供相应中小企业声明函或残疾人福利性单位声明函或监狱企业的证明文件）。</w:t>
      </w:r>
    </w:p>
    <w:p w14:paraId="475C55C5">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w:t>
      </w:r>
    </w:p>
    <w:p w14:paraId="7FED3A35">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52389261">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bookmarkStart w:id="7" w:name="_Toc119594477"/>
    </w:p>
    <w:p w14:paraId="536234A6">
      <w:pPr>
        <w:pStyle w:val="5"/>
        <w:pageBreakBefore w:val="0"/>
        <w:widowControl w:val="0"/>
        <w:shd w:val="clear" w:color="auto" w:fill="FEFEFE"/>
        <w:kinsoku/>
        <w:wordWrap w:val="0"/>
        <w:overflowPunct/>
        <w:topLinePunct w:val="0"/>
        <w:autoSpaceDE/>
        <w:autoSpaceDN/>
        <w:bidi w:val="0"/>
        <w:spacing w:before="0" w:after="0" w:line="360" w:lineRule="auto"/>
        <w:ind w:firstLine="422" w:firstLineChars="200"/>
        <w:textAlignment w:val="auto"/>
        <w:rPr>
          <w:rFonts w:hint="eastAsia" w:ascii="宋体" w:hAnsi="宋体" w:eastAsia="宋体" w:cs="宋体"/>
          <w:color w:val="auto"/>
          <w:sz w:val="21"/>
          <w:szCs w:val="21"/>
          <w:highlight w:val="none"/>
        </w:rPr>
      </w:pPr>
      <w:bookmarkStart w:id="8" w:name="_Toc3287"/>
      <w:bookmarkStart w:id="9" w:name="_Toc19160"/>
      <w:r>
        <w:rPr>
          <w:rFonts w:hint="eastAsia" w:ascii="宋体" w:hAnsi="宋体" w:eastAsia="宋体" w:cs="宋体"/>
          <w:color w:val="auto"/>
          <w:sz w:val="21"/>
          <w:szCs w:val="21"/>
          <w:highlight w:val="none"/>
        </w:rPr>
        <w:t>三、获取招标文件</w:t>
      </w:r>
      <w:bookmarkEnd w:id="7"/>
      <w:bookmarkEnd w:id="8"/>
      <w:bookmarkEnd w:id="9"/>
    </w:p>
    <w:p w14:paraId="23194F9E">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ascii="宋体" w:hAnsi="宋体" w:eastAsia="宋体" w:cs="宋体"/>
          <w:color w:val="auto"/>
          <w:sz w:val="21"/>
          <w:szCs w:val="21"/>
          <w:highlight w:val="none"/>
          <w:lang w:val="en-US" w:eastAsia="zh-CN"/>
        </w:rPr>
        <w:t>202</w:t>
      </w:r>
      <w:r>
        <w:rPr>
          <w:rFonts w:hint="eastAsia"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05</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11</w:t>
      </w:r>
      <w:r>
        <w:rPr>
          <w:rFonts w:hint="eastAsia" w:ascii="宋体" w:hAnsi="宋体" w:eastAsia="宋体" w:cs="宋体"/>
          <w:color w:val="auto"/>
          <w:sz w:val="21"/>
          <w:szCs w:val="21"/>
          <w:highlight w:val="none"/>
        </w:rPr>
        <w:t>日至</w:t>
      </w:r>
      <w:r>
        <w:rPr>
          <w:rFonts w:hint="eastAsia" w:ascii="宋体" w:hAnsi="宋体" w:eastAsia="宋体" w:cs="宋体"/>
          <w:color w:val="auto"/>
          <w:sz w:val="21"/>
          <w:szCs w:val="21"/>
          <w:highlight w:val="none"/>
          <w:lang w:val="en-US" w:eastAsia="zh-CN"/>
        </w:rPr>
        <w:t>202</w:t>
      </w:r>
      <w:r>
        <w:rPr>
          <w:rFonts w:hint="eastAsia"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05</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19</w:t>
      </w:r>
      <w:r>
        <w:rPr>
          <w:rFonts w:hint="eastAsia" w:ascii="宋体" w:hAnsi="宋体" w:eastAsia="宋体" w:cs="宋体"/>
          <w:color w:val="auto"/>
          <w:sz w:val="21"/>
          <w:szCs w:val="21"/>
          <w:highlight w:val="none"/>
        </w:rPr>
        <w:t>日，每天上午9</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00至11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30，下午14</w:t>
      </w:r>
      <w:r>
        <w:rPr>
          <w:rFonts w:hint="eastAsia" w:cs="宋体"/>
          <w:color w:val="auto"/>
          <w:sz w:val="21"/>
          <w:szCs w:val="21"/>
          <w:highlight w:val="none"/>
          <w:lang w:eastAsia="zh-CN"/>
        </w:rPr>
        <w:t>：</w:t>
      </w:r>
      <w:r>
        <w:rPr>
          <w:rFonts w:hint="eastAsia" w:cs="宋体"/>
          <w:color w:val="auto"/>
          <w:sz w:val="21"/>
          <w:szCs w:val="21"/>
          <w:highlight w:val="none"/>
          <w:lang w:val="en-US" w:eastAsia="zh-CN"/>
        </w:rPr>
        <w:t>00</w:t>
      </w:r>
      <w:r>
        <w:rPr>
          <w:rFonts w:hint="eastAsia" w:ascii="宋体" w:hAnsi="宋体" w:eastAsia="宋体" w:cs="宋体"/>
          <w:color w:val="auto"/>
          <w:sz w:val="21"/>
          <w:szCs w:val="21"/>
          <w:highlight w:val="none"/>
        </w:rPr>
        <w:t>至17</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00（北京时间，法定节假日除外）</w:t>
      </w:r>
    </w:p>
    <w:p w14:paraId="34AEAB64">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2、地点：武昌区中南路街民主路786号华银大厦10层湖北世发招标有限公司或网络（邮箱hbsfzb@sina.cn）</w:t>
      </w:r>
    </w:p>
    <w:p w14:paraId="60FD31AF">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3、方式：符合资格的投标人应当在获取时间内，通过以下方式获取招标文件。</w:t>
      </w:r>
    </w:p>
    <w:p w14:paraId="0295F054">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方式一：线下</w:t>
      </w:r>
    </w:p>
    <w:p w14:paraId="4DB7605A">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①法定代表人自己领取的，凭法定代表人身份证明书及法定代表人身份证领取。</w:t>
      </w:r>
    </w:p>
    <w:p w14:paraId="39F71E28">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②法定代表人委托他人领取的，凭法定代表人授权书及受托人身份证领取。</w:t>
      </w:r>
    </w:p>
    <w:p w14:paraId="754C52E2">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③获取文件信息登记表</w:t>
      </w:r>
    </w:p>
    <w:p w14:paraId="5D9A011F">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以上材料均需加盖公章。</w:t>
      </w:r>
    </w:p>
    <w:p w14:paraId="209C9F69">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方式二：线上（邮箱</w:t>
      </w:r>
      <w:r>
        <w:rPr>
          <w:rFonts w:hint="eastAsia" w:cs="宋体"/>
          <w:color w:val="auto"/>
          <w:sz w:val="21"/>
          <w:szCs w:val="21"/>
          <w:highlight w:val="none"/>
          <w:lang w:val="en-US" w:eastAsia="zh-CN"/>
        </w:rPr>
        <w:t>hbsfzb@sina.cn</w:t>
      </w:r>
      <w:r>
        <w:rPr>
          <w:rFonts w:hint="eastAsia" w:ascii="宋体" w:hAnsi="宋体" w:eastAsia="宋体" w:cs="宋体"/>
          <w:color w:val="auto"/>
          <w:sz w:val="21"/>
          <w:szCs w:val="21"/>
          <w:highlight w:val="none"/>
        </w:rPr>
        <w:t>）</w:t>
      </w:r>
    </w:p>
    <w:p w14:paraId="5DE69A54">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①法定代表人自己领取的，凭法定代表人身份证明书及法定代表人身份证领取。</w:t>
      </w:r>
    </w:p>
    <w:p w14:paraId="63D86D74">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②法定代表人委托他人领取的，凭法定代表人授权书及受托人身份证领取。</w:t>
      </w:r>
    </w:p>
    <w:p w14:paraId="0FA7B3D0">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③获取文件信息登记表。</w:t>
      </w:r>
    </w:p>
    <w:p w14:paraId="56EB9CB3">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④付款凭证（线上获取时提供）。</w:t>
      </w:r>
    </w:p>
    <w:p w14:paraId="05576621">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以上材料均需加盖公章扫描发送至邮箱（邮箱</w:t>
      </w:r>
      <w:r>
        <w:rPr>
          <w:rFonts w:hint="eastAsia" w:cs="宋体"/>
          <w:color w:val="auto"/>
          <w:sz w:val="21"/>
          <w:szCs w:val="21"/>
          <w:highlight w:val="none"/>
          <w:lang w:val="en-US" w:eastAsia="zh-CN"/>
        </w:rPr>
        <w:t>hbsfzb@sina.cn</w:t>
      </w:r>
      <w:r>
        <w:rPr>
          <w:rFonts w:hint="eastAsia" w:ascii="宋体" w:hAnsi="宋体" w:eastAsia="宋体" w:cs="宋体"/>
          <w:color w:val="auto"/>
          <w:sz w:val="21"/>
          <w:szCs w:val="21"/>
          <w:highlight w:val="none"/>
        </w:rPr>
        <w:t>）。</w:t>
      </w:r>
    </w:p>
    <w:p w14:paraId="4B1C3933">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4、售价：招标文件售价500元/包，售后不退。</w:t>
      </w:r>
    </w:p>
    <w:p w14:paraId="5190DA9A">
      <w:pPr>
        <w:pStyle w:val="5"/>
        <w:pageBreakBefore w:val="0"/>
        <w:widowControl w:val="0"/>
        <w:shd w:val="clear" w:color="auto" w:fill="FEFEFE"/>
        <w:kinsoku/>
        <w:wordWrap w:val="0"/>
        <w:overflowPunct/>
        <w:topLinePunct w:val="0"/>
        <w:autoSpaceDE/>
        <w:autoSpaceDN/>
        <w:bidi w:val="0"/>
        <w:spacing w:before="0" w:after="0" w:line="360" w:lineRule="auto"/>
        <w:ind w:firstLine="422" w:firstLineChars="200"/>
        <w:textAlignment w:val="auto"/>
        <w:rPr>
          <w:rFonts w:hint="eastAsia" w:ascii="宋体" w:hAnsi="宋体" w:eastAsia="宋体" w:cs="宋体"/>
          <w:color w:val="auto"/>
          <w:sz w:val="21"/>
          <w:szCs w:val="21"/>
          <w:highlight w:val="none"/>
        </w:rPr>
      </w:pPr>
      <w:bookmarkStart w:id="10" w:name="_Toc32129"/>
      <w:bookmarkStart w:id="11" w:name="_Toc22177"/>
      <w:bookmarkStart w:id="12" w:name="_Toc119594478"/>
      <w:r>
        <w:rPr>
          <w:rFonts w:hint="eastAsia" w:ascii="宋体" w:hAnsi="宋体" w:eastAsia="宋体" w:cs="宋体"/>
          <w:color w:val="auto"/>
          <w:sz w:val="21"/>
          <w:szCs w:val="21"/>
          <w:highlight w:val="none"/>
        </w:rPr>
        <w:t>四、提交投标文件截止时间、开标时间和地点</w:t>
      </w:r>
      <w:bookmarkEnd w:id="10"/>
      <w:bookmarkEnd w:id="11"/>
      <w:bookmarkEnd w:id="12"/>
    </w:p>
    <w:p w14:paraId="2FA6FEE6">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提交投标文件截止时间：</w:t>
      </w:r>
      <w:r>
        <w:rPr>
          <w:rFonts w:hint="eastAsia" w:ascii="宋体" w:hAnsi="宋体" w:eastAsia="宋体" w:cs="宋体"/>
          <w:color w:val="auto"/>
          <w:sz w:val="21"/>
          <w:szCs w:val="21"/>
          <w:highlight w:val="none"/>
          <w:u w:val="none"/>
          <w:lang w:val="en-US" w:eastAsia="zh-CN"/>
        </w:rPr>
        <w:t>202</w:t>
      </w:r>
      <w:r>
        <w:rPr>
          <w:rFonts w:hint="eastAsia"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年</w:t>
      </w:r>
      <w:r>
        <w:rPr>
          <w:rFonts w:hint="eastAsia" w:cs="宋体"/>
          <w:color w:val="auto"/>
          <w:sz w:val="21"/>
          <w:szCs w:val="21"/>
          <w:highlight w:val="none"/>
          <w:u w:val="none"/>
          <w:lang w:val="en-US" w:eastAsia="zh-CN"/>
        </w:rPr>
        <w:t>06</w:t>
      </w:r>
      <w:r>
        <w:rPr>
          <w:rFonts w:hint="eastAsia" w:ascii="宋体" w:hAnsi="宋体" w:eastAsia="宋体" w:cs="宋体"/>
          <w:color w:val="auto"/>
          <w:sz w:val="21"/>
          <w:szCs w:val="21"/>
          <w:highlight w:val="none"/>
          <w:u w:val="none"/>
        </w:rPr>
        <w:t>月</w:t>
      </w:r>
      <w:r>
        <w:rPr>
          <w:rFonts w:hint="eastAsia" w:cs="宋体"/>
          <w:color w:val="auto"/>
          <w:sz w:val="21"/>
          <w:szCs w:val="21"/>
          <w:highlight w:val="none"/>
          <w:u w:val="none"/>
          <w:lang w:val="en-US" w:eastAsia="zh-CN"/>
        </w:rPr>
        <w:t>01</w:t>
      </w:r>
      <w:r>
        <w:rPr>
          <w:rFonts w:hint="eastAsia" w:ascii="宋体" w:hAnsi="宋体" w:eastAsia="宋体" w:cs="宋体"/>
          <w:color w:val="auto"/>
          <w:sz w:val="21"/>
          <w:szCs w:val="21"/>
          <w:highlight w:val="none"/>
          <w:u w:val="none"/>
        </w:rPr>
        <w:t>日</w:t>
      </w:r>
      <w:r>
        <w:rPr>
          <w:rFonts w:hint="eastAsia" w:cs="宋体"/>
          <w:color w:val="auto"/>
          <w:sz w:val="21"/>
          <w:szCs w:val="21"/>
          <w:highlight w:val="none"/>
          <w:u w:val="none"/>
          <w:lang w:val="en-US" w:eastAsia="zh-CN"/>
        </w:rPr>
        <w:t>09</w:t>
      </w:r>
      <w:r>
        <w:rPr>
          <w:rFonts w:hint="eastAsia" w:ascii="宋体" w:hAnsi="宋体" w:eastAsia="宋体" w:cs="宋体"/>
          <w:color w:val="auto"/>
          <w:sz w:val="21"/>
          <w:szCs w:val="21"/>
          <w:highlight w:val="none"/>
          <w:u w:val="none"/>
        </w:rPr>
        <w:t>点</w:t>
      </w:r>
      <w:r>
        <w:rPr>
          <w:rFonts w:hint="eastAsia"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rPr>
        <w:t>分（北京时间）</w:t>
      </w:r>
    </w:p>
    <w:p w14:paraId="78486089">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开标时间：</w:t>
      </w:r>
      <w:r>
        <w:rPr>
          <w:rFonts w:hint="eastAsia" w:ascii="宋体" w:hAnsi="宋体" w:eastAsia="宋体" w:cs="宋体"/>
          <w:color w:val="auto"/>
          <w:sz w:val="21"/>
          <w:szCs w:val="21"/>
          <w:highlight w:val="none"/>
          <w:u w:val="none"/>
          <w:lang w:val="en-US" w:eastAsia="zh-CN"/>
        </w:rPr>
        <w:t>202</w:t>
      </w:r>
      <w:r>
        <w:rPr>
          <w:rFonts w:hint="eastAsia"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年</w:t>
      </w:r>
      <w:r>
        <w:rPr>
          <w:rFonts w:hint="eastAsia" w:cs="宋体"/>
          <w:color w:val="auto"/>
          <w:sz w:val="21"/>
          <w:szCs w:val="21"/>
          <w:highlight w:val="none"/>
          <w:u w:val="none"/>
          <w:lang w:val="en-US" w:eastAsia="zh-CN"/>
        </w:rPr>
        <w:t>06</w:t>
      </w:r>
      <w:r>
        <w:rPr>
          <w:rFonts w:hint="eastAsia" w:ascii="宋体" w:hAnsi="宋体" w:eastAsia="宋体" w:cs="宋体"/>
          <w:color w:val="auto"/>
          <w:sz w:val="21"/>
          <w:szCs w:val="21"/>
          <w:highlight w:val="none"/>
          <w:u w:val="none"/>
        </w:rPr>
        <w:t>月</w:t>
      </w:r>
      <w:r>
        <w:rPr>
          <w:rFonts w:hint="eastAsia" w:cs="宋体"/>
          <w:color w:val="auto"/>
          <w:sz w:val="21"/>
          <w:szCs w:val="21"/>
          <w:highlight w:val="none"/>
          <w:u w:val="none"/>
          <w:lang w:val="en-US" w:eastAsia="zh-CN"/>
        </w:rPr>
        <w:t>01</w:t>
      </w:r>
      <w:r>
        <w:rPr>
          <w:rFonts w:hint="eastAsia" w:ascii="宋体" w:hAnsi="宋体" w:eastAsia="宋体" w:cs="宋体"/>
          <w:color w:val="auto"/>
          <w:sz w:val="21"/>
          <w:szCs w:val="21"/>
          <w:highlight w:val="none"/>
          <w:u w:val="none"/>
        </w:rPr>
        <w:t>日</w:t>
      </w:r>
      <w:r>
        <w:rPr>
          <w:rFonts w:hint="eastAsia" w:cs="宋体"/>
          <w:color w:val="auto"/>
          <w:sz w:val="21"/>
          <w:szCs w:val="21"/>
          <w:highlight w:val="none"/>
          <w:u w:val="none"/>
          <w:lang w:val="en-US" w:eastAsia="zh-CN"/>
        </w:rPr>
        <w:t>09</w:t>
      </w:r>
      <w:r>
        <w:rPr>
          <w:rFonts w:hint="eastAsia" w:ascii="宋体" w:hAnsi="宋体" w:eastAsia="宋体" w:cs="宋体"/>
          <w:color w:val="auto"/>
          <w:sz w:val="21"/>
          <w:szCs w:val="21"/>
          <w:highlight w:val="none"/>
          <w:u w:val="none"/>
        </w:rPr>
        <w:t>点</w:t>
      </w:r>
      <w:r>
        <w:rPr>
          <w:rFonts w:hint="eastAsia"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rPr>
        <w:t>分（北京时间）</w:t>
      </w:r>
    </w:p>
    <w:p w14:paraId="41C94BBE">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地点：武昌区中南路街民主路786号华银大厦10层湖北世发招标有限公司开标室</w:t>
      </w:r>
    </w:p>
    <w:p w14:paraId="3FE34C43">
      <w:pPr>
        <w:pStyle w:val="5"/>
        <w:pageBreakBefore w:val="0"/>
        <w:widowControl w:val="0"/>
        <w:shd w:val="clear" w:color="auto" w:fill="FEFEFE"/>
        <w:kinsoku/>
        <w:wordWrap w:val="0"/>
        <w:overflowPunct/>
        <w:topLinePunct w:val="0"/>
        <w:autoSpaceDE/>
        <w:autoSpaceDN/>
        <w:bidi w:val="0"/>
        <w:spacing w:before="0" w:after="0" w:line="360" w:lineRule="auto"/>
        <w:ind w:firstLine="422" w:firstLineChars="200"/>
        <w:textAlignment w:val="auto"/>
        <w:rPr>
          <w:rFonts w:hint="eastAsia" w:ascii="宋体" w:hAnsi="宋体" w:eastAsia="宋体" w:cs="宋体"/>
          <w:color w:val="auto"/>
          <w:sz w:val="21"/>
          <w:szCs w:val="21"/>
          <w:highlight w:val="none"/>
        </w:rPr>
      </w:pPr>
      <w:bookmarkStart w:id="13" w:name="_Toc12799"/>
      <w:bookmarkStart w:id="14" w:name="_Toc119594479"/>
      <w:bookmarkStart w:id="15" w:name="_Toc4949"/>
      <w:r>
        <w:rPr>
          <w:rFonts w:hint="eastAsia" w:ascii="宋体" w:hAnsi="宋体" w:eastAsia="宋体" w:cs="宋体"/>
          <w:color w:val="auto"/>
          <w:sz w:val="21"/>
          <w:szCs w:val="21"/>
          <w:highlight w:val="none"/>
        </w:rPr>
        <w:t>五、公告期限</w:t>
      </w:r>
      <w:bookmarkEnd w:id="13"/>
      <w:bookmarkEnd w:id="14"/>
      <w:bookmarkEnd w:id="15"/>
    </w:p>
    <w:p w14:paraId="1512EEA8">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57DDB2DA">
      <w:pPr>
        <w:pStyle w:val="5"/>
        <w:pageBreakBefore w:val="0"/>
        <w:widowControl w:val="0"/>
        <w:shd w:val="clear" w:color="auto" w:fill="FEFEFE"/>
        <w:kinsoku/>
        <w:wordWrap w:val="0"/>
        <w:overflowPunct/>
        <w:topLinePunct w:val="0"/>
        <w:autoSpaceDE/>
        <w:autoSpaceDN/>
        <w:bidi w:val="0"/>
        <w:spacing w:before="0" w:after="0" w:line="360" w:lineRule="auto"/>
        <w:ind w:firstLine="422" w:firstLineChars="200"/>
        <w:textAlignment w:val="auto"/>
        <w:rPr>
          <w:rFonts w:hint="eastAsia" w:ascii="宋体" w:hAnsi="宋体" w:eastAsia="宋体" w:cs="宋体"/>
          <w:color w:val="auto"/>
          <w:sz w:val="21"/>
          <w:szCs w:val="21"/>
          <w:highlight w:val="none"/>
        </w:rPr>
      </w:pPr>
      <w:bookmarkStart w:id="16" w:name="_Toc119594480"/>
      <w:bookmarkStart w:id="17" w:name="_Toc8468"/>
      <w:bookmarkStart w:id="18" w:name="_Toc23719"/>
      <w:r>
        <w:rPr>
          <w:rFonts w:hint="eastAsia" w:ascii="宋体" w:hAnsi="宋体" w:eastAsia="宋体" w:cs="宋体"/>
          <w:color w:val="auto"/>
          <w:sz w:val="21"/>
          <w:szCs w:val="21"/>
          <w:highlight w:val="none"/>
        </w:rPr>
        <w:t>六、其他补充事宜</w:t>
      </w:r>
      <w:bookmarkEnd w:id="16"/>
      <w:bookmarkEnd w:id="17"/>
      <w:bookmarkEnd w:id="18"/>
    </w:p>
    <w:p w14:paraId="3743D4CC">
      <w:pPr>
        <w:pStyle w:val="20"/>
        <w:keepNext w:val="0"/>
        <w:keepLines w:val="0"/>
        <w:pageBreakBefore w:val="0"/>
        <w:widowControl w:val="0"/>
        <w:shd w:val="clear" w:color="auto" w:fill="FEFEFE"/>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1.本项目将在中国政府采购网（http</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//www.ccgp.gov.cn/）、武汉理工大学采购与招标</w:t>
      </w:r>
      <w:r>
        <w:rPr>
          <w:rFonts w:hint="eastAsia" w:ascii="宋体" w:hAnsi="宋体" w:eastAsia="宋体" w:cs="宋体"/>
          <w:color w:val="auto"/>
          <w:sz w:val="21"/>
          <w:szCs w:val="21"/>
          <w:highlight w:val="none"/>
          <w:lang w:val="en-US" w:eastAsia="zh-CN"/>
        </w:rPr>
        <w:t>管理</w:t>
      </w:r>
      <w:r>
        <w:rPr>
          <w:rFonts w:hint="eastAsia" w:ascii="宋体" w:hAnsi="宋体" w:eastAsia="宋体" w:cs="宋体"/>
          <w:color w:val="auto"/>
          <w:sz w:val="21"/>
          <w:szCs w:val="21"/>
          <w:highlight w:val="none"/>
        </w:rPr>
        <w:t>办公室网站（网址：http</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//cgyztb.whut.edu.cn/）上发布所有信息，请参加本项目</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投标人密切关注。</w:t>
      </w:r>
    </w:p>
    <w:p w14:paraId="7000570E">
      <w:pPr>
        <w:pStyle w:val="20"/>
        <w:keepNext w:val="0"/>
        <w:keepLines w:val="0"/>
        <w:pageBreakBefore w:val="0"/>
        <w:widowControl w:val="0"/>
        <w:shd w:val="clear" w:color="auto" w:fill="FEFEFE"/>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2.政府采购相关政策执行：落实政府采购强制、优先采购节能产品政策；政府采购优先采购环保产品政策；政府采购促进中小企业发展（监狱企业、残疾人福利性单位视同小微企业）</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支持本国产品</w:t>
      </w:r>
      <w:r>
        <w:rPr>
          <w:rFonts w:hint="eastAsia" w:ascii="宋体" w:hAnsi="宋体" w:eastAsia="宋体" w:cs="宋体"/>
          <w:color w:val="auto"/>
          <w:sz w:val="21"/>
          <w:szCs w:val="21"/>
          <w:highlight w:val="none"/>
        </w:rPr>
        <w:t>等政策。</w:t>
      </w:r>
    </w:p>
    <w:p w14:paraId="2CD9ADD6">
      <w:pPr>
        <w:pStyle w:val="5"/>
        <w:pageBreakBefore w:val="0"/>
        <w:widowControl w:val="0"/>
        <w:shd w:val="clear" w:color="auto" w:fill="FEFEFE"/>
        <w:kinsoku/>
        <w:wordWrap w:val="0"/>
        <w:overflowPunct/>
        <w:topLinePunct w:val="0"/>
        <w:autoSpaceDE/>
        <w:autoSpaceDN/>
        <w:bidi w:val="0"/>
        <w:spacing w:before="0" w:after="0" w:line="360" w:lineRule="auto"/>
        <w:ind w:firstLine="422" w:firstLineChars="200"/>
        <w:textAlignment w:val="auto"/>
        <w:rPr>
          <w:rFonts w:hint="eastAsia" w:ascii="宋体" w:hAnsi="宋体" w:eastAsia="宋体" w:cs="宋体"/>
          <w:color w:val="auto"/>
          <w:sz w:val="21"/>
          <w:szCs w:val="21"/>
          <w:highlight w:val="none"/>
        </w:rPr>
      </w:pPr>
      <w:bookmarkStart w:id="19" w:name="_Toc13848"/>
      <w:bookmarkStart w:id="20" w:name="_Toc15252"/>
      <w:bookmarkStart w:id="21" w:name="_Toc119594481"/>
      <w:r>
        <w:rPr>
          <w:rFonts w:hint="eastAsia" w:ascii="宋体" w:hAnsi="宋体" w:eastAsia="宋体" w:cs="宋体"/>
          <w:color w:val="auto"/>
          <w:sz w:val="21"/>
          <w:szCs w:val="21"/>
          <w:highlight w:val="none"/>
        </w:rPr>
        <w:t>七、对本次招标提出询问，请按以下方式联系。</w:t>
      </w:r>
      <w:bookmarkEnd w:id="19"/>
      <w:bookmarkEnd w:id="20"/>
      <w:bookmarkEnd w:id="21"/>
    </w:p>
    <w:p w14:paraId="2A999BA1">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4BDC9D7A">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名称：武汉理工大学</w:t>
      </w:r>
    </w:p>
    <w:p w14:paraId="10F8857B">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地址：洪山区珞狮南路122号</w:t>
      </w:r>
    </w:p>
    <w:p w14:paraId="52938DAF">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w:t>
      </w:r>
      <w:r>
        <w:rPr>
          <w:rFonts w:hint="eastAsia" w:ascii="宋体" w:hAnsi="宋体" w:eastAsia="宋体" w:cs="宋体"/>
          <w:color w:val="auto"/>
          <w:sz w:val="21"/>
          <w:szCs w:val="21"/>
          <w:highlight w:val="none"/>
          <w:lang w:val="en-US" w:eastAsia="zh-CN"/>
        </w:rPr>
        <w:t>方式：</w:t>
      </w:r>
      <w:r>
        <w:rPr>
          <w:rFonts w:hint="eastAsia" w:cs="宋体"/>
          <w:color w:val="auto"/>
          <w:sz w:val="21"/>
          <w:szCs w:val="21"/>
          <w:highlight w:val="none"/>
          <w:lang w:val="en-US" w:eastAsia="zh-CN"/>
        </w:rPr>
        <w:t>苏</w:t>
      </w:r>
      <w:r>
        <w:rPr>
          <w:rFonts w:hint="eastAsia" w:ascii="宋体" w:hAnsi="宋体" w:eastAsia="宋体" w:cs="宋体"/>
          <w:color w:val="auto"/>
          <w:sz w:val="21"/>
          <w:szCs w:val="21"/>
          <w:highlight w:val="none"/>
          <w:u w:val="none"/>
          <w:lang w:val="en-US" w:eastAsia="zh-CN"/>
        </w:rPr>
        <w:t>老师027-87285065</w:t>
      </w:r>
    </w:p>
    <w:p w14:paraId="33FC3742">
      <w:pPr>
        <w:pStyle w:val="20"/>
        <w:pageBreakBefore w:val="0"/>
        <w:widowControl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7FB7D379">
      <w:pPr>
        <w:pStyle w:val="20"/>
        <w:pageBreakBefore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名称：湖北世发招标有限公司</w:t>
      </w:r>
    </w:p>
    <w:p w14:paraId="7337FE95">
      <w:pPr>
        <w:pStyle w:val="20"/>
        <w:pageBreakBefore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地址：武昌区中南路街民主路786号华银大厦10层7号</w:t>
      </w:r>
    </w:p>
    <w:p w14:paraId="1108789A">
      <w:pPr>
        <w:pStyle w:val="20"/>
        <w:pageBreakBefore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联系方式：张盛华、徐清晨、夏雨珊、吴坤、秦晓雯、柳文杰、田佼玉 027-87296088</w:t>
      </w:r>
    </w:p>
    <w:p w14:paraId="68ECDBEE">
      <w:pPr>
        <w:pStyle w:val="20"/>
        <w:pageBreakBefore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398CBDBF">
      <w:pPr>
        <w:pStyle w:val="20"/>
        <w:pageBreakBefore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项目联系人：张盛华、徐清晨、夏雨珊、吴坤、秦晓雯、柳文杰、田佼玉</w:t>
      </w:r>
    </w:p>
    <w:p w14:paraId="48A3E3CE">
      <w:pPr>
        <w:pStyle w:val="20"/>
        <w:pageBreakBefore w:val="0"/>
        <w:shd w:val="clear" w:color="auto" w:fill="FEFEFE"/>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电话：027-87296088</w:t>
      </w:r>
    </w:p>
    <w:p w14:paraId="155BD691">
      <w:pPr>
        <w:pStyle w:val="20"/>
        <w:pageBreakBefore w:val="0"/>
        <w:widowControl w:val="0"/>
        <w:shd w:val="clear" w:color="auto" w:fill="FEFEFE"/>
        <w:kinsoku/>
        <w:wordWrap w:val="0"/>
        <w:overflowPunct/>
        <w:bidi w:val="0"/>
        <w:spacing w:before="0" w:beforeAutospacing="0" w:after="0" w:afterAutospacing="0" w:line="360" w:lineRule="auto"/>
        <w:jc w:val="both"/>
        <w:rPr>
          <w:rFonts w:hint="eastAsia" w:ascii="宋体" w:hAnsi="宋体" w:eastAsia="宋体" w:cs="宋体"/>
          <w:color w:val="auto"/>
          <w:sz w:val="21"/>
          <w:szCs w:val="21"/>
          <w:highlight w:val="none"/>
          <w:lang w:val="en-US" w:eastAsia="zh-CN"/>
        </w:rPr>
      </w:pPr>
    </w:p>
    <w:p w14:paraId="23BB52A5">
      <w:pPr>
        <w:pageBreakBefore w:val="0"/>
        <w:widowControl w:val="0"/>
        <w:kinsoku/>
        <w:wordWrap w:val="0"/>
        <w:overflowPunct/>
        <w:bidi w:val="0"/>
        <w:spacing w:line="300" w:lineRule="auto"/>
        <w:jc w:val="center"/>
        <w:outlineLvl w:val="0"/>
        <w:rPr>
          <w:rFonts w:hint="eastAsia" w:ascii="宋体" w:hAnsi="宋体" w:eastAsia="宋体" w:cs="宋体"/>
          <w:color w:val="auto"/>
          <w:sz w:val="28"/>
          <w:szCs w:val="28"/>
          <w:highlight w:val="none"/>
        </w:rPr>
      </w:pPr>
      <w:r>
        <w:rPr>
          <w:rFonts w:hint="eastAsia" w:ascii="宋体" w:hAnsi="宋体" w:eastAsia="宋体" w:cs="宋体"/>
          <w:color w:val="auto"/>
          <w:kern w:val="0"/>
          <w:szCs w:val="21"/>
          <w:highlight w:val="none"/>
        </w:rPr>
        <w:br w:type="page"/>
      </w:r>
      <w:bookmarkStart w:id="22" w:name="_Toc30840"/>
      <w:r>
        <w:rPr>
          <w:rFonts w:hint="eastAsia" w:ascii="宋体" w:hAnsi="宋体" w:eastAsia="宋体" w:cs="宋体"/>
          <w:color w:val="auto"/>
          <w:sz w:val="28"/>
          <w:szCs w:val="28"/>
          <w:highlight w:val="none"/>
        </w:rPr>
        <w:t>第二章投标人须知</w:t>
      </w:r>
      <w:bookmarkEnd w:id="22"/>
    </w:p>
    <w:p w14:paraId="4674D8E1">
      <w:pPr>
        <w:keepNext/>
        <w:keepLines/>
        <w:pageBreakBefore w:val="0"/>
        <w:widowControl w:val="0"/>
        <w:kinsoku/>
        <w:wordWrap w:val="0"/>
        <w:overflowPunct/>
        <w:bidi w:val="0"/>
        <w:spacing w:line="276" w:lineRule="auto"/>
        <w:ind w:firstLine="420" w:firstLineChars="200"/>
        <w:rPr>
          <w:rFonts w:hint="eastAsia" w:ascii="宋体" w:hAnsi="宋体" w:eastAsia="宋体" w:cs="宋体"/>
          <w:b/>
          <w:bCs/>
          <w:color w:val="auto"/>
          <w:szCs w:val="21"/>
          <w:highlight w:val="none"/>
          <w:lang w:val="zh-CN"/>
        </w:rPr>
      </w:pPr>
      <w:bookmarkStart w:id="23" w:name="_Toc494561937"/>
      <w:r>
        <w:rPr>
          <w:rFonts w:hint="eastAsia" w:ascii="宋体" w:hAnsi="宋体" w:eastAsia="宋体" w:cs="宋体"/>
          <w:bCs/>
          <w:color w:val="auto"/>
          <w:szCs w:val="21"/>
          <w:highlight w:val="none"/>
        </w:rPr>
        <w:t>投标人应仔细阅读本《投标人须知前附表》，下表所列内容是对“投标人须知”的具体补充和说明。如有矛盾，应以本表为准。</w:t>
      </w:r>
    </w:p>
    <w:p w14:paraId="509E8C05">
      <w:pPr>
        <w:keepNext/>
        <w:keepLines/>
        <w:pageBreakBefore w:val="0"/>
        <w:widowControl w:val="0"/>
        <w:kinsoku/>
        <w:wordWrap w:val="0"/>
        <w:overflowPunct/>
        <w:bidi w:val="0"/>
        <w:spacing w:line="276" w:lineRule="auto"/>
        <w:jc w:val="center"/>
        <w:outlineLvl w:val="1"/>
        <w:rPr>
          <w:rFonts w:hint="eastAsia" w:ascii="宋体" w:hAnsi="宋体" w:eastAsia="宋体" w:cs="宋体"/>
          <w:b/>
          <w:bCs/>
          <w:color w:val="auto"/>
          <w:szCs w:val="21"/>
          <w:highlight w:val="none"/>
          <w:lang w:val="zh-CN"/>
        </w:rPr>
      </w:pPr>
      <w:bookmarkStart w:id="24" w:name="_Toc14466"/>
      <w:r>
        <w:rPr>
          <w:rFonts w:hint="eastAsia" w:ascii="宋体" w:hAnsi="宋体" w:eastAsia="宋体" w:cs="宋体"/>
          <w:b/>
          <w:bCs/>
          <w:color w:val="auto"/>
          <w:szCs w:val="21"/>
          <w:highlight w:val="none"/>
          <w:lang w:val="zh-CN"/>
        </w:rPr>
        <w:t>投标人须知前附表</w:t>
      </w:r>
      <w:bookmarkEnd w:id="23"/>
      <w:bookmarkEnd w:id="24"/>
    </w:p>
    <w:tbl>
      <w:tblPr>
        <w:tblStyle w:val="25"/>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76ED09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EB468E2">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b/>
                <w:color w:val="auto"/>
                <w:szCs w:val="21"/>
                <w:highlight w:val="none"/>
              </w:rPr>
            </w:pPr>
            <w:bookmarkStart w:id="25" w:name="_Toc494561938"/>
            <w:r>
              <w:rPr>
                <w:rFonts w:hint="eastAsia" w:ascii="宋体" w:hAnsi="宋体" w:eastAsia="宋体" w:cs="宋体"/>
                <w:b/>
                <w:color w:val="auto"/>
                <w:spacing w:val="1"/>
                <w:w w:val="83"/>
                <w:kern w:val="0"/>
                <w:szCs w:val="21"/>
                <w:highlight w:val="none"/>
                <w:fitText w:val="528" w:id="1169689884"/>
              </w:rPr>
              <w:t>条款</w:t>
            </w:r>
            <w:r>
              <w:rPr>
                <w:rFonts w:hint="eastAsia" w:ascii="宋体" w:hAnsi="宋体" w:eastAsia="宋体" w:cs="宋体"/>
                <w:b/>
                <w:color w:val="auto"/>
                <w:spacing w:val="0"/>
                <w:w w:val="83"/>
                <w:kern w:val="0"/>
                <w:szCs w:val="21"/>
                <w:highlight w:val="none"/>
                <w:fitText w:val="528" w:id="1169689884"/>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6CCB2676">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名称</w:t>
            </w:r>
          </w:p>
        </w:tc>
        <w:tc>
          <w:tcPr>
            <w:tcW w:w="6958" w:type="dxa"/>
            <w:tcBorders>
              <w:top w:val="single" w:color="auto" w:sz="4" w:space="0"/>
              <w:left w:val="single" w:color="auto" w:sz="4" w:space="0"/>
              <w:bottom w:val="single" w:color="auto" w:sz="4" w:space="0"/>
              <w:right w:val="single" w:color="auto" w:sz="4" w:space="0"/>
            </w:tcBorders>
            <w:vAlign w:val="center"/>
          </w:tcPr>
          <w:p w14:paraId="1E82CABD">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424" w:firstLineChars="201"/>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内容</w:t>
            </w:r>
          </w:p>
        </w:tc>
      </w:tr>
      <w:tr w14:paraId="2F3DF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6A7144D">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1530" w:type="dxa"/>
            <w:tcBorders>
              <w:top w:val="single" w:color="auto" w:sz="4" w:space="0"/>
              <w:left w:val="single" w:color="auto" w:sz="4" w:space="0"/>
              <w:bottom w:val="single" w:color="auto" w:sz="4" w:space="0"/>
              <w:right w:val="single" w:color="auto" w:sz="4" w:space="0"/>
            </w:tcBorders>
            <w:vAlign w:val="center"/>
          </w:tcPr>
          <w:p w14:paraId="4C3FB416">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37E70497">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kern w:val="0"/>
                <w:szCs w:val="21"/>
                <w:highlight w:val="none"/>
              </w:rPr>
            </w:pPr>
            <w:r>
              <w:rPr>
                <w:rFonts w:hint="eastAsia" w:ascii="宋体" w:hAnsi="宋体" w:eastAsia="宋体" w:cs="宋体"/>
                <w:color w:val="auto"/>
                <w:highlight w:val="none"/>
              </w:rPr>
              <w:t>武汉理工大学</w:t>
            </w:r>
          </w:p>
        </w:tc>
      </w:tr>
      <w:tr w14:paraId="285E6F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731DD8F">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1530" w:type="dxa"/>
            <w:tcBorders>
              <w:top w:val="single" w:color="auto" w:sz="4" w:space="0"/>
              <w:left w:val="single" w:color="auto" w:sz="4" w:space="0"/>
              <w:bottom w:val="single" w:color="auto" w:sz="4" w:space="0"/>
              <w:right w:val="single" w:color="auto" w:sz="4" w:space="0"/>
            </w:tcBorders>
            <w:vAlign w:val="center"/>
          </w:tcPr>
          <w:p w14:paraId="70BDA832">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04D8931F">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t>财政部</w:t>
            </w:r>
          </w:p>
        </w:tc>
      </w:tr>
      <w:tr w14:paraId="7DA8F6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66307C4">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1530" w:type="dxa"/>
            <w:tcBorders>
              <w:top w:val="single" w:color="auto" w:sz="4" w:space="0"/>
              <w:left w:val="single" w:color="auto" w:sz="4" w:space="0"/>
              <w:bottom w:val="single" w:color="auto" w:sz="4" w:space="0"/>
              <w:right w:val="single" w:color="auto" w:sz="4" w:space="0"/>
            </w:tcBorders>
            <w:vAlign w:val="center"/>
          </w:tcPr>
          <w:p w14:paraId="5845A8A1">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5F734371">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u w:val="single"/>
                <w:lang w:eastAsia="zh-CN"/>
              </w:rPr>
            </w:pPr>
            <w:r>
              <w:rPr>
                <w:rFonts w:hint="eastAsia" w:ascii="宋体" w:hAnsi="宋体" w:eastAsia="宋体" w:cs="宋体"/>
                <w:color w:val="auto"/>
                <w:highlight w:val="none"/>
                <w:lang w:eastAsia="zh-CN"/>
              </w:rPr>
              <w:t>湖北世发招标有限公司</w:t>
            </w:r>
          </w:p>
        </w:tc>
      </w:tr>
      <w:tr w14:paraId="538C2C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CCE9860">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1530" w:type="dxa"/>
            <w:tcBorders>
              <w:top w:val="single" w:color="auto" w:sz="4" w:space="0"/>
              <w:left w:val="single" w:color="auto" w:sz="4" w:space="0"/>
              <w:bottom w:val="single" w:color="auto" w:sz="4" w:space="0"/>
              <w:right w:val="single" w:color="auto" w:sz="4" w:space="0"/>
            </w:tcBorders>
            <w:vAlign w:val="center"/>
          </w:tcPr>
          <w:p w14:paraId="7D922F9F">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31628D85">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不接受</w:t>
            </w:r>
          </w:p>
          <w:p w14:paraId="70256F2D">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接受，接受进口的产品为：</w:t>
            </w:r>
            <w:r>
              <w:rPr>
                <w:rFonts w:hint="eastAsia" w:ascii="宋体" w:hAnsi="宋体" w:eastAsia="宋体" w:cs="宋体"/>
                <w:color w:val="auto"/>
                <w:szCs w:val="21"/>
                <w:highlight w:val="none"/>
                <w:u w:val="single"/>
                <w:lang w:val="en-US" w:eastAsia="zh-CN"/>
              </w:rPr>
              <w:t>/</w:t>
            </w:r>
          </w:p>
        </w:tc>
      </w:tr>
      <w:tr w14:paraId="71B72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9345C53">
            <w:pPr>
              <w:keepNext w:val="0"/>
              <w:keepLines w:val="0"/>
              <w:pageBreakBefore w:val="0"/>
              <w:suppressLineNumbers w:val="0"/>
              <w:tabs>
                <w:tab w:val="left" w:pos="130"/>
              </w:tabs>
              <w:kinsoku/>
              <w:overflowPunct/>
              <w:topLinePunct w:val="0"/>
              <w:bidi w:val="0"/>
              <w:adjustRightInd w:val="0"/>
              <w:snapToGrid w:val="0"/>
              <w:spacing w:before="0" w:beforeAutospacing="0" w:after="0" w:afterAutospacing="0" w:line="316" w:lineRule="exact"/>
              <w:ind w:left="0" w:leftChars="0" w:right="0" w:rightChars="0"/>
              <w:jc w:val="center"/>
              <w:textAlignment w:val="auto"/>
              <w:rPr>
                <w:rFonts w:hint="eastAsia" w:ascii="宋体" w:hAnsi="宋体" w:eastAsia="宋体" w:cs="宋体"/>
                <w:color w:val="auto"/>
                <w:szCs w:val="21"/>
                <w:highlight w:val="none"/>
              </w:rPr>
            </w:pPr>
            <w:r>
              <w:rPr>
                <w:rFonts w:hint="eastAsia" w:ascii="宋体" w:hAnsi="宋体"/>
                <w:color w:val="auto"/>
                <w:szCs w:val="21"/>
                <w:highlight w:val="none"/>
                <w:lang w:val="en-US" w:eastAsia="zh-CN"/>
              </w:rPr>
              <w:t>2.9</w:t>
            </w:r>
          </w:p>
        </w:tc>
        <w:tc>
          <w:tcPr>
            <w:tcW w:w="1530" w:type="dxa"/>
            <w:tcBorders>
              <w:top w:val="single" w:color="auto" w:sz="4" w:space="0"/>
              <w:left w:val="single" w:color="auto" w:sz="4" w:space="0"/>
              <w:bottom w:val="single" w:color="auto" w:sz="4" w:space="0"/>
              <w:right w:val="single" w:color="auto" w:sz="4" w:space="0"/>
            </w:tcBorders>
            <w:vAlign w:val="center"/>
          </w:tcPr>
          <w:p w14:paraId="04800567">
            <w:pPr>
              <w:keepNext w:val="0"/>
              <w:keepLines w:val="0"/>
              <w:pageBreakBefore w:val="0"/>
              <w:widowControl/>
              <w:suppressLineNumbers w:val="0"/>
              <w:kinsoku/>
              <w:overflowPunct/>
              <w:topLinePunct w:val="0"/>
              <w:bidi w:val="0"/>
              <w:spacing w:before="0" w:beforeAutospacing="0" w:after="0" w:afterAutospacing="0" w:line="316" w:lineRule="exact"/>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支持本国产品</w:t>
            </w:r>
          </w:p>
        </w:tc>
        <w:tc>
          <w:tcPr>
            <w:tcW w:w="6958" w:type="dxa"/>
            <w:tcBorders>
              <w:top w:val="single" w:color="auto" w:sz="4" w:space="0"/>
              <w:left w:val="single" w:color="auto" w:sz="4" w:space="0"/>
              <w:bottom w:val="single" w:color="auto" w:sz="4" w:space="0"/>
              <w:right w:val="single" w:color="auto" w:sz="4" w:space="0"/>
            </w:tcBorders>
            <w:vAlign w:val="center"/>
          </w:tcPr>
          <w:p w14:paraId="26DF6F30">
            <w:pPr>
              <w:keepNext w:val="0"/>
              <w:keepLines w:val="0"/>
              <w:pageBreakBefore w:val="0"/>
              <w:widowControl/>
              <w:suppressLineNumbers w:val="0"/>
              <w:kinsoku/>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适用，本国产品标准适用于货物，包括政府采购货物项目和服务项目中涉及的货物。适用本国产品标准的货物具体是指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政府采购品目分类目录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中的货物类产品，但不包括其中的房屋和构筑物，文物和陈列品，图书和档案，特种动植物，农林牧渔业产品，矿与矿物，电力、城市燃气、蒸汽和热水、水，食品、饮料和烟草原料，无形资产。</w:t>
            </w:r>
          </w:p>
          <w:p w14:paraId="3A5DB2DC">
            <w:pPr>
              <w:keepNext w:val="0"/>
              <w:keepLines w:val="0"/>
              <w:pageBreakBefore w:val="0"/>
              <w:widowControl/>
              <w:suppressLineNumbers w:val="0"/>
              <w:kinsoku/>
              <w:overflowPunct/>
              <w:topLinePunct w:val="0"/>
              <w:bidi w:val="0"/>
              <w:spacing w:before="0" w:beforeAutospacing="0" w:after="0" w:afterAutospacing="0" w:line="316" w:lineRule="exact"/>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不适用</w:t>
            </w:r>
          </w:p>
        </w:tc>
      </w:tr>
      <w:tr w14:paraId="099904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99C733B">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530" w:type="dxa"/>
            <w:tcBorders>
              <w:top w:val="single" w:color="auto" w:sz="4" w:space="0"/>
              <w:left w:val="single" w:color="auto" w:sz="4" w:space="0"/>
              <w:bottom w:val="single" w:color="auto" w:sz="4" w:space="0"/>
              <w:right w:val="single" w:color="auto" w:sz="4" w:space="0"/>
            </w:tcBorders>
            <w:vAlign w:val="center"/>
          </w:tcPr>
          <w:p w14:paraId="30E6403F">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0A1A662F">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货物</w:t>
            </w:r>
          </w:p>
          <w:p w14:paraId="061AD3FE">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lef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服务</w:t>
            </w:r>
          </w:p>
        </w:tc>
      </w:tr>
      <w:tr w14:paraId="65E5AD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73DFEEE">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w:t>
            </w:r>
          </w:p>
        </w:tc>
        <w:tc>
          <w:tcPr>
            <w:tcW w:w="1530" w:type="dxa"/>
            <w:tcBorders>
              <w:top w:val="single" w:color="auto" w:sz="4" w:space="0"/>
              <w:left w:val="single" w:color="auto" w:sz="4" w:space="0"/>
              <w:bottom w:val="single" w:color="auto" w:sz="4" w:space="0"/>
              <w:right w:val="single" w:color="auto" w:sz="4" w:space="0"/>
            </w:tcBorders>
            <w:vAlign w:val="center"/>
          </w:tcPr>
          <w:p w14:paraId="4B35A243">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59E606C7">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参照原计价格[2002]1980号文、发改办价格[2003]857号文及发改价格[2011]534号文有关规定标准的85%（不足4000元，按4000元收取），由中标人向采购代理机构支付代理服务费。</w:t>
            </w:r>
          </w:p>
          <w:p w14:paraId="024BC2CF">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招标代理服务费由中标人在领取中标通知书的同时向采购代理机构支付，并同时领取发票。</w:t>
            </w:r>
          </w:p>
          <w:p w14:paraId="45EE2287">
            <w:pPr>
              <w:keepNext w:val="0"/>
              <w:keepLines w:val="0"/>
              <w:pageBreakBefore w:val="0"/>
              <w:suppressLineNumbers w:val="0"/>
              <w:kinsoku/>
              <w:wordWrap w:val="0"/>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采购代理机构银行账户信息：</w:t>
            </w:r>
          </w:p>
          <w:p w14:paraId="72C96A73">
            <w:pPr>
              <w:keepNext w:val="0"/>
              <w:keepLines w:val="0"/>
              <w:pageBreakBefore w:val="0"/>
              <w:suppressLineNumbers w:val="0"/>
              <w:kinsoku/>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开 户 名 称：湖北世发招标有限公司</w:t>
            </w:r>
          </w:p>
          <w:p w14:paraId="1DDE70BB">
            <w:pPr>
              <w:keepNext w:val="0"/>
              <w:keepLines w:val="0"/>
              <w:pageBreakBefore w:val="0"/>
              <w:suppressLineNumbers w:val="0"/>
              <w:kinsoku/>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开  户   行：湖北银行股份有限公司武汉洪山支行</w:t>
            </w:r>
          </w:p>
          <w:p w14:paraId="49598DCE">
            <w:pPr>
              <w:keepNext w:val="0"/>
              <w:keepLines w:val="0"/>
              <w:pageBreakBefore w:val="0"/>
              <w:suppressLineNumbers w:val="0"/>
              <w:kinsoku/>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账       号：1019 0200 0000 00074</w:t>
            </w:r>
          </w:p>
          <w:p w14:paraId="4911AD7A">
            <w:pPr>
              <w:keepNext w:val="0"/>
              <w:keepLines w:val="0"/>
              <w:pageBreakBefore w:val="0"/>
              <w:suppressLineNumbers w:val="0"/>
              <w:kinsoku/>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行       号：3135 2100 6472</w:t>
            </w:r>
          </w:p>
          <w:p w14:paraId="1D335DA0">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lang w:val="zh-CN"/>
              </w:rPr>
              <w:t>其他事项：中标人开具代理服务费发票时需提供以下开票信息：1）开票单位全称、2）纳税人识别号（或统一社会信用代码）、3）营业执照地址、4）单位联系电话、5）开户行及账号</w:t>
            </w:r>
          </w:p>
        </w:tc>
      </w:tr>
      <w:tr w14:paraId="6886C3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4856CFB">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6.4</w:t>
            </w:r>
          </w:p>
        </w:tc>
        <w:tc>
          <w:tcPr>
            <w:tcW w:w="1530" w:type="dxa"/>
            <w:tcBorders>
              <w:top w:val="single" w:color="auto" w:sz="4" w:space="0"/>
              <w:left w:val="single" w:color="auto" w:sz="4" w:space="0"/>
              <w:bottom w:val="single" w:color="auto" w:sz="4" w:space="0"/>
              <w:right w:val="single" w:color="auto" w:sz="4" w:space="0"/>
            </w:tcBorders>
            <w:vAlign w:val="center"/>
          </w:tcPr>
          <w:p w14:paraId="2866A2BA">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42DFEB21">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不召开</w:t>
            </w:r>
          </w:p>
          <w:p w14:paraId="03939F2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召开，召开时间：</w:t>
            </w:r>
          </w:p>
          <w:p w14:paraId="4ACDF8E1">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840" w:firstLineChars="400"/>
              <w:textAlignment w:val="auto"/>
              <w:rPr>
                <w:rFonts w:hint="eastAsia" w:ascii="宋体" w:hAnsi="宋体" w:eastAsia="宋体" w:cs="宋体"/>
                <w:color w:val="auto"/>
                <w:szCs w:val="21"/>
                <w:highlight w:val="none"/>
                <w:u w:val="single"/>
                <w:lang w:val="zh-CN" w:eastAsia="zh-CN"/>
              </w:rPr>
            </w:pPr>
            <w:r>
              <w:rPr>
                <w:rFonts w:hint="eastAsia" w:ascii="宋体" w:hAnsi="宋体" w:eastAsia="宋体" w:cs="宋体"/>
                <w:color w:val="auto"/>
                <w:szCs w:val="21"/>
                <w:highlight w:val="none"/>
              </w:rPr>
              <w:t>召开地点：</w:t>
            </w:r>
          </w:p>
        </w:tc>
      </w:tr>
      <w:tr w14:paraId="6D45D7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F8FABFE">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w:t>
            </w:r>
          </w:p>
        </w:tc>
        <w:tc>
          <w:tcPr>
            <w:tcW w:w="1530" w:type="dxa"/>
            <w:tcBorders>
              <w:top w:val="single" w:color="auto" w:sz="4" w:space="0"/>
              <w:left w:val="single" w:color="auto" w:sz="4" w:space="0"/>
              <w:bottom w:val="single" w:color="auto" w:sz="4" w:space="0"/>
              <w:right w:val="single" w:color="auto" w:sz="4" w:space="0"/>
            </w:tcBorders>
            <w:vAlign w:val="center"/>
          </w:tcPr>
          <w:p w14:paraId="77ECC6FC">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269B3C0D">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不集中组织</w:t>
            </w:r>
          </w:p>
          <w:p w14:paraId="1E250143">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集中组织，召集时间：</w:t>
            </w:r>
          </w:p>
          <w:p w14:paraId="5C97FA25">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1260" w:firstLineChars="600"/>
              <w:textAlignment w:val="auto"/>
              <w:rPr>
                <w:rFonts w:hint="eastAsia" w:ascii="宋体" w:hAnsi="宋体" w:eastAsia="宋体" w:cs="宋体"/>
                <w:color w:val="auto"/>
                <w:szCs w:val="21"/>
                <w:highlight w:val="none"/>
                <w:u w:val="single"/>
                <w:lang w:val="zh-CN" w:eastAsia="zh-CN"/>
              </w:rPr>
            </w:pPr>
            <w:r>
              <w:rPr>
                <w:rFonts w:hint="eastAsia" w:ascii="宋体" w:hAnsi="宋体" w:eastAsia="宋体" w:cs="宋体"/>
                <w:color w:val="auto"/>
                <w:szCs w:val="21"/>
                <w:highlight w:val="none"/>
              </w:rPr>
              <w:t>召集地点：</w:t>
            </w:r>
          </w:p>
        </w:tc>
      </w:tr>
      <w:tr w14:paraId="13E8F2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160A430">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w:t>
            </w:r>
          </w:p>
        </w:tc>
        <w:tc>
          <w:tcPr>
            <w:tcW w:w="1530" w:type="dxa"/>
            <w:tcBorders>
              <w:top w:val="single" w:color="auto" w:sz="4" w:space="0"/>
              <w:left w:val="single" w:color="auto" w:sz="4" w:space="0"/>
              <w:bottom w:val="single" w:color="auto" w:sz="4" w:space="0"/>
              <w:right w:val="single" w:color="auto" w:sz="4" w:space="0"/>
            </w:tcBorders>
            <w:vAlign w:val="center"/>
          </w:tcPr>
          <w:p w14:paraId="02F789C4">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43B1C489">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人民币</w:t>
            </w:r>
          </w:p>
        </w:tc>
      </w:tr>
      <w:tr w14:paraId="0E00F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410B32">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530" w:type="dxa"/>
            <w:tcBorders>
              <w:top w:val="single" w:color="auto" w:sz="4" w:space="0"/>
              <w:left w:val="single" w:color="auto" w:sz="4" w:space="0"/>
              <w:bottom w:val="single" w:color="auto" w:sz="4" w:space="0"/>
              <w:right w:val="single" w:color="auto" w:sz="4" w:space="0"/>
            </w:tcBorders>
            <w:vAlign w:val="center"/>
          </w:tcPr>
          <w:p w14:paraId="32168EA2">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25A94E61">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不接受</w:t>
            </w:r>
          </w:p>
          <w:p w14:paraId="1ECEE157">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接受</w:t>
            </w:r>
          </w:p>
        </w:tc>
      </w:tr>
      <w:tr w14:paraId="166842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F921001">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0DEC3A8B">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274132B6">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不允许</w:t>
            </w:r>
          </w:p>
        </w:tc>
      </w:tr>
      <w:tr w14:paraId="75D671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D21A559">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241C41DD">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5B0D2121">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不接受</w:t>
            </w:r>
          </w:p>
          <w:p w14:paraId="3082C69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接受</w:t>
            </w:r>
          </w:p>
        </w:tc>
      </w:tr>
      <w:tr w14:paraId="5A26D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2074F1A">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110FA22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14C61C3F">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保证金要求：投标保证金应当以支票、汇票、本票或者金融机构、担保机构出具的保函等非现金形式提交。</w:t>
            </w:r>
          </w:p>
          <w:p w14:paraId="2C17CC34">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righ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保证金金额：</w:t>
            </w:r>
            <w:r>
              <w:rPr>
                <w:rFonts w:hint="eastAsia" w:ascii="宋体" w:hAnsi="宋体" w:eastAsia="宋体" w:cs="宋体"/>
                <w:b/>
                <w:bCs/>
                <w:color w:val="auto"/>
                <w:sz w:val="21"/>
                <w:szCs w:val="21"/>
                <w:highlight w:val="none"/>
              </w:rPr>
              <w:t>人民币</w:t>
            </w:r>
            <w:r>
              <w:rPr>
                <w:rFonts w:hint="eastAsia" w:ascii="宋体" w:hAnsi="宋体" w:cs="宋体"/>
                <w:b/>
                <w:bCs/>
                <w:color w:val="auto"/>
                <w:sz w:val="21"/>
                <w:szCs w:val="21"/>
                <w:highlight w:val="none"/>
                <w:lang w:val="en-US" w:eastAsia="zh-CN"/>
              </w:rPr>
              <w:t>陆万叁仟元整</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63,000.00</w:t>
            </w:r>
            <w:r>
              <w:rPr>
                <w:rFonts w:hint="eastAsia" w:ascii="宋体" w:hAnsi="宋体" w:eastAsia="宋体" w:cs="宋体"/>
                <w:b/>
                <w:bCs/>
                <w:color w:val="auto"/>
                <w:sz w:val="21"/>
                <w:szCs w:val="21"/>
                <w:highlight w:val="none"/>
              </w:rPr>
              <w:t>）。</w:t>
            </w:r>
          </w:p>
          <w:p w14:paraId="08E2E7EA">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316" w:firstLineChars="150"/>
              <w:textAlignment w:val="auto"/>
              <w:rPr>
                <w:rFonts w:hint="eastAsia" w:ascii="宋体" w:hAnsi="宋体" w:eastAsia="宋体" w:cs="宋体"/>
                <w:b/>
                <w:bCs/>
                <w:color w:val="auto"/>
                <w:kern w:val="0"/>
                <w:szCs w:val="21"/>
                <w:highlight w:val="none"/>
              </w:rPr>
            </w:pPr>
            <w:r>
              <w:rPr>
                <w:rFonts w:hint="eastAsia" w:ascii="宋体" w:hAnsi="宋体" w:eastAsia="宋体" w:cs="宋体"/>
                <w:b/>
                <w:color w:val="auto"/>
                <w:szCs w:val="21"/>
                <w:highlight w:val="none"/>
                <w:lang w:val="zh-CN"/>
              </w:rPr>
              <w:t>保证金递交要求</w:t>
            </w:r>
            <w:r>
              <w:rPr>
                <w:rFonts w:hint="eastAsia" w:ascii="宋体" w:hAnsi="宋体" w:eastAsia="宋体" w:cs="宋体"/>
                <w:b/>
                <w:color w:val="auto"/>
                <w:kern w:val="0"/>
                <w:szCs w:val="21"/>
                <w:highlight w:val="none"/>
              </w:rPr>
              <w:t>：在提交投标文件截止时间前未按规定从</w:t>
            </w:r>
            <w:r>
              <w:rPr>
                <w:rFonts w:hint="eastAsia" w:ascii="宋体" w:hAnsi="宋体" w:eastAsia="宋体" w:cs="宋体"/>
                <w:b/>
                <w:bCs/>
                <w:color w:val="auto"/>
                <w:kern w:val="0"/>
                <w:szCs w:val="21"/>
                <w:highlight w:val="none"/>
              </w:rPr>
              <w:t>投标人账户汇至指定账户的视为未提交投标保证金。</w:t>
            </w:r>
          </w:p>
          <w:p w14:paraId="02B2484E">
            <w:pPr>
              <w:keepNext w:val="0"/>
              <w:keepLines w:val="0"/>
              <w:pageBreakBefore w:val="0"/>
              <w:suppressLineNumbers w:val="0"/>
              <w:kinsoku/>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开 户 名 称：湖北世发招标有限公司</w:t>
            </w:r>
          </w:p>
          <w:p w14:paraId="2507A12E">
            <w:pPr>
              <w:keepNext w:val="0"/>
              <w:keepLines w:val="0"/>
              <w:pageBreakBefore w:val="0"/>
              <w:suppressLineNumbers w:val="0"/>
              <w:kinsoku/>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开  户   行：湖北银行股份有限公司武汉洪山支行</w:t>
            </w:r>
          </w:p>
          <w:p w14:paraId="2C5128DC">
            <w:pPr>
              <w:keepNext w:val="0"/>
              <w:keepLines w:val="0"/>
              <w:pageBreakBefore w:val="0"/>
              <w:suppressLineNumbers w:val="0"/>
              <w:kinsoku/>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账       号：1019 0200 0000 00074</w:t>
            </w:r>
          </w:p>
          <w:p w14:paraId="702868B7">
            <w:pPr>
              <w:keepNext w:val="0"/>
              <w:keepLines w:val="0"/>
              <w:pageBreakBefore w:val="0"/>
              <w:suppressLineNumbers w:val="0"/>
              <w:kinsoku/>
              <w:overflowPunct/>
              <w:topLinePunct w:val="0"/>
              <w:bidi w:val="0"/>
              <w:adjustRightInd w:val="0"/>
              <w:snapToGrid w:val="0"/>
              <w:spacing w:before="0" w:beforeAutospacing="0" w:after="0" w:afterAutospacing="0" w:line="316" w:lineRule="exact"/>
              <w:ind w:left="0" w:leftChars="0" w:right="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行       号：3135 2100 6472</w:t>
            </w:r>
          </w:p>
          <w:p w14:paraId="0D545B94">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中标</w:t>
            </w:r>
            <w:r>
              <w:rPr>
                <w:rFonts w:hint="eastAsia" w:ascii="宋体" w:hAnsi="宋体" w:eastAsia="宋体" w:cs="宋体"/>
                <w:color w:val="auto"/>
                <w:szCs w:val="21"/>
                <w:highlight w:val="none"/>
              </w:rPr>
              <w:t>人的投标保证金，自采购合同签订之日起5个工作日内退还；未中标人的投标保证金，自中标通知书发出之日起5个工作日内退还。</w:t>
            </w:r>
          </w:p>
        </w:tc>
      </w:tr>
      <w:tr w14:paraId="76F346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BDEA22C">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68DECBBC">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7A074DC4">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提交投标文件截止之日起90日历日</w:t>
            </w:r>
          </w:p>
        </w:tc>
      </w:tr>
      <w:tr w14:paraId="7F95BC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1DA2254">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12636958">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636FB0CA">
            <w:pPr>
              <w:keepNext w:val="0"/>
              <w:keepLines w:val="0"/>
              <w:pageBreakBefore w:val="0"/>
              <w:widowControl w:val="0"/>
              <w:suppressLineNumbers w:val="0"/>
              <w:kinsoku/>
              <w:wordWrap w:val="0"/>
              <w:overflowPunct/>
              <w:topLinePunct w:val="0"/>
              <w:autoSpaceDE w:val="0"/>
              <w:autoSpaceDN w:val="0"/>
              <w:bidi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（1）纸质版：正本</w:t>
            </w:r>
            <w:r>
              <w:rPr>
                <w:rFonts w:hint="eastAsia" w:ascii="宋体" w:hAnsi="宋体" w:eastAsia="宋体" w:cs="宋体"/>
                <w:color w:val="auto"/>
                <w:szCs w:val="21"/>
                <w:highlight w:val="none"/>
                <w:u w:val="single"/>
                <w:lang w:val="zh-CN"/>
              </w:rPr>
              <w:t>1</w:t>
            </w:r>
            <w:r>
              <w:rPr>
                <w:rFonts w:hint="eastAsia" w:ascii="宋体" w:hAnsi="宋体" w:eastAsia="宋体" w:cs="宋体"/>
                <w:color w:val="auto"/>
                <w:szCs w:val="21"/>
                <w:highlight w:val="none"/>
                <w:lang w:val="zh-CN"/>
              </w:rPr>
              <w:t>份；副本</w:t>
            </w:r>
            <w:r>
              <w:rPr>
                <w:rFonts w:hint="eastAsia" w:ascii="宋体" w:hAnsi="宋体" w:eastAsia="宋体" w:cs="宋体"/>
                <w:color w:val="auto"/>
                <w:szCs w:val="21"/>
                <w:highlight w:val="none"/>
                <w:u w:val="single"/>
                <w:lang w:val="zh-CN"/>
              </w:rPr>
              <w:t>4</w:t>
            </w:r>
            <w:r>
              <w:rPr>
                <w:rFonts w:hint="eastAsia" w:ascii="宋体" w:hAnsi="宋体" w:eastAsia="宋体" w:cs="宋体"/>
                <w:color w:val="auto"/>
                <w:szCs w:val="21"/>
                <w:highlight w:val="none"/>
                <w:lang w:val="zh-CN"/>
              </w:rPr>
              <w:t>份，副本可为正本的复印件；</w:t>
            </w:r>
          </w:p>
          <w:p w14:paraId="78BC1623">
            <w:pPr>
              <w:keepNext w:val="0"/>
              <w:keepLines w:val="0"/>
              <w:pageBreakBefore w:val="0"/>
              <w:widowControl w:val="0"/>
              <w:suppressLineNumbers w:val="0"/>
              <w:kinsoku/>
              <w:wordWrap w:val="0"/>
              <w:overflowPunct/>
              <w:topLinePunct w:val="0"/>
              <w:autoSpaceDE w:val="0"/>
              <w:autoSpaceDN w:val="0"/>
              <w:bidi w:val="0"/>
              <w:spacing w:before="0" w:beforeAutospacing="0" w:after="0" w:afterAutospacing="0" w:line="316" w:lineRule="exact"/>
              <w:ind w:left="525" w:leftChars="0" w:right="0" w:hanging="525" w:hangingChars="25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（2）电子版：未加密PDF格式（正本</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val="zh-CN"/>
              </w:rPr>
              <w:t>扫描件），电子版内容应与投标文件正本一致；份数：</w:t>
            </w:r>
            <w:r>
              <w:rPr>
                <w:rFonts w:hint="eastAsia" w:ascii="宋体" w:hAnsi="宋体" w:eastAsia="宋体" w:cs="宋体"/>
                <w:color w:val="auto"/>
                <w:szCs w:val="21"/>
                <w:highlight w:val="none"/>
                <w:u w:val="single"/>
                <w:lang w:val="zh-CN"/>
              </w:rPr>
              <w:t>1</w:t>
            </w:r>
            <w:r>
              <w:rPr>
                <w:rFonts w:hint="eastAsia" w:ascii="宋体" w:hAnsi="宋体" w:eastAsia="宋体" w:cs="宋体"/>
                <w:color w:val="auto"/>
                <w:szCs w:val="21"/>
                <w:highlight w:val="none"/>
                <w:lang w:val="zh-CN"/>
              </w:rPr>
              <w:t>份；形式：</w:t>
            </w:r>
            <w:r>
              <w:rPr>
                <w:rFonts w:hint="eastAsia" w:ascii="宋体" w:hAnsi="宋体" w:eastAsia="宋体" w:cs="宋体"/>
                <w:color w:val="auto"/>
                <w:szCs w:val="21"/>
                <w:highlight w:val="none"/>
                <w:u w:val="single"/>
                <w:lang w:val="zh-CN"/>
              </w:rPr>
              <w:t>U盘</w:t>
            </w:r>
            <w:r>
              <w:rPr>
                <w:rFonts w:hint="eastAsia" w:ascii="宋体" w:hAnsi="宋体" w:eastAsia="宋体" w:cs="宋体"/>
                <w:color w:val="auto"/>
                <w:szCs w:val="21"/>
                <w:highlight w:val="none"/>
                <w:lang w:val="zh-CN"/>
              </w:rPr>
              <w:t>。</w:t>
            </w:r>
          </w:p>
          <w:p w14:paraId="55E3426E">
            <w:pPr>
              <w:keepNext w:val="0"/>
              <w:keepLines w:val="0"/>
              <w:pageBreakBefore w:val="0"/>
              <w:widowControl w:val="0"/>
              <w:suppressLineNumbers w:val="0"/>
              <w:kinsoku/>
              <w:wordWrap w:val="0"/>
              <w:overflowPunct/>
              <w:topLinePunct w:val="0"/>
              <w:autoSpaceDE w:val="0"/>
              <w:autoSpaceDN w:val="0"/>
              <w:bidi w:val="0"/>
              <w:spacing w:before="0" w:beforeAutospacing="0" w:after="0" w:afterAutospacing="0" w:line="316" w:lineRule="exact"/>
              <w:ind w:left="525" w:leftChars="0" w:right="0" w:hanging="525" w:hangingChars="25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为方便开启时唱标（如有），投标人应将《报价一览表》原件及《交纳保证金的银行凭证》（若有交纳保证金要求的）各两份一并装入一个信封，单独密封提交，并在信封上标明“采购项目编号/包号、项目名称、报价一览表”字样。</w:t>
            </w:r>
          </w:p>
          <w:p w14:paraId="065DE5AF">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525" w:firstLineChars="250"/>
              <w:textAlignment w:val="auto"/>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rPr>
              <w:t>所有投标文件接收后概不退还。</w:t>
            </w:r>
          </w:p>
          <w:p w14:paraId="62FBD598">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b/>
                <w:bCs/>
                <w:color w:val="auto"/>
                <w:szCs w:val="21"/>
                <w:highlight w:val="none"/>
                <w:lang w:val="zh-CN"/>
              </w:rPr>
            </w:pPr>
            <w:r>
              <w:rPr>
                <w:rFonts w:hint="eastAsia" w:ascii="宋体" w:hAnsi="宋体" w:eastAsia="宋体" w:cs="宋体"/>
                <w:bCs/>
                <w:color w:val="auto"/>
                <w:szCs w:val="21"/>
                <w:highlight w:val="none"/>
                <w:lang w:val="zh-CN"/>
              </w:rPr>
              <w:t>投标文件密封封套上应载明的信息</w:t>
            </w:r>
            <w:r>
              <w:rPr>
                <w:rFonts w:hint="eastAsia" w:ascii="宋体" w:hAnsi="宋体" w:eastAsia="宋体" w:cs="宋体"/>
                <w:b/>
                <w:bCs/>
                <w:color w:val="auto"/>
                <w:szCs w:val="21"/>
                <w:highlight w:val="none"/>
                <w:lang w:val="zh-CN"/>
              </w:rPr>
              <w:t>：</w:t>
            </w:r>
          </w:p>
          <w:p w14:paraId="60D42DEF">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（项目名称）投标文件</w:t>
            </w:r>
          </w:p>
          <w:p w14:paraId="53D04120">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bCs/>
                <w:color w:val="auto"/>
                <w:szCs w:val="21"/>
                <w:highlight w:val="none"/>
                <w:u w:val="single"/>
                <w:lang w:eastAsia="zh-CN"/>
              </w:rPr>
            </w:pPr>
            <w:r>
              <w:rPr>
                <w:rFonts w:hint="eastAsia" w:ascii="宋体" w:hAnsi="宋体" w:eastAsia="宋体" w:cs="宋体"/>
                <w:color w:val="auto"/>
                <w:szCs w:val="21"/>
                <w:highlight w:val="none"/>
                <w:lang w:val="zh-CN"/>
              </w:rPr>
              <w:t>项目编号</w:t>
            </w:r>
            <w:r>
              <w:rPr>
                <w:rFonts w:hint="eastAsia" w:ascii="宋体" w:hAnsi="宋体" w:eastAsia="宋体" w:cs="宋体"/>
                <w:bCs/>
                <w:color w:val="auto"/>
                <w:szCs w:val="21"/>
                <w:highlight w:val="none"/>
              </w:rPr>
              <w:t>：</w:t>
            </w:r>
          </w:p>
          <w:p w14:paraId="43EAACA5">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lang w:val="zh-CN"/>
              </w:rPr>
              <w:t>包号</w:t>
            </w:r>
            <w:r>
              <w:rPr>
                <w:rFonts w:hint="eastAsia" w:ascii="宋体" w:hAnsi="宋体" w:eastAsia="宋体" w:cs="宋体"/>
                <w:bCs/>
                <w:color w:val="auto"/>
                <w:szCs w:val="21"/>
                <w:highlight w:val="none"/>
              </w:rPr>
              <w:t>：</w:t>
            </w:r>
          </w:p>
          <w:p w14:paraId="06F5674E">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在年月日时分之前不得启封</w:t>
            </w:r>
          </w:p>
          <w:p w14:paraId="777770DF">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投标人名称：</w:t>
            </w:r>
          </w:p>
        </w:tc>
      </w:tr>
      <w:tr w14:paraId="4C6C38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C331AF7">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230908BA">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298956E7">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sym w:font="Wingdings 2" w:char="0052"/>
            </w:r>
            <w:r>
              <w:rPr>
                <w:rFonts w:hint="eastAsia" w:ascii="宋体" w:hAnsi="宋体" w:eastAsia="宋体" w:cs="宋体"/>
                <w:color w:val="auto"/>
                <w:szCs w:val="21"/>
                <w:highlight w:val="none"/>
                <w:lang w:val="zh-CN"/>
              </w:rPr>
              <w:t>不需要</w:t>
            </w:r>
          </w:p>
          <w:p w14:paraId="4E5B0ED8">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sym w:font="Wingdings 2" w:char="00A3"/>
            </w:r>
            <w:r>
              <w:rPr>
                <w:rFonts w:hint="eastAsia" w:ascii="宋体" w:hAnsi="宋体" w:eastAsia="宋体" w:cs="宋体"/>
                <w:color w:val="auto"/>
                <w:szCs w:val="21"/>
                <w:highlight w:val="none"/>
                <w:lang w:val="zh-CN"/>
              </w:rPr>
              <w:t>需要，样品的包装及递交要求：</w:t>
            </w:r>
          </w:p>
        </w:tc>
      </w:tr>
      <w:tr w14:paraId="0EE16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AA15D4B">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0536834B">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5F2EB481">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lang w:val="zh-CN"/>
              </w:rPr>
              <w:t>不需要</w:t>
            </w:r>
          </w:p>
          <w:p w14:paraId="2CB81ACA">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default" w:ascii="宋体" w:hAnsi="宋体" w:eastAsia="宋体" w:cs="宋体"/>
                <w:color w:val="auto"/>
                <w:szCs w:val="21"/>
                <w:highlight w:val="none"/>
                <w:lang w:val="en-US" w:eastAsia="zh-CN"/>
              </w:rPr>
            </w:pPr>
            <w:r>
              <w:rPr>
                <w:rFonts w:hint="eastAsia" w:ascii="宋体" w:hAnsi="宋体" w:eastAsia="宋体" w:cs="宋体"/>
                <w:b w:val="0"/>
                <w:bCs w:val="0"/>
                <w:color w:val="auto"/>
                <w:szCs w:val="21"/>
                <w:highlight w:val="none"/>
              </w:rPr>
              <w:sym w:font="Wingdings 2" w:char="00A3"/>
            </w:r>
            <w:r>
              <w:rPr>
                <w:rFonts w:hint="eastAsia" w:ascii="宋体" w:hAnsi="宋体" w:eastAsia="宋体" w:cs="宋体"/>
                <w:b w:val="0"/>
                <w:bCs w:val="0"/>
                <w:color w:val="auto"/>
                <w:szCs w:val="21"/>
                <w:highlight w:val="none"/>
                <w:lang w:val="zh-CN"/>
              </w:rPr>
              <w:t>需要</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zh-CN"/>
              </w:rPr>
              <w:t>演示要求</w:t>
            </w:r>
            <w:r>
              <w:rPr>
                <w:rFonts w:hint="eastAsia" w:ascii="宋体" w:hAnsi="宋体" w:eastAsia="宋体" w:cs="宋体"/>
                <w:b w:val="0"/>
                <w:bCs w:val="0"/>
                <w:color w:val="auto"/>
                <w:szCs w:val="21"/>
                <w:highlight w:val="none"/>
              </w:rPr>
              <w:t>：</w:t>
            </w:r>
            <w:r>
              <w:rPr>
                <w:rFonts w:hint="eastAsia" w:ascii="宋体" w:hAnsi="宋体" w:cs="宋体"/>
                <w:b w:val="0"/>
                <w:bCs w:val="0"/>
                <w:color w:val="auto"/>
                <w:szCs w:val="21"/>
                <w:highlight w:val="none"/>
                <w:lang w:val="en-US" w:eastAsia="zh-CN"/>
              </w:rPr>
              <w:t>详见第三章“技术、服务及商务要求”</w:t>
            </w:r>
          </w:p>
        </w:tc>
      </w:tr>
      <w:tr w14:paraId="14B07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75A3150">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w:t>
            </w:r>
          </w:p>
        </w:tc>
        <w:tc>
          <w:tcPr>
            <w:tcW w:w="1530" w:type="dxa"/>
            <w:tcBorders>
              <w:top w:val="single" w:color="auto" w:sz="4" w:space="0"/>
              <w:left w:val="single" w:color="auto" w:sz="4" w:space="0"/>
              <w:bottom w:val="single" w:color="auto" w:sz="4" w:space="0"/>
              <w:right w:val="single" w:color="auto" w:sz="4" w:space="0"/>
            </w:tcBorders>
            <w:vAlign w:val="center"/>
          </w:tcPr>
          <w:p w14:paraId="057802DC">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w:t>
            </w:r>
          </w:p>
          <w:p w14:paraId="7B9A5617">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70D6F733">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详见第一章“招标公告（投标邀请书）”</w:t>
            </w:r>
          </w:p>
        </w:tc>
      </w:tr>
      <w:tr w14:paraId="0707FF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ABD7021">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w:t>
            </w:r>
          </w:p>
        </w:tc>
        <w:tc>
          <w:tcPr>
            <w:tcW w:w="1530" w:type="dxa"/>
            <w:tcBorders>
              <w:top w:val="single" w:color="auto" w:sz="4" w:space="0"/>
              <w:left w:val="single" w:color="auto" w:sz="4" w:space="0"/>
              <w:bottom w:val="single" w:color="auto" w:sz="4" w:space="0"/>
              <w:right w:val="single" w:color="auto" w:sz="4" w:space="0"/>
            </w:tcBorders>
            <w:vAlign w:val="center"/>
          </w:tcPr>
          <w:p w14:paraId="2463FEBE">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w:t>
            </w:r>
          </w:p>
          <w:p w14:paraId="662133FB">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66CE3574">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详见第一章“招标公告（投标邀请书）”</w:t>
            </w:r>
          </w:p>
        </w:tc>
      </w:tr>
      <w:tr w14:paraId="64F742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2569905">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w:t>
            </w:r>
          </w:p>
        </w:tc>
        <w:tc>
          <w:tcPr>
            <w:tcW w:w="1530" w:type="dxa"/>
            <w:tcBorders>
              <w:top w:val="single" w:color="auto" w:sz="4" w:space="0"/>
              <w:left w:val="single" w:color="auto" w:sz="4" w:space="0"/>
              <w:bottom w:val="single" w:color="auto" w:sz="4" w:space="0"/>
              <w:right w:val="single" w:color="auto" w:sz="4" w:space="0"/>
            </w:tcBorders>
            <w:vAlign w:val="center"/>
          </w:tcPr>
          <w:p w14:paraId="26814AFA">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35BAA197">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综合评分法</w:t>
            </w:r>
          </w:p>
          <w:p w14:paraId="5DCEBB2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详见第五章“评标方法、程序及标准”要求</w:t>
            </w:r>
          </w:p>
        </w:tc>
      </w:tr>
      <w:tr w14:paraId="45C751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33F56FB">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w:t>
            </w:r>
          </w:p>
        </w:tc>
        <w:tc>
          <w:tcPr>
            <w:tcW w:w="1530" w:type="dxa"/>
            <w:tcBorders>
              <w:top w:val="single" w:color="auto" w:sz="4" w:space="0"/>
              <w:left w:val="single" w:color="auto" w:sz="4" w:space="0"/>
              <w:bottom w:val="single" w:color="auto" w:sz="4" w:space="0"/>
              <w:right w:val="single" w:color="auto" w:sz="4" w:space="0"/>
            </w:tcBorders>
            <w:vAlign w:val="center"/>
          </w:tcPr>
          <w:p w14:paraId="74DBD7A0">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753D3E00">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由采购人代表和评审专家共5人或5人以上单数组成，其中评审专家人数不少于总数的2/3。除非招标文件另有规定，评审专家将从政府采购评审专家库中随机抽取。</w:t>
            </w:r>
          </w:p>
        </w:tc>
      </w:tr>
      <w:tr w14:paraId="1EB13E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059E5BE">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28.3</w:t>
            </w:r>
          </w:p>
        </w:tc>
        <w:tc>
          <w:tcPr>
            <w:tcW w:w="1530" w:type="dxa"/>
            <w:tcBorders>
              <w:top w:val="single" w:color="auto" w:sz="4" w:space="0"/>
              <w:left w:val="single" w:color="auto" w:sz="4" w:space="0"/>
              <w:bottom w:val="single" w:color="auto" w:sz="4" w:space="0"/>
              <w:right w:val="single" w:color="auto" w:sz="4" w:space="0"/>
            </w:tcBorders>
            <w:vAlign w:val="center"/>
          </w:tcPr>
          <w:p w14:paraId="6CA92B2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081EDBC9">
            <w:pPr>
              <w:keepNext w:val="0"/>
              <w:keepLines w:val="0"/>
              <w:pageBreakBefore w:val="0"/>
              <w:widowControl w:val="0"/>
              <w:suppressLineNumbers w:val="0"/>
              <w:kinsoku/>
              <w:overflowPunct/>
              <w:topLinePunct w:val="0"/>
              <w:autoSpaceDE/>
              <w:autoSpaceDN/>
              <w:bidi w:val="0"/>
              <w:adjustRightInd w:val="0"/>
              <w:snapToGrid w:val="0"/>
              <w:spacing w:before="0" w:beforeAutospacing="0" w:after="0" w:afterAutospacing="0" w:line="316" w:lineRule="exact"/>
              <w:ind w:left="0" w:leftChars="0" w:right="0" w:firstLine="0" w:firstLineChars="0"/>
              <w:textAlignment w:val="auto"/>
              <w:rPr>
                <w:rFonts w:hint="eastAsia" w:ascii="宋体" w:hAnsi="宋体" w:eastAsia="宋体" w:cs="宋体"/>
                <w:color w:val="auto"/>
                <w:szCs w:val="21"/>
                <w:highlight w:val="none"/>
              </w:rPr>
            </w:pPr>
            <w:r>
              <w:rPr>
                <w:rFonts w:hint="eastAsia" w:ascii="宋体" w:hAnsi="宋体"/>
                <w:color w:val="auto"/>
                <w:szCs w:val="21"/>
                <w:highlight w:val="none"/>
              </w:rPr>
              <w:t>投标人可就本招标项目多标包投标，同一投标人可多投多</w:t>
            </w:r>
            <w:r>
              <w:rPr>
                <w:rFonts w:hint="eastAsia" w:ascii="宋体" w:hAnsi="宋体" w:eastAsia="宋体" w:cs="宋体"/>
                <w:color w:val="auto"/>
                <w:szCs w:val="21"/>
                <w:highlight w:val="none"/>
                <w:lang w:val="zh-CN"/>
              </w:rPr>
              <w:t>中。（如有）</w:t>
            </w:r>
          </w:p>
        </w:tc>
      </w:tr>
      <w:tr w14:paraId="0D1DA8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927C60">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30.1</w:t>
            </w:r>
          </w:p>
        </w:tc>
        <w:tc>
          <w:tcPr>
            <w:tcW w:w="1530" w:type="dxa"/>
            <w:tcBorders>
              <w:top w:val="single" w:color="auto" w:sz="4" w:space="0"/>
              <w:left w:val="single" w:color="auto" w:sz="4" w:space="0"/>
              <w:bottom w:val="single" w:color="auto" w:sz="4" w:space="0"/>
              <w:right w:val="single" w:color="auto" w:sz="4" w:space="0"/>
            </w:tcBorders>
            <w:vAlign w:val="center"/>
          </w:tcPr>
          <w:p w14:paraId="7CEFA55C">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48810F76">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sym w:font="Wingdings 2" w:char="00A3"/>
            </w:r>
            <w:r>
              <w:rPr>
                <w:rFonts w:hint="eastAsia" w:ascii="宋体" w:hAnsi="宋体" w:eastAsia="宋体" w:cs="宋体"/>
                <w:color w:val="auto"/>
                <w:szCs w:val="21"/>
                <w:highlight w:val="none"/>
                <w:lang w:val="zh-CN"/>
              </w:rPr>
              <w:t>不需要</w:t>
            </w:r>
          </w:p>
          <w:p w14:paraId="5633873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sym w:font="Wingdings 2" w:char="0052"/>
            </w:r>
            <w:r>
              <w:rPr>
                <w:rFonts w:hint="eastAsia" w:ascii="宋体" w:hAnsi="宋体" w:eastAsia="宋体" w:cs="宋体"/>
                <w:color w:val="auto"/>
                <w:szCs w:val="21"/>
                <w:highlight w:val="none"/>
                <w:lang w:val="zh-CN"/>
              </w:rPr>
              <w:t>需要</w:t>
            </w:r>
          </w:p>
          <w:p w14:paraId="7CF7EF73">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315" w:firstLineChars="150"/>
              <w:jc w:val="left"/>
              <w:textAlignment w:val="auto"/>
              <w:rPr>
                <w:rFonts w:hint="eastAsia" w:ascii="宋体" w:hAnsi="宋体"/>
                <w:color w:val="auto"/>
                <w:szCs w:val="21"/>
                <w:highlight w:val="none"/>
                <w:lang w:val="zh-CN"/>
              </w:rPr>
            </w:pPr>
            <w:r>
              <w:rPr>
                <w:rFonts w:hint="eastAsia" w:ascii="宋体" w:hAnsi="宋体"/>
                <w:color w:val="auto"/>
                <w:szCs w:val="21"/>
                <w:highlight w:val="none"/>
                <w:lang w:val="zh-CN"/>
              </w:rPr>
              <w:t>履约保证金金额：合同总金额的5%。（不得超过合同金额的10%，并在合同中明确）</w:t>
            </w:r>
          </w:p>
          <w:p w14:paraId="3D2CC982">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315" w:firstLineChars="150"/>
              <w:jc w:val="left"/>
              <w:textAlignment w:val="auto"/>
              <w:rPr>
                <w:rFonts w:hint="eastAsia" w:ascii="宋体" w:hAnsi="宋体"/>
                <w:color w:val="auto"/>
                <w:szCs w:val="21"/>
                <w:highlight w:val="none"/>
                <w:lang w:val="zh-CN"/>
              </w:rPr>
            </w:pPr>
            <w:r>
              <w:rPr>
                <w:rFonts w:hint="eastAsia" w:ascii="宋体" w:hAnsi="宋体"/>
                <w:color w:val="auto"/>
                <w:szCs w:val="21"/>
                <w:highlight w:val="none"/>
                <w:lang w:val="zh-CN"/>
              </w:rPr>
              <w:t>履约保证金形式：支票、汇票、本票或者金融机构、担保机构出具的保函等非现金形式。</w:t>
            </w:r>
          </w:p>
          <w:p w14:paraId="529978D4">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firstLine="315" w:firstLineChars="15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zh-CN"/>
              </w:rPr>
              <w:t>履约保证金</w:t>
            </w:r>
            <w:r>
              <w:rPr>
                <w:rFonts w:hint="eastAsia" w:ascii="宋体" w:hAnsi="宋体" w:eastAsia="宋体" w:cs="Times New Roman"/>
                <w:color w:val="auto"/>
                <w:szCs w:val="21"/>
                <w:highlight w:val="none"/>
                <w:lang w:val="en-US" w:eastAsia="zh-CN"/>
              </w:rPr>
              <w:t>退还：</w:t>
            </w:r>
            <w:r>
              <w:rPr>
                <w:rFonts w:hint="eastAsia" w:ascii="宋体" w:hAnsi="宋体" w:eastAsia="宋体" w:cs="Times New Roman"/>
                <w:color w:val="auto"/>
                <w:szCs w:val="21"/>
                <w:highlight w:val="none"/>
                <w:lang w:val="zh-CN"/>
              </w:rPr>
              <w:t>投标人履行完合同约定权利义务事项后将无息退还履约保证金。</w:t>
            </w:r>
          </w:p>
        </w:tc>
      </w:tr>
      <w:tr w14:paraId="7CB0EE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95C4951">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30.5</w:t>
            </w:r>
          </w:p>
        </w:tc>
        <w:tc>
          <w:tcPr>
            <w:tcW w:w="1530" w:type="dxa"/>
            <w:tcBorders>
              <w:top w:val="single" w:color="auto" w:sz="4" w:space="0"/>
              <w:left w:val="single" w:color="auto" w:sz="4" w:space="0"/>
              <w:bottom w:val="single" w:color="auto" w:sz="4" w:space="0"/>
              <w:right w:val="single" w:color="auto" w:sz="4" w:space="0"/>
            </w:tcBorders>
            <w:vAlign w:val="center"/>
          </w:tcPr>
          <w:p w14:paraId="7266C8F2">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24215FBF">
            <w:pPr>
              <w:pStyle w:val="24"/>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0"/>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rPr>
              <w:t>详见第三章技术、服务及商务要求</w:t>
            </w:r>
          </w:p>
        </w:tc>
      </w:tr>
      <w:tr w14:paraId="5980D4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8ABE29">
            <w:pPr>
              <w:keepNext w:val="0"/>
              <w:keepLines w:val="0"/>
              <w:pageBreakBefore w:val="0"/>
              <w:widowControl w:val="0"/>
              <w:suppressLineNumbers w:val="0"/>
              <w:tabs>
                <w:tab w:val="left" w:pos="130"/>
              </w:tabs>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p>
        </w:tc>
        <w:tc>
          <w:tcPr>
            <w:tcW w:w="1530" w:type="dxa"/>
            <w:tcBorders>
              <w:top w:val="single" w:color="auto" w:sz="4" w:space="0"/>
              <w:left w:val="single" w:color="auto" w:sz="4" w:space="0"/>
              <w:bottom w:val="single" w:color="auto" w:sz="4" w:space="0"/>
              <w:right w:val="single" w:color="auto" w:sz="4" w:space="0"/>
            </w:tcBorders>
            <w:vAlign w:val="center"/>
          </w:tcPr>
          <w:p w14:paraId="2111A78C">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229E2E0D">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315" w:firstLineChars="15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1、投标人认为招标文件、招标过程和中标结果使自己的权益受到损害的，可以在知道或者应知其权益受到损害之日起7个工作日内，以书面形式向采购人、采购代理机构提出质疑。</w:t>
            </w:r>
          </w:p>
          <w:p w14:paraId="0D5156CB">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315" w:firstLineChars="15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w:t>
            </w:r>
            <w:r>
              <w:rPr>
                <w:rFonts w:hint="eastAsia" w:ascii="宋体" w:hAnsi="宋体" w:eastAsia="宋体" w:cs="宋体"/>
                <w:color w:val="auto"/>
                <w:highlight w:val="none"/>
              </w:rPr>
              <w:t>应当在法定质疑期内一次性提出针对同一采购程序环节的质疑。</w:t>
            </w:r>
          </w:p>
          <w:p w14:paraId="564D18BF">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315" w:firstLineChars="15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3、提出质疑的投标人应当是参与所质疑项目招标活动的投标人。</w:t>
            </w:r>
          </w:p>
          <w:p w14:paraId="6919DF1B">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315" w:firstLineChars="15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4、潜在投标人已依法获取其可质疑的招标文件的，可以对该文件提出质疑。对招标文件提出质疑的，应当在获取招标文件或者招标文件公告期限届满之日起7个工作日内提出。</w:t>
            </w:r>
          </w:p>
          <w:p w14:paraId="701881F3">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315" w:firstLineChars="150"/>
              <w:textAlignment w:val="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质疑</w:t>
            </w:r>
            <w:r>
              <w:rPr>
                <w:rFonts w:hint="eastAsia" w:ascii="宋体" w:hAnsi="宋体" w:eastAsia="宋体" w:cs="宋体"/>
                <w:color w:val="auto"/>
                <w:szCs w:val="21"/>
                <w:highlight w:val="none"/>
                <w:lang w:val="zh-CN"/>
              </w:rPr>
              <w:t>时应提交书面质疑函一份</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法定代表人</w:t>
            </w:r>
            <w:r>
              <w:rPr>
                <w:rFonts w:hint="eastAsia" w:ascii="宋体" w:hAnsi="宋体" w:eastAsia="宋体" w:cs="宋体"/>
                <w:bCs/>
                <w:color w:val="auto"/>
                <w:szCs w:val="21"/>
                <w:highlight w:val="none"/>
              </w:rPr>
              <w:t>签名</w:t>
            </w:r>
            <w:r>
              <w:rPr>
                <w:rFonts w:hint="eastAsia" w:ascii="宋体" w:hAnsi="宋体" w:eastAsia="宋体" w:cs="宋体"/>
                <w:color w:val="auto"/>
                <w:szCs w:val="21"/>
                <w:highlight w:val="none"/>
                <w:lang w:val="zh-CN"/>
              </w:rPr>
              <w:t>、加盖单位公章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并附相关证据材料</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电话：</w:t>
            </w:r>
            <w:r>
              <w:rPr>
                <w:rFonts w:hint="eastAsia" w:ascii="宋体" w:hAnsi="宋体" w:cs="宋体"/>
                <w:color w:val="auto"/>
                <w:szCs w:val="21"/>
                <w:highlight w:val="none"/>
                <w:lang w:val="en-US" w:eastAsia="zh-CN"/>
              </w:rPr>
              <w:t>027-87296088</w:t>
            </w:r>
            <w:r>
              <w:rPr>
                <w:rFonts w:hint="eastAsia" w:ascii="宋体" w:hAnsi="宋体" w:eastAsia="宋体" w:cs="宋体"/>
                <w:color w:val="auto"/>
                <w:szCs w:val="21"/>
                <w:highlight w:val="none"/>
                <w:lang w:val="zh-CN"/>
              </w:rPr>
              <w:t>，邮箱：</w:t>
            </w:r>
            <w:r>
              <w:rPr>
                <w:rFonts w:hint="eastAsia" w:ascii="宋体" w:hAnsi="宋体" w:cs="宋体"/>
                <w:color w:val="auto"/>
                <w:szCs w:val="21"/>
                <w:highlight w:val="none"/>
                <w:lang w:val="en-US" w:eastAsia="zh-CN"/>
              </w:rPr>
              <w:t>hbsfzb@sina.cn</w:t>
            </w:r>
            <w:r>
              <w:rPr>
                <w:rFonts w:hint="eastAsia" w:ascii="宋体" w:hAnsi="宋体" w:eastAsia="宋体" w:cs="宋体"/>
                <w:color w:val="auto"/>
                <w:szCs w:val="21"/>
                <w:highlight w:val="none"/>
                <w:lang w:val="zh-CN"/>
              </w:rPr>
              <w:t>。</w:t>
            </w:r>
          </w:p>
          <w:p w14:paraId="3BD29375">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315" w:firstLineChars="15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对于不符合上述条件的质疑将不予受理。</w:t>
            </w:r>
          </w:p>
        </w:tc>
      </w:tr>
      <w:tr w14:paraId="18EF18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14:paraId="6CC104FA">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16" w:lineRule="exact"/>
              <w:ind w:left="0" w:leftChars="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07F9BD41">
            <w:pPr>
              <w:keepNext w:val="0"/>
              <w:keepLines w:val="0"/>
              <w:pageBreakBefore w:val="0"/>
              <w:widowControl w:val="0"/>
              <w:suppressLineNumbers w:val="0"/>
              <w:kinsoku/>
              <w:wordWrap w:val="0"/>
              <w:overflowPunct/>
              <w:topLinePunct w:val="0"/>
              <w:bidi w:val="0"/>
              <w:spacing w:before="0" w:beforeAutospacing="0" w:after="0" w:afterAutospacing="0" w:line="316" w:lineRule="exact"/>
              <w:ind w:left="0" w:leftChars="0" w:right="0" w:firstLine="315" w:firstLineChars="15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p>
        </w:tc>
      </w:tr>
    </w:tbl>
    <w:p w14:paraId="37EF7E93">
      <w:pPr>
        <w:pageBreakBefore w:val="0"/>
        <w:widowControl w:val="0"/>
        <w:kinsoku/>
        <w:wordWrap w:val="0"/>
        <w:overflowPunct/>
        <w:bidi w:val="0"/>
        <w:spacing w:line="276" w:lineRule="auto"/>
        <w:rPr>
          <w:rFonts w:hint="eastAsia" w:ascii="宋体" w:hAnsi="宋体" w:eastAsia="宋体" w:cs="宋体"/>
          <w:b/>
          <w:color w:val="auto"/>
          <w:szCs w:val="21"/>
          <w:highlight w:val="none"/>
        </w:rPr>
      </w:pPr>
      <w:r>
        <w:rPr>
          <w:rFonts w:hint="eastAsia" w:ascii="宋体" w:hAnsi="宋体" w:eastAsia="宋体" w:cs="宋体"/>
          <w:b/>
          <w:snapToGrid w:val="0"/>
          <w:color w:val="auto"/>
          <w:kern w:val="0"/>
          <w:szCs w:val="21"/>
          <w:highlight w:val="none"/>
          <w:lang w:val="zh-CN"/>
        </w:rPr>
        <w:t>注意：投标人应随时关注第一章招标公告（投标邀请书）中指定网站发布的本招标项目的相关信息（答疑、澄清、通知公告等）。</w:t>
      </w:r>
    </w:p>
    <w:p w14:paraId="7FD23A55">
      <w:pPr>
        <w:pageBreakBefore w:val="0"/>
        <w:widowControl w:val="0"/>
        <w:kinsoku/>
        <w:wordWrap w:val="0"/>
        <w:overflowPunct/>
        <w:bidi w:val="0"/>
        <w:spacing w:line="276" w:lineRule="auto"/>
        <w:rPr>
          <w:rFonts w:hint="eastAsia" w:ascii="宋体" w:hAnsi="宋体" w:eastAsia="宋体" w:cs="宋体"/>
          <w:snapToGrid w:val="0"/>
          <w:color w:val="auto"/>
          <w:kern w:val="0"/>
          <w:szCs w:val="21"/>
          <w:highlight w:val="none"/>
          <w:lang w:val="zh-CN"/>
        </w:rPr>
      </w:pPr>
      <w:r>
        <w:rPr>
          <w:rFonts w:hint="eastAsia" w:ascii="宋体" w:hAnsi="宋体" w:eastAsia="宋体" w:cs="宋体"/>
          <w:snapToGrid w:val="0"/>
          <w:color w:val="auto"/>
          <w:kern w:val="0"/>
          <w:szCs w:val="21"/>
          <w:highlight w:val="none"/>
          <w:lang w:val="zh-CN"/>
        </w:rPr>
        <w:t>补充说明：</w:t>
      </w:r>
    </w:p>
    <w:p w14:paraId="19826828">
      <w:pPr>
        <w:pageBreakBefore w:val="0"/>
        <w:widowControl w:val="0"/>
        <w:kinsoku/>
        <w:wordWrap w:val="0"/>
        <w:overflowPunct/>
        <w:autoSpaceDE w:val="0"/>
        <w:autoSpaceDN w:val="0"/>
        <w:bidi w:val="0"/>
        <w:snapToGrid w:val="0"/>
        <w:spacing w:line="276"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除本招标文件另有规定外，招标文件中出现的类似于“近三年”或“前三年”、“近五年”或“前五年”均指递交投标文件时间以前3年或前5年，以此类推。如：递交投标文件时间为2018年12月1日，则“近三年”是指2015年12月1日至2018年11月30日。</w:t>
      </w:r>
    </w:p>
    <w:p w14:paraId="33B79011">
      <w:pPr>
        <w:pageBreakBefore w:val="0"/>
        <w:widowControl w:val="0"/>
        <w:kinsoku/>
        <w:wordWrap w:val="0"/>
        <w:overflowPunct/>
        <w:autoSpaceDE w:val="0"/>
        <w:autoSpaceDN w:val="0"/>
        <w:bidi w:val="0"/>
        <w:snapToGrid w:val="0"/>
        <w:spacing w:line="276"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2）关于提交经审计的财务报告的年份要求：递交投标文件时间如在当年6月30日以前，则近三年指上上个年度往前推算的三年，如递交投标文件时间为2018年6月9日，则“近三年”是指2014年度、2015年度、2016年度。</w:t>
      </w:r>
    </w:p>
    <w:p w14:paraId="3FA3676E">
      <w:pPr>
        <w:pageBreakBefore w:val="0"/>
        <w:widowControl w:val="0"/>
        <w:kinsoku/>
        <w:wordWrap w:val="0"/>
        <w:overflowPunct/>
        <w:autoSpaceDE w:val="0"/>
        <w:autoSpaceDN w:val="0"/>
        <w:bidi w:val="0"/>
        <w:snapToGrid w:val="0"/>
        <w:spacing w:line="276"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递交投标文件时间如在当年6月30日以后，则近三年是指上个年度往前推算的3年，如递交投标文件时间为2018年12月1日，则“近三年”是指2015年度、2016年度、2017年度。</w:t>
      </w:r>
    </w:p>
    <w:p w14:paraId="2CEA7C9C">
      <w:pPr>
        <w:pageBreakBefore w:val="0"/>
        <w:widowControl w:val="0"/>
        <w:kinsoku/>
        <w:wordWrap w:val="0"/>
        <w:overflowPunct/>
        <w:autoSpaceDE w:val="0"/>
        <w:autoSpaceDN w:val="0"/>
        <w:bidi w:val="0"/>
        <w:snapToGrid w:val="0"/>
        <w:spacing w:line="276"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3）本招标文件所称的“以上”、“以下”、“内”、“以内”，均包括本数；所称的“不足”，不包括本数。</w:t>
      </w:r>
    </w:p>
    <w:p w14:paraId="6C8150BC">
      <w:pPr>
        <w:pageBreakBefore w:val="0"/>
        <w:widowControl w:val="0"/>
        <w:kinsoku/>
        <w:wordWrap w:val="0"/>
        <w:overflowPunct/>
        <w:autoSpaceDE w:val="0"/>
        <w:autoSpaceDN w:val="0"/>
        <w:bidi w:val="0"/>
        <w:snapToGrid w:val="0"/>
        <w:spacing w:line="276"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4）《投标人须知前附表》中，“</w:t>
      </w:r>
      <w:r>
        <w:rPr>
          <w:rFonts w:hint="eastAsia" w:ascii="宋体" w:hAnsi="宋体" w:eastAsia="宋体" w:cs="宋体"/>
          <w:color w:val="auto"/>
          <w:highlight w:val="none"/>
        </w:rPr>
        <w:fldChar w:fldCharType="begin"/>
      </w:r>
      <w:r>
        <w:rPr>
          <w:rFonts w:hint="eastAsia" w:ascii="宋体" w:hAnsi="宋体" w:eastAsia="宋体" w:cs="宋体"/>
          <w:bCs/>
          <w:color w:val="auto"/>
          <w:szCs w:val="21"/>
          <w:highlight w:val="none"/>
        </w:rPr>
        <w:instrText xml:space="preserve"> eq \o\ac(□,√)</w:instrTex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t>”代表选中，“□”代表未选中。</w:t>
      </w:r>
    </w:p>
    <w:p w14:paraId="75148D29">
      <w:pPr>
        <w:pageBreakBefore w:val="0"/>
        <w:widowControl w:val="0"/>
        <w:kinsoku/>
        <w:wordWrap w:val="0"/>
        <w:overflowPunct/>
        <w:autoSpaceDE w:val="0"/>
        <w:autoSpaceDN w:val="0"/>
        <w:bidi w:val="0"/>
        <w:snapToGrid w:val="0"/>
        <w:spacing w:line="276" w:lineRule="auto"/>
        <w:jc w:val="left"/>
        <w:outlineLvl w:val="1"/>
        <w:rPr>
          <w:rFonts w:hint="eastAsia" w:ascii="宋体" w:hAnsi="宋体" w:eastAsia="宋体" w:cs="宋体"/>
          <w:b/>
          <w:bCs/>
          <w:color w:val="auto"/>
          <w:szCs w:val="21"/>
          <w:highlight w:val="none"/>
          <w:lang w:val="zh-CN"/>
        </w:rPr>
      </w:pPr>
      <w:r>
        <w:rPr>
          <w:rFonts w:hint="eastAsia" w:ascii="宋体" w:hAnsi="宋体" w:eastAsia="宋体" w:cs="宋体"/>
          <w:b/>
          <w:bCs/>
          <w:color w:val="auto"/>
          <w:kern w:val="0"/>
          <w:szCs w:val="21"/>
          <w:highlight w:val="none"/>
          <w:lang w:val="zh-CN"/>
        </w:rPr>
        <w:br w:type="page"/>
      </w:r>
      <w:bookmarkStart w:id="26" w:name="_Toc146"/>
      <w:r>
        <w:rPr>
          <w:rFonts w:hint="eastAsia" w:ascii="宋体" w:hAnsi="宋体" w:eastAsia="宋体" w:cs="宋体"/>
          <w:b/>
          <w:bCs/>
          <w:color w:val="auto"/>
          <w:szCs w:val="21"/>
          <w:highlight w:val="none"/>
          <w:lang w:val="zh-CN"/>
        </w:rPr>
        <w:t>投标人须知</w:t>
      </w:r>
      <w:bookmarkEnd w:id="26"/>
    </w:p>
    <w:p w14:paraId="5140C04D">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27" w:name="_Toc30412"/>
      <w:r>
        <w:rPr>
          <w:rFonts w:hint="eastAsia" w:ascii="宋体" w:hAnsi="宋体" w:eastAsia="宋体" w:cs="宋体"/>
          <w:b/>
          <w:color w:val="auto"/>
          <w:kern w:val="0"/>
          <w:szCs w:val="21"/>
          <w:highlight w:val="none"/>
          <w:lang w:val="zh-CN"/>
        </w:rPr>
        <w:t>说明</w:t>
      </w:r>
      <w:bookmarkEnd w:id="25"/>
      <w:bookmarkEnd w:id="27"/>
    </w:p>
    <w:p w14:paraId="0CD3D8AD">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适用范围</w:t>
      </w:r>
    </w:p>
    <w:p w14:paraId="7A192E07">
      <w:pPr>
        <w:pageBreakBefore w:val="0"/>
        <w:widowControl w:val="0"/>
        <w:kinsoku/>
        <w:wordWrap w:val="0"/>
        <w:overflowPunct/>
        <w:bidi w:val="0"/>
        <w:spacing w:line="276"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招标文件仅适用于第一章“招标公告（投标邀请书）”中所述项目的货物、工程及服务的采购。</w:t>
      </w:r>
    </w:p>
    <w:p w14:paraId="4DB74223">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定义</w:t>
      </w:r>
    </w:p>
    <w:p w14:paraId="15030B8B">
      <w:pPr>
        <w:pageBreakBefore w:val="0"/>
        <w:widowControl w:val="0"/>
        <w:numPr>
          <w:ilvl w:val="0"/>
          <w:numId w:val="3"/>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“采购人”是指：</w:t>
      </w:r>
      <w:r>
        <w:rPr>
          <w:rFonts w:hint="eastAsia" w:ascii="宋体" w:hAnsi="宋体" w:eastAsia="宋体" w:cs="宋体"/>
          <w:color w:val="auto"/>
          <w:szCs w:val="21"/>
          <w:highlight w:val="none"/>
        </w:rPr>
        <w:t>本次招标的采购人，</w:t>
      </w:r>
      <w:r>
        <w:rPr>
          <w:rFonts w:hint="eastAsia" w:ascii="宋体" w:hAnsi="宋体" w:eastAsia="宋体" w:cs="宋体"/>
          <w:color w:val="auto"/>
          <w:szCs w:val="21"/>
          <w:highlight w:val="none"/>
          <w:lang w:val="zh-CN"/>
        </w:rPr>
        <w:t>详见《投标人须知前附表》。</w:t>
      </w:r>
    </w:p>
    <w:p w14:paraId="4EC90941">
      <w:pPr>
        <w:pageBreakBefore w:val="0"/>
        <w:widowControl w:val="0"/>
        <w:numPr>
          <w:ilvl w:val="0"/>
          <w:numId w:val="3"/>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“监管部门”是指：</w:t>
      </w:r>
      <w:r>
        <w:rPr>
          <w:rFonts w:hint="eastAsia" w:ascii="宋体" w:hAnsi="宋体" w:eastAsia="宋体" w:cs="宋体"/>
          <w:color w:val="auto"/>
          <w:szCs w:val="21"/>
          <w:highlight w:val="none"/>
        </w:rPr>
        <w:t>本次招标的监管部门，</w:t>
      </w:r>
      <w:r>
        <w:rPr>
          <w:rFonts w:hint="eastAsia" w:ascii="宋体" w:hAnsi="宋体" w:eastAsia="宋体" w:cs="宋体"/>
          <w:color w:val="auto"/>
          <w:szCs w:val="21"/>
          <w:highlight w:val="none"/>
          <w:lang w:val="zh-CN"/>
        </w:rPr>
        <w:t>详见《投标人须知前附表》。</w:t>
      </w:r>
    </w:p>
    <w:p w14:paraId="76E727BD">
      <w:pPr>
        <w:pageBreakBefore w:val="0"/>
        <w:widowControl w:val="0"/>
        <w:numPr>
          <w:ilvl w:val="0"/>
          <w:numId w:val="3"/>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“采购代理机构”是指：</w:t>
      </w:r>
      <w:r>
        <w:rPr>
          <w:rFonts w:hint="eastAsia" w:ascii="宋体" w:hAnsi="宋体" w:eastAsia="宋体" w:cs="宋体"/>
          <w:color w:val="auto"/>
          <w:szCs w:val="21"/>
          <w:highlight w:val="none"/>
        </w:rPr>
        <w:t>本次招标的采购代理机构，</w:t>
      </w:r>
      <w:r>
        <w:rPr>
          <w:rFonts w:hint="eastAsia" w:ascii="宋体" w:hAnsi="宋体" w:eastAsia="宋体" w:cs="宋体"/>
          <w:color w:val="auto"/>
          <w:szCs w:val="21"/>
          <w:highlight w:val="none"/>
          <w:lang w:val="zh-CN"/>
        </w:rPr>
        <w:t>详见《投标人须知前附表》。</w:t>
      </w:r>
    </w:p>
    <w:p w14:paraId="7E0AF57A">
      <w:pPr>
        <w:pageBreakBefore w:val="0"/>
        <w:widowControl w:val="0"/>
        <w:numPr>
          <w:ilvl w:val="0"/>
          <w:numId w:val="3"/>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“投标人”是指：</w:t>
      </w:r>
      <w:r>
        <w:rPr>
          <w:rFonts w:hint="eastAsia" w:ascii="宋体" w:hAnsi="宋体" w:eastAsia="宋体" w:cs="宋体"/>
          <w:color w:val="auto"/>
          <w:kern w:val="0"/>
          <w:szCs w:val="21"/>
          <w:highlight w:val="none"/>
          <w:lang w:val="zh-CN"/>
        </w:rPr>
        <w:t>响应本招标文件要求，参加投标的法人、其他组织或者自然人。</w:t>
      </w:r>
    </w:p>
    <w:p w14:paraId="40B37905">
      <w:pPr>
        <w:pageBreakBefore w:val="0"/>
        <w:widowControl w:val="0"/>
        <w:numPr>
          <w:ilvl w:val="0"/>
          <w:numId w:val="3"/>
        </w:numPr>
        <w:kinsoku/>
        <w:wordWrap w:val="0"/>
        <w:overflowPunct/>
        <w:bidi w:val="0"/>
        <w:spacing w:line="276" w:lineRule="auto"/>
        <w:ind w:left="476" w:hanging="476"/>
        <w:rPr>
          <w:rFonts w:hint="eastAsia" w:ascii="宋体" w:hAnsi="宋体" w:eastAsia="宋体" w:cs="宋体"/>
          <w:color w:val="auto"/>
          <w:kern w:val="0"/>
          <w:szCs w:val="21"/>
          <w:highlight w:val="none"/>
          <w:lang w:val="zh-CN"/>
        </w:rPr>
      </w:pPr>
      <w:r>
        <w:rPr>
          <w:rFonts w:hint="eastAsia" w:ascii="宋体" w:hAnsi="宋体" w:eastAsia="宋体" w:cs="宋体"/>
          <w:b/>
          <w:color w:val="auto"/>
          <w:szCs w:val="21"/>
          <w:highlight w:val="none"/>
          <w:lang w:val="zh-CN"/>
        </w:rPr>
        <w:t>“合格的投标人”是指：</w:t>
      </w:r>
      <w:r>
        <w:rPr>
          <w:rFonts w:hint="eastAsia" w:ascii="宋体" w:hAnsi="宋体" w:eastAsia="宋体" w:cs="宋体"/>
          <w:color w:val="auto"/>
          <w:kern w:val="0"/>
          <w:szCs w:val="21"/>
          <w:highlight w:val="none"/>
          <w:lang w:val="zh-CN"/>
        </w:rPr>
        <w:t>资格审查和符合性审查合格的投标人。</w:t>
      </w:r>
    </w:p>
    <w:p w14:paraId="73728582">
      <w:pPr>
        <w:pageBreakBefore w:val="0"/>
        <w:widowControl w:val="0"/>
        <w:numPr>
          <w:ilvl w:val="0"/>
          <w:numId w:val="3"/>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“中标人”是指：</w:t>
      </w:r>
      <w:r>
        <w:rPr>
          <w:rFonts w:hint="eastAsia" w:ascii="宋体" w:hAnsi="宋体" w:eastAsia="宋体" w:cs="宋体"/>
          <w:color w:val="auto"/>
          <w:szCs w:val="21"/>
          <w:highlight w:val="none"/>
          <w:lang w:val="zh-CN"/>
        </w:rPr>
        <w:t>经评标委员会评审推荐，采购人授予合同的投标人。</w:t>
      </w:r>
    </w:p>
    <w:p w14:paraId="74E45439">
      <w:pPr>
        <w:pageBreakBefore w:val="0"/>
        <w:widowControl w:val="0"/>
        <w:numPr>
          <w:ilvl w:val="0"/>
          <w:numId w:val="3"/>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“投标文件”是指：</w:t>
      </w:r>
      <w:r>
        <w:rPr>
          <w:rFonts w:hint="eastAsia" w:ascii="宋体" w:hAnsi="宋体" w:eastAsia="宋体" w:cs="宋体"/>
          <w:color w:val="auto"/>
          <w:szCs w:val="21"/>
          <w:highlight w:val="none"/>
        </w:rPr>
        <w:t>投标人根据招标文件要求，编制的包含价格、技术、服务和合同草案条款等所有内容的文件。</w:t>
      </w:r>
    </w:p>
    <w:p w14:paraId="1C8DF30B">
      <w:pPr>
        <w:pageBreakBefore w:val="0"/>
        <w:widowControl w:val="0"/>
        <w:numPr>
          <w:ilvl w:val="0"/>
          <w:numId w:val="3"/>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“进口产品”是指：</w:t>
      </w:r>
      <w:r>
        <w:rPr>
          <w:rFonts w:hint="eastAsia" w:ascii="宋体" w:hAnsi="宋体" w:eastAsia="宋体" w:cs="宋体"/>
          <w:color w:val="auto"/>
          <w:szCs w:val="21"/>
          <w:highlight w:val="none"/>
        </w:rPr>
        <w:t>通过中国海关报关验放进入中国境内且产自关境外的产品。</w:t>
      </w:r>
    </w:p>
    <w:p w14:paraId="68961994">
      <w:pPr>
        <w:numPr>
          <w:ilvl w:val="0"/>
          <w:numId w:val="3"/>
        </w:numPr>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eastAsia="zh-CN"/>
        </w:rPr>
        <w:t>“</w:t>
      </w:r>
      <w:r>
        <w:rPr>
          <w:rFonts w:hint="eastAsia" w:ascii="宋体" w:hAnsi="宋体" w:eastAsia="宋体" w:cs="宋体"/>
          <w:b/>
          <w:color w:val="auto"/>
          <w:szCs w:val="21"/>
          <w:highlight w:val="none"/>
          <w:lang w:val="zh-CN"/>
        </w:rPr>
        <w:t>支持本国产品</w:t>
      </w:r>
      <w:r>
        <w:rPr>
          <w:rFonts w:hint="eastAsia" w:ascii="宋体" w:hAnsi="宋体" w:eastAsia="宋体" w:cs="宋体"/>
          <w:b/>
          <w:color w:val="auto"/>
          <w:szCs w:val="21"/>
          <w:highlight w:val="none"/>
          <w:lang w:val="zh-CN" w:eastAsia="zh-CN"/>
        </w:rPr>
        <w:t>”</w:t>
      </w:r>
      <w:r>
        <w:rPr>
          <w:rFonts w:hint="eastAsia" w:ascii="宋体" w:hAnsi="宋体"/>
          <w:b/>
          <w:bCs/>
          <w:color w:val="auto"/>
          <w:szCs w:val="21"/>
          <w:highlight w:val="none"/>
          <w:lang w:val="zh-CN"/>
        </w:rPr>
        <w:t>是指</w:t>
      </w:r>
      <w:r>
        <w:rPr>
          <w:rFonts w:hint="eastAsia" w:ascii="宋体" w:hAnsi="宋体"/>
          <w:b/>
          <w:color w:val="auto"/>
          <w:szCs w:val="21"/>
          <w:highlight w:val="none"/>
          <w:lang w:val="zh-CN"/>
        </w:rPr>
        <w:t>：</w:t>
      </w:r>
      <w:r>
        <w:rPr>
          <w:rFonts w:hint="eastAsia" w:ascii="宋体" w:hAnsi="宋体"/>
          <w:color w:val="auto"/>
          <w:szCs w:val="21"/>
          <w:highlight w:val="none"/>
          <w:lang w:val="zh-CN"/>
        </w:rPr>
        <w:t>根据《国务院办公厅关于在政府采购中实施本国产品标准及相关政策的通知》（国办发〔2025〕34号）、《关于贯彻落实《国务院办公厅关于在政府采购中实施本国产品标准及相关政策的通知》的意见》（财库〔2025〕30号）等要求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投标人对其提供的产品出具《关于符合本国产品标准的声明函》或财政部会同有关部门规定的有关证明文件，是其产品享受政府采购对本国产品支持政策的先决条件。</w:t>
      </w:r>
    </w:p>
    <w:p w14:paraId="328F2A66">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项目属性定义</w:t>
      </w:r>
    </w:p>
    <w:p w14:paraId="42B8EA2A">
      <w:pPr>
        <w:pageBreakBefore w:val="0"/>
        <w:widowControl w:val="0"/>
        <w:numPr>
          <w:ilvl w:val="0"/>
          <w:numId w:val="4"/>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“货物”是指</w:t>
      </w:r>
      <w:r>
        <w:rPr>
          <w:rFonts w:hint="eastAsia" w:ascii="宋体" w:hAnsi="宋体" w:eastAsia="宋体" w:cs="宋体"/>
          <w:color w:val="auto"/>
          <w:szCs w:val="21"/>
          <w:highlight w:val="none"/>
          <w:lang w:val="zh-CN"/>
        </w:rPr>
        <w:t>：各种形态和种类的物品，包括原材料、燃料、设备、产品等。</w:t>
      </w:r>
    </w:p>
    <w:p w14:paraId="288A0178">
      <w:pPr>
        <w:pageBreakBefore w:val="0"/>
        <w:widowControl w:val="0"/>
        <w:numPr>
          <w:ilvl w:val="0"/>
          <w:numId w:val="5"/>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招标文件中没有提及招标货物来源地的，根据《中华人民共和国政府采购法》及相关规定均应是本国货物，另有规定的除外。</w:t>
      </w:r>
    </w:p>
    <w:p w14:paraId="530005E2">
      <w:pPr>
        <w:pageBreakBefore w:val="0"/>
        <w:widowControl w:val="0"/>
        <w:numPr>
          <w:ilvl w:val="0"/>
          <w:numId w:val="5"/>
        </w:numPr>
        <w:kinsoku/>
        <w:wordWrap w:val="0"/>
        <w:overflowPunct/>
        <w:bidi w:val="0"/>
        <w:spacing w:line="276" w:lineRule="auto"/>
        <w:ind w:left="726" w:hanging="442"/>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投标的货物应是合法生产的符合国家有关标准要求的货物，并能够按照合同规定的品牌、产地、质量、价格和有效期等履约。</w:t>
      </w:r>
    </w:p>
    <w:p w14:paraId="08A557E0">
      <w:pPr>
        <w:pageBreakBefore w:val="0"/>
        <w:widowControl w:val="0"/>
        <w:numPr>
          <w:ilvl w:val="0"/>
          <w:numId w:val="4"/>
        </w:numPr>
        <w:kinsoku/>
        <w:wordWrap w:val="0"/>
        <w:overflowPunct/>
        <w:bidi w:val="0"/>
        <w:spacing w:line="276" w:lineRule="auto"/>
        <w:ind w:left="476" w:hanging="476"/>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“工程”是指</w:t>
      </w:r>
      <w:r>
        <w:rPr>
          <w:rFonts w:hint="eastAsia" w:ascii="宋体" w:hAnsi="宋体" w:eastAsia="宋体" w:cs="宋体"/>
          <w:color w:val="auto"/>
          <w:szCs w:val="21"/>
          <w:highlight w:val="none"/>
          <w:lang w:val="zh-CN"/>
        </w:rPr>
        <w:t>：与建筑物和构筑物的新建、改建、扩建及其相关的装修、拆除、修缮无关的工程。</w:t>
      </w:r>
    </w:p>
    <w:p w14:paraId="555D5F5B">
      <w:pPr>
        <w:pageBreakBefore w:val="0"/>
        <w:widowControl w:val="0"/>
        <w:numPr>
          <w:ilvl w:val="0"/>
          <w:numId w:val="4"/>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“服务”是指：</w:t>
      </w:r>
      <w:r>
        <w:rPr>
          <w:rFonts w:hint="eastAsia" w:ascii="宋体" w:hAnsi="宋体" w:eastAsia="宋体" w:cs="宋体"/>
          <w:color w:val="auto"/>
          <w:szCs w:val="21"/>
          <w:highlight w:val="none"/>
          <w:lang w:val="zh-CN"/>
        </w:rPr>
        <w:t>除前述“货物”和“工程”以外的其他政府采购对象</w:t>
      </w:r>
      <w:r>
        <w:rPr>
          <w:rFonts w:hint="eastAsia" w:ascii="宋体" w:hAnsi="宋体" w:cs="宋体"/>
          <w:color w:val="auto"/>
          <w:szCs w:val="21"/>
          <w:highlight w:val="none"/>
          <w:lang w:val="zh-CN"/>
        </w:rPr>
        <w:t>，</w:t>
      </w:r>
      <w:r>
        <w:rPr>
          <w:rFonts w:hint="eastAsia" w:ascii="宋体" w:hAnsi="宋体" w:eastAsia="宋体" w:cs="宋体"/>
          <w:color w:val="auto"/>
          <w:szCs w:val="21"/>
          <w:highlight w:val="none"/>
          <w:lang w:val="zh-CN"/>
        </w:rPr>
        <w:t>包括采购人自身需要的服务和采购人向社会公众提供的公共服务。</w:t>
      </w:r>
    </w:p>
    <w:p w14:paraId="6F760FF5">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费用</w:t>
      </w:r>
    </w:p>
    <w:p w14:paraId="3930C884">
      <w:pPr>
        <w:pageBreakBefore w:val="0"/>
        <w:widowControl w:val="0"/>
        <w:numPr>
          <w:ilvl w:val="0"/>
          <w:numId w:val="6"/>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投标人应承担所有与准备和参加投标有关的费用。不论投标的结果如何，采购人和采购代理机构均无义务和责任承担这些费用。</w:t>
      </w:r>
    </w:p>
    <w:p w14:paraId="480461DC">
      <w:pPr>
        <w:pageBreakBefore w:val="0"/>
        <w:widowControl w:val="0"/>
        <w:numPr>
          <w:ilvl w:val="0"/>
          <w:numId w:val="6"/>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中标人须在收到中标通知书时向采购代理机构支付代理服务费。服务费支付标准和方法详见《投标人须知前附表》。</w:t>
      </w:r>
    </w:p>
    <w:p w14:paraId="47C051C7">
      <w:pPr>
        <w:pageBreakBefore w:val="0"/>
        <w:widowControl w:val="0"/>
        <w:numPr>
          <w:ilvl w:val="0"/>
          <w:numId w:val="6"/>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原国家计委计价格[2002]1980号规定收费标准：</w:t>
      </w:r>
    </w:p>
    <w:tbl>
      <w:tblPr>
        <w:tblStyle w:val="25"/>
        <w:tblW w:w="4998" w:type="pct"/>
        <w:jc w:val="center"/>
        <w:tblLayout w:type="autofit"/>
        <w:tblCellMar>
          <w:top w:w="0" w:type="dxa"/>
          <w:left w:w="0" w:type="dxa"/>
          <w:bottom w:w="0" w:type="dxa"/>
          <w:right w:w="0" w:type="dxa"/>
        </w:tblCellMar>
      </w:tblPr>
      <w:tblGrid>
        <w:gridCol w:w="2765"/>
        <w:gridCol w:w="2330"/>
        <w:gridCol w:w="2073"/>
        <w:gridCol w:w="2486"/>
      </w:tblGrid>
      <w:tr w14:paraId="1A2F7570">
        <w:tblPrEx>
          <w:tblCellMar>
            <w:top w:w="0" w:type="dxa"/>
            <w:left w:w="0" w:type="dxa"/>
            <w:bottom w:w="0" w:type="dxa"/>
            <w:right w:w="0" w:type="dxa"/>
          </w:tblCellMar>
        </w:tblPrEx>
        <w:trPr>
          <w:trHeight w:val="340" w:hRule="atLeast"/>
          <w:tblHeader/>
          <w:jc w:val="center"/>
        </w:trPr>
        <w:tc>
          <w:tcPr>
            <w:tcW w:w="1432" w:type="pct"/>
            <w:tcBorders>
              <w:top w:val="single" w:color="auto" w:sz="4" w:space="0"/>
              <w:left w:val="single" w:color="auto" w:sz="8" w:space="0"/>
              <w:bottom w:val="single" w:color="auto" w:sz="8" w:space="0"/>
              <w:right w:val="single" w:color="auto" w:sz="8" w:space="0"/>
            </w:tcBorders>
            <w:vAlign w:val="center"/>
          </w:tcPr>
          <w:p w14:paraId="4091230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中标金额（万元）</w:t>
            </w:r>
          </w:p>
        </w:tc>
        <w:tc>
          <w:tcPr>
            <w:tcW w:w="1206" w:type="pct"/>
            <w:tcBorders>
              <w:top w:val="single" w:color="auto" w:sz="8" w:space="0"/>
              <w:left w:val="single" w:color="auto" w:sz="8" w:space="0"/>
              <w:bottom w:val="single" w:color="auto" w:sz="8" w:space="0"/>
              <w:right w:val="single" w:color="auto" w:sz="8" w:space="0"/>
            </w:tcBorders>
            <w:vAlign w:val="center"/>
          </w:tcPr>
          <w:p w14:paraId="6F07745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货物</w:t>
            </w:r>
          </w:p>
        </w:tc>
        <w:tc>
          <w:tcPr>
            <w:tcW w:w="1073" w:type="pct"/>
            <w:tcBorders>
              <w:top w:val="single" w:color="auto" w:sz="8" w:space="0"/>
              <w:left w:val="single" w:color="auto" w:sz="8" w:space="0"/>
              <w:bottom w:val="single" w:color="auto" w:sz="8" w:space="0"/>
              <w:right w:val="single" w:color="auto" w:sz="8" w:space="0"/>
            </w:tcBorders>
            <w:vAlign w:val="center"/>
          </w:tcPr>
          <w:p w14:paraId="78EFFE6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服务</w:t>
            </w:r>
          </w:p>
        </w:tc>
        <w:tc>
          <w:tcPr>
            <w:tcW w:w="1287" w:type="pct"/>
            <w:tcBorders>
              <w:top w:val="single" w:color="auto" w:sz="8" w:space="0"/>
              <w:left w:val="single" w:color="auto" w:sz="8" w:space="0"/>
              <w:bottom w:val="single" w:color="auto" w:sz="8" w:space="0"/>
              <w:right w:val="single" w:color="auto" w:sz="8" w:space="0"/>
            </w:tcBorders>
            <w:vAlign w:val="center"/>
          </w:tcPr>
          <w:p w14:paraId="0B851B1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工程</w:t>
            </w:r>
          </w:p>
        </w:tc>
      </w:tr>
      <w:tr w14:paraId="791F9958">
        <w:tblPrEx>
          <w:tblCellMar>
            <w:top w:w="0" w:type="dxa"/>
            <w:left w:w="0" w:type="dxa"/>
            <w:bottom w:w="0" w:type="dxa"/>
            <w:right w:w="0" w:type="dxa"/>
          </w:tblCellMar>
        </w:tblPrEx>
        <w:trPr>
          <w:trHeight w:val="340" w:hRule="atLeast"/>
          <w:jc w:val="center"/>
        </w:trPr>
        <w:tc>
          <w:tcPr>
            <w:tcW w:w="1432" w:type="pct"/>
            <w:tcBorders>
              <w:top w:val="single" w:color="auto" w:sz="8" w:space="0"/>
              <w:left w:val="single" w:color="auto" w:sz="8" w:space="0"/>
              <w:bottom w:val="single" w:color="auto" w:sz="8" w:space="0"/>
              <w:right w:val="single" w:color="auto" w:sz="8" w:space="0"/>
            </w:tcBorders>
            <w:vAlign w:val="center"/>
          </w:tcPr>
          <w:p w14:paraId="521655C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100以下</w:t>
            </w:r>
          </w:p>
        </w:tc>
        <w:tc>
          <w:tcPr>
            <w:tcW w:w="1206" w:type="pct"/>
            <w:tcBorders>
              <w:top w:val="single" w:color="auto" w:sz="8" w:space="0"/>
              <w:left w:val="single" w:color="auto" w:sz="8" w:space="0"/>
              <w:bottom w:val="single" w:color="auto" w:sz="8" w:space="0"/>
              <w:right w:val="single" w:color="auto" w:sz="8" w:space="0"/>
            </w:tcBorders>
            <w:vAlign w:val="center"/>
          </w:tcPr>
          <w:p w14:paraId="33A98E2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1073" w:type="pct"/>
            <w:tcBorders>
              <w:top w:val="single" w:color="auto" w:sz="8" w:space="0"/>
              <w:left w:val="single" w:color="auto" w:sz="8" w:space="0"/>
              <w:bottom w:val="single" w:color="auto" w:sz="8" w:space="0"/>
              <w:right w:val="single" w:color="auto" w:sz="8" w:space="0"/>
            </w:tcBorders>
            <w:vAlign w:val="center"/>
          </w:tcPr>
          <w:p w14:paraId="0A99FCA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1287" w:type="pct"/>
            <w:tcBorders>
              <w:top w:val="single" w:color="auto" w:sz="8" w:space="0"/>
              <w:left w:val="single" w:color="auto" w:sz="8" w:space="0"/>
              <w:bottom w:val="single" w:color="auto" w:sz="8" w:space="0"/>
              <w:right w:val="single" w:color="auto" w:sz="8" w:space="0"/>
            </w:tcBorders>
            <w:vAlign w:val="center"/>
          </w:tcPr>
          <w:p w14:paraId="19F3C0D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r>
      <w:tr w14:paraId="5DF4EDCC">
        <w:tblPrEx>
          <w:tblCellMar>
            <w:top w:w="0" w:type="dxa"/>
            <w:left w:w="0" w:type="dxa"/>
            <w:bottom w:w="0" w:type="dxa"/>
            <w:right w:w="0" w:type="dxa"/>
          </w:tblCellMar>
        </w:tblPrEx>
        <w:trPr>
          <w:trHeight w:val="340" w:hRule="atLeast"/>
          <w:jc w:val="center"/>
        </w:trPr>
        <w:tc>
          <w:tcPr>
            <w:tcW w:w="1432" w:type="pct"/>
            <w:tcBorders>
              <w:top w:val="single" w:color="auto" w:sz="8" w:space="0"/>
              <w:left w:val="single" w:color="auto" w:sz="8" w:space="0"/>
              <w:bottom w:val="single" w:color="auto" w:sz="8" w:space="0"/>
              <w:right w:val="single" w:color="auto" w:sz="8" w:space="0"/>
            </w:tcBorders>
            <w:vAlign w:val="center"/>
          </w:tcPr>
          <w:p w14:paraId="6140EC1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lOO-500</w:t>
            </w:r>
          </w:p>
        </w:tc>
        <w:tc>
          <w:tcPr>
            <w:tcW w:w="1206" w:type="pct"/>
            <w:tcBorders>
              <w:top w:val="single" w:color="auto" w:sz="8" w:space="0"/>
              <w:left w:val="single" w:color="auto" w:sz="8" w:space="0"/>
              <w:bottom w:val="single" w:color="auto" w:sz="8" w:space="0"/>
              <w:right w:val="single" w:color="auto" w:sz="8" w:space="0"/>
            </w:tcBorders>
            <w:vAlign w:val="center"/>
          </w:tcPr>
          <w:p w14:paraId="4666309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1073" w:type="pct"/>
            <w:tcBorders>
              <w:top w:val="single" w:color="auto" w:sz="8" w:space="0"/>
              <w:left w:val="single" w:color="auto" w:sz="8" w:space="0"/>
              <w:bottom w:val="single" w:color="auto" w:sz="8" w:space="0"/>
              <w:right w:val="single" w:color="auto" w:sz="8" w:space="0"/>
            </w:tcBorders>
            <w:vAlign w:val="center"/>
          </w:tcPr>
          <w:p w14:paraId="118F394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0.8%</w:t>
            </w:r>
          </w:p>
        </w:tc>
        <w:tc>
          <w:tcPr>
            <w:tcW w:w="1287" w:type="pct"/>
            <w:tcBorders>
              <w:top w:val="single" w:color="auto" w:sz="8" w:space="0"/>
              <w:left w:val="single" w:color="auto" w:sz="8" w:space="0"/>
              <w:bottom w:val="single" w:color="auto" w:sz="8" w:space="0"/>
              <w:right w:val="single" w:color="auto" w:sz="8" w:space="0"/>
            </w:tcBorders>
            <w:vAlign w:val="center"/>
          </w:tcPr>
          <w:p w14:paraId="616BC50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0.7%</w:t>
            </w:r>
          </w:p>
        </w:tc>
      </w:tr>
      <w:tr w14:paraId="7B692A11">
        <w:tblPrEx>
          <w:tblCellMar>
            <w:top w:w="0" w:type="dxa"/>
            <w:left w:w="0" w:type="dxa"/>
            <w:bottom w:w="0" w:type="dxa"/>
            <w:right w:w="0" w:type="dxa"/>
          </w:tblCellMar>
        </w:tblPrEx>
        <w:trPr>
          <w:trHeight w:val="340" w:hRule="atLeast"/>
          <w:jc w:val="center"/>
        </w:trPr>
        <w:tc>
          <w:tcPr>
            <w:tcW w:w="1432" w:type="pct"/>
            <w:tcBorders>
              <w:top w:val="single" w:color="auto" w:sz="8" w:space="0"/>
              <w:left w:val="single" w:color="auto" w:sz="8" w:space="0"/>
              <w:bottom w:val="single" w:color="auto" w:sz="8" w:space="0"/>
              <w:right w:val="single" w:color="auto" w:sz="8" w:space="0"/>
            </w:tcBorders>
            <w:vAlign w:val="center"/>
          </w:tcPr>
          <w:p w14:paraId="6D934F0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500-1000</w:t>
            </w:r>
          </w:p>
        </w:tc>
        <w:tc>
          <w:tcPr>
            <w:tcW w:w="1206" w:type="pct"/>
            <w:tcBorders>
              <w:top w:val="single" w:color="auto" w:sz="8" w:space="0"/>
              <w:left w:val="single" w:color="auto" w:sz="8" w:space="0"/>
              <w:bottom w:val="single" w:color="auto" w:sz="8" w:space="0"/>
              <w:right w:val="single" w:color="auto" w:sz="8" w:space="0"/>
            </w:tcBorders>
            <w:vAlign w:val="center"/>
          </w:tcPr>
          <w:p w14:paraId="71336A9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0.8%</w:t>
            </w:r>
          </w:p>
        </w:tc>
        <w:tc>
          <w:tcPr>
            <w:tcW w:w="1073" w:type="pct"/>
            <w:tcBorders>
              <w:top w:val="single" w:color="auto" w:sz="8" w:space="0"/>
              <w:left w:val="single" w:color="auto" w:sz="8" w:space="0"/>
              <w:bottom w:val="single" w:color="auto" w:sz="8" w:space="0"/>
              <w:right w:val="single" w:color="auto" w:sz="8" w:space="0"/>
            </w:tcBorders>
            <w:vAlign w:val="center"/>
          </w:tcPr>
          <w:p w14:paraId="0CFD7FD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0.45%</w:t>
            </w:r>
          </w:p>
        </w:tc>
        <w:tc>
          <w:tcPr>
            <w:tcW w:w="1287" w:type="pct"/>
            <w:tcBorders>
              <w:top w:val="single" w:color="auto" w:sz="8" w:space="0"/>
              <w:left w:val="single" w:color="auto" w:sz="8" w:space="0"/>
              <w:bottom w:val="single" w:color="auto" w:sz="8" w:space="0"/>
              <w:right w:val="single" w:color="auto" w:sz="8" w:space="0"/>
            </w:tcBorders>
            <w:vAlign w:val="center"/>
          </w:tcPr>
          <w:p w14:paraId="1F209B5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0.55%</w:t>
            </w:r>
          </w:p>
        </w:tc>
      </w:tr>
      <w:tr w14:paraId="207DDCB1">
        <w:tblPrEx>
          <w:tblCellMar>
            <w:top w:w="0" w:type="dxa"/>
            <w:left w:w="0" w:type="dxa"/>
            <w:bottom w:w="0" w:type="dxa"/>
            <w:right w:w="0" w:type="dxa"/>
          </w:tblCellMar>
        </w:tblPrEx>
        <w:trPr>
          <w:trHeight w:val="340" w:hRule="atLeast"/>
          <w:jc w:val="center"/>
        </w:trPr>
        <w:tc>
          <w:tcPr>
            <w:tcW w:w="1432" w:type="pct"/>
            <w:tcBorders>
              <w:top w:val="single" w:color="auto" w:sz="8" w:space="0"/>
              <w:left w:val="single" w:color="auto" w:sz="8" w:space="0"/>
              <w:bottom w:val="single" w:color="auto" w:sz="8" w:space="0"/>
              <w:right w:val="single" w:color="auto" w:sz="8" w:space="0"/>
            </w:tcBorders>
            <w:vAlign w:val="center"/>
          </w:tcPr>
          <w:p w14:paraId="57F9037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l000—5000</w:t>
            </w:r>
          </w:p>
        </w:tc>
        <w:tc>
          <w:tcPr>
            <w:tcW w:w="1206" w:type="pct"/>
            <w:tcBorders>
              <w:top w:val="single" w:color="auto" w:sz="8" w:space="0"/>
              <w:left w:val="single" w:color="auto" w:sz="8" w:space="0"/>
              <w:bottom w:val="single" w:color="auto" w:sz="8" w:space="0"/>
              <w:right w:val="single" w:color="auto" w:sz="8" w:space="0"/>
            </w:tcBorders>
            <w:vAlign w:val="center"/>
          </w:tcPr>
          <w:p w14:paraId="39473A4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0.5%</w:t>
            </w:r>
          </w:p>
        </w:tc>
        <w:tc>
          <w:tcPr>
            <w:tcW w:w="1073" w:type="pct"/>
            <w:tcBorders>
              <w:top w:val="single" w:color="auto" w:sz="8" w:space="0"/>
              <w:left w:val="single" w:color="auto" w:sz="8" w:space="0"/>
              <w:bottom w:val="single" w:color="auto" w:sz="8" w:space="0"/>
              <w:right w:val="single" w:color="auto" w:sz="8" w:space="0"/>
            </w:tcBorders>
            <w:vAlign w:val="center"/>
          </w:tcPr>
          <w:p w14:paraId="34FAD97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0.25%</w:t>
            </w:r>
          </w:p>
        </w:tc>
        <w:tc>
          <w:tcPr>
            <w:tcW w:w="1287" w:type="pct"/>
            <w:tcBorders>
              <w:top w:val="single" w:color="auto" w:sz="8" w:space="0"/>
              <w:left w:val="single" w:color="auto" w:sz="8" w:space="0"/>
              <w:bottom w:val="single" w:color="auto" w:sz="8" w:space="0"/>
              <w:right w:val="single" w:color="auto" w:sz="8" w:space="0"/>
            </w:tcBorders>
            <w:vAlign w:val="center"/>
          </w:tcPr>
          <w:p w14:paraId="6DBCABD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0.35%</w:t>
            </w:r>
          </w:p>
        </w:tc>
      </w:tr>
      <w:tr w14:paraId="6939A84C">
        <w:tblPrEx>
          <w:tblCellMar>
            <w:top w:w="0" w:type="dxa"/>
            <w:left w:w="0" w:type="dxa"/>
            <w:bottom w:w="0" w:type="dxa"/>
            <w:right w:w="0" w:type="dxa"/>
          </w:tblCellMar>
        </w:tblPrEx>
        <w:trPr>
          <w:trHeight w:val="340" w:hRule="atLeast"/>
          <w:jc w:val="center"/>
        </w:trPr>
        <w:tc>
          <w:tcPr>
            <w:tcW w:w="1432" w:type="pct"/>
            <w:tcBorders>
              <w:top w:val="single" w:color="auto" w:sz="8" w:space="0"/>
              <w:left w:val="single" w:color="auto" w:sz="8" w:space="0"/>
              <w:bottom w:val="single" w:color="auto" w:sz="8" w:space="0"/>
              <w:right w:val="single" w:color="auto" w:sz="8" w:space="0"/>
            </w:tcBorders>
            <w:vAlign w:val="center"/>
          </w:tcPr>
          <w:p w14:paraId="19108D1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5000-lOOOO</w:t>
            </w:r>
          </w:p>
        </w:tc>
        <w:tc>
          <w:tcPr>
            <w:tcW w:w="1206" w:type="pct"/>
            <w:tcBorders>
              <w:top w:val="single" w:color="auto" w:sz="8" w:space="0"/>
              <w:left w:val="single" w:color="auto" w:sz="8" w:space="0"/>
              <w:bottom w:val="single" w:color="auto" w:sz="8" w:space="0"/>
              <w:right w:val="single" w:color="auto" w:sz="8" w:space="0"/>
            </w:tcBorders>
            <w:vAlign w:val="center"/>
          </w:tcPr>
          <w:p w14:paraId="241541C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0.25%</w:t>
            </w:r>
          </w:p>
        </w:tc>
        <w:tc>
          <w:tcPr>
            <w:tcW w:w="1073" w:type="pct"/>
            <w:tcBorders>
              <w:top w:val="single" w:color="auto" w:sz="8" w:space="0"/>
              <w:left w:val="single" w:color="auto" w:sz="8" w:space="0"/>
              <w:bottom w:val="single" w:color="auto" w:sz="8" w:space="0"/>
              <w:right w:val="single" w:color="auto" w:sz="8" w:space="0"/>
            </w:tcBorders>
            <w:vAlign w:val="center"/>
          </w:tcPr>
          <w:p w14:paraId="5C905E1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0.1%</w:t>
            </w:r>
          </w:p>
        </w:tc>
        <w:tc>
          <w:tcPr>
            <w:tcW w:w="1287" w:type="pct"/>
            <w:tcBorders>
              <w:top w:val="single" w:color="auto" w:sz="8" w:space="0"/>
              <w:left w:val="single" w:color="auto" w:sz="8" w:space="0"/>
              <w:bottom w:val="single" w:color="auto" w:sz="8" w:space="0"/>
              <w:right w:val="single" w:color="auto" w:sz="8" w:space="0"/>
            </w:tcBorders>
            <w:vAlign w:val="center"/>
          </w:tcPr>
          <w:p w14:paraId="2057348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w:t>
            </w:r>
          </w:p>
        </w:tc>
      </w:tr>
      <w:tr w14:paraId="75B69054">
        <w:tblPrEx>
          <w:tblCellMar>
            <w:top w:w="0" w:type="dxa"/>
            <w:left w:w="0" w:type="dxa"/>
            <w:bottom w:w="0" w:type="dxa"/>
            <w:right w:w="0" w:type="dxa"/>
          </w:tblCellMar>
        </w:tblPrEx>
        <w:trPr>
          <w:trHeight w:val="340" w:hRule="atLeast"/>
          <w:jc w:val="center"/>
        </w:trPr>
        <w:tc>
          <w:tcPr>
            <w:tcW w:w="1432" w:type="pct"/>
            <w:tcBorders>
              <w:top w:val="single" w:color="auto" w:sz="8" w:space="0"/>
              <w:left w:val="single" w:color="auto" w:sz="8" w:space="0"/>
              <w:bottom w:val="single" w:color="auto" w:sz="8" w:space="0"/>
              <w:right w:val="single" w:color="auto" w:sz="8" w:space="0"/>
            </w:tcBorders>
            <w:vAlign w:val="center"/>
          </w:tcPr>
          <w:p w14:paraId="7AEB913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lOOOO-100000</w:t>
            </w:r>
          </w:p>
        </w:tc>
        <w:tc>
          <w:tcPr>
            <w:tcW w:w="1206" w:type="pct"/>
            <w:tcBorders>
              <w:top w:val="single" w:color="auto" w:sz="8" w:space="0"/>
              <w:left w:val="single" w:color="auto" w:sz="8" w:space="0"/>
              <w:bottom w:val="single" w:color="auto" w:sz="8" w:space="0"/>
              <w:right w:val="single" w:color="auto" w:sz="8" w:space="0"/>
            </w:tcBorders>
            <w:vAlign w:val="center"/>
          </w:tcPr>
          <w:p w14:paraId="522836A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0.05%</w:t>
            </w:r>
          </w:p>
        </w:tc>
        <w:tc>
          <w:tcPr>
            <w:tcW w:w="1073" w:type="pct"/>
            <w:tcBorders>
              <w:top w:val="single" w:color="auto" w:sz="8" w:space="0"/>
              <w:left w:val="single" w:color="auto" w:sz="8" w:space="0"/>
              <w:bottom w:val="single" w:color="auto" w:sz="8" w:space="0"/>
              <w:right w:val="single" w:color="auto" w:sz="8" w:space="0"/>
            </w:tcBorders>
            <w:vAlign w:val="center"/>
          </w:tcPr>
          <w:p w14:paraId="5ECA6F0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0.05%</w:t>
            </w:r>
          </w:p>
        </w:tc>
        <w:tc>
          <w:tcPr>
            <w:tcW w:w="1287" w:type="pct"/>
            <w:tcBorders>
              <w:top w:val="single" w:color="auto" w:sz="8" w:space="0"/>
              <w:left w:val="single" w:color="auto" w:sz="8" w:space="0"/>
              <w:bottom w:val="single" w:color="auto" w:sz="8" w:space="0"/>
              <w:right w:val="single" w:color="auto" w:sz="8" w:space="0"/>
            </w:tcBorders>
            <w:vAlign w:val="center"/>
          </w:tcPr>
          <w:p w14:paraId="160E23A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0.05%</w:t>
            </w:r>
          </w:p>
        </w:tc>
      </w:tr>
      <w:tr w14:paraId="5BFAFA0F">
        <w:tblPrEx>
          <w:tblCellMar>
            <w:top w:w="0" w:type="dxa"/>
            <w:left w:w="0" w:type="dxa"/>
            <w:bottom w:w="0" w:type="dxa"/>
            <w:right w:w="0" w:type="dxa"/>
          </w:tblCellMar>
        </w:tblPrEx>
        <w:trPr>
          <w:trHeight w:val="340" w:hRule="atLeast"/>
          <w:jc w:val="center"/>
        </w:trPr>
        <w:tc>
          <w:tcPr>
            <w:tcW w:w="1432" w:type="pct"/>
            <w:tcBorders>
              <w:top w:val="single" w:color="auto" w:sz="8" w:space="0"/>
              <w:left w:val="single" w:color="auto" w:sz="8" w:space="0"/>
              <w:bottom w:val="single" w:color="auto" w:sz="8" w:space="0"/>
              <w:right w:val="single" w:color="auto" w:sz="8" w:space="0"/>
            </w:tcBorders>
            <w:vAlign w:val="center"/>
          </w:tcPr>
          <w:p w14:paraId="1BEB35E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100000以上</w:t>
            </w:r>
          </w:p>
        </w:tc>
        <w:tc>
          <w:tcPr>
            <w:tcW w:w="1206" w:type="pct"/>
            <w:tcBorders>
              <w:top w:val="single" w:color="auto" w:sz="8" w:space="0"/>
              <w:left w:val="single" w:color="auto" w:sz="8" w:space="0"/>
              <w:bottom w:val="single" w:color="auto" w:sz="8" w:space="0"/>
              <w:right w:val="single" w:color="auto" w:sz="8" w:space="0"/>
            </w:tcBorders>
            <w:vAlign w:val="center"/>
          </w:tcPr>
          <w:p w14:paraId="09D2437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0.01%</w:t>
            </w:r>
          </w:p>
        </w:tc>
        <w:tc>
          <w:tcPr>
            <w:tcW w:w="1073" w:type="pct"/>
            <w:tcBorders>
              <w:top w:val="single" w:color="auto" w:sz="8" w:space="0"/>
              <w:left w:val="single" w:color="auto" w:sz="8" w:space="0"/>
              <w:bottom w:val="single" w:color="auto" w:sz="8" w:space="0"/>
              <w:right w:val="single" w:color="auto" w:sz="8" w:space="0"/>
            </w:tcBorders>
            <w:vAlign w:val="center"/>
          </w:tcPr>
          <w:p w14:paraId="4D20C68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0.01%</w:t>
            </w:r>
          </w:p>
        </w:tc>
        <w:tc>
          <w:tcPr>
            <w:tcW w:w="1287" w:type="pct"/>
            <w:tcBorders>
              <w:top w:val="single" w:color="auto" w:sz="8" w:space="0"/>
              <w:left w:val="single" w:color="auto" w:sz="8" w:space="0"/>
              <w:bottom w:val="single" w:color="auto" w:sz="8" w:space="0"/>
              <w:right w:val="single" w:color="auto" w:sz="8" w:space="0"/>
            </w:tcBorders>
            <w:vAlign w:val="center"/>
          </w:tcPr>
          <w:p w14:paraId="63C896F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0.01%</w:t>
            </w:r>
          </w:p>
        </w:tc>
      </w:tr>
    </w:tbl>
    <w:p w14:paraId="7D385980">
      <w:pPr>
        <w:pageBreakBefore w:val="0"/>
        <w:widowControl w:val="0"/>
        <w:kinsoku/>
        <w:wordWrap w:val="0"/>
        <w:overflowPunct/>
        <w:bidi w:val="0"/>
        <w:snapToGrid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注：代理服务收费按差额定率累进法计算。例如：某</w:t>
      </w:r>
      <w:r>
        <w:rPr>
          <w:rFonts w:hint="eastAsia" w:ascii="宋体" w:hAnsi="宋体" w:eastAsia="宋体" w:cs="宋体"/>
          <w:b/>
          <w:color w:val="auto"/>
          <w:szCs w:val="21"/>
          <w:highlight w:val="none"/>
        </w:rPr>
        <w:t>货物</w:t>
      </w:r>
      <w:r>
        <w:rPr>
          <w:rFonts w:hint="eastAsia" w:ascii="宋体" w:hAnsi="宋体" w:eastAsia="宋体" w:cs="宋体"/>
          <w:color w:val="auto"/>
          <w:szCs w:val="21"/>
          <w:highlight w:val="none"/>
        </w:rPr>
        <w:t>招标项目中标金额为600万元，计算代理服务收费金额如下：</w:t>
      </w:r>
    </w:p>
    <w:p w14:paraId="479C6C71">
      <w:pPr>
        <w:pageBreakBefore w:val="0"/>
        <w:widowControl w:val="0"/>
        <w:kinsoku/>
        <w:wordWrap w:val="0"/>
        <w:overflowPunct/>
        <w:bidi w:val="0"/>
        <w:snapToGrid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100万元×1.5%=1.5万元</w:t>
      </w:r>
    </w:p>
    <w:p w14:paraId="0CA4DBE6">
      <w:pPr>
        <w:pageBreakBefore w:val="0"/>
        <w:widowControl w:val="0"/>
        <w:kinsoku/>
        <w:wordWrap w:val="0"/>
        <w:overflowPunct/>
        <w:bidi w:val="0"/>
        <w:snapToGrid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(500-100)万元×1.1%=4.4万元</w:t>
      </w:r>
    </w:p>
    <w:p w14:paraId="045DCBCF">
      <w:pPr>
        <w:pageBreakBefore w:val="0"/>
        <w:widowControl w:val="0"/>
        <w:kinsoku/>
        <w:wordWrap w:val="0"/>
        <w:overflowPunct/>
        <w:bidi w:val="0"/>
        <w:snapToGrid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(600-500)万元×0.8%=0.8万元</w:t>
      </w:r>
    </w:p>
    <w:p w14:paraId="624CCB80">
      <w:pPr>
        <w:pageBreakBefore w:val="0"/>
        <w:widowControl w:val="0"/>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合计收费=1.5+4.4+0.8=6.7万元</w:t>
      </w:r>
    </w:p>
    <w:p w14:paraId="1A77EBC7">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28" w:name="_Toc13330"/>
      <w:r>
        <w:rPr>
          <w:rFonts w:hint="eastAsia" w:ascii="宋体" w:hAnsi="宋体" w:eastAsia="宋体" w:cs="宋体"/>
          <w:b/>
          <w:color w:val="auto"/>
          <w:kern w:val="0"/>
          <w:szCs w:val="21"/>
          <w:highlight w:val="none"/>
          <w:lang w:val="zh-CN"/>
        </w:rPr>
        <w:t>招标文件</w:t>
      </w:r>
      <w:bookmarkEnd w:id="28"/>
    </w:p>
    <w:p w14:paraId="36EF88EE">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招标文件的构成</w:t>
      </w:r>
    </w:p>
    <w:p w14:paraId="63912263">
      <w:pPr>
        <w:pageBreakBefore w:val="0"/>
        <w:widowControl w:val="0"/>
        <w:tabs>
          <w:tab w:val="left" w:pos="476"/>
        </w:tabs>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第一章招标公告（投标邀请书）</w:t>
      </w:r>
    </w:p>
    <w:p w14:paraId="559BCC6A">
      <w:pPr>
        <w:pageBreakBefore w:val="0"/>
        <w:widowControl w:val="0"/>
        <w:tabs>
          <w:tab w:val="left" w:pos="476"/>
        </w:tabs>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第二章投标人须知</w:t>
      </w:r>
    </w:p>
    <w:p w14:paraId="54EAB54D">
      <w:pPr>
        <w:pageBreakBefore w:val="0"/>
        <w:widowControl w:val="0"/>
        <w:tabs>
          <w:tab w:val="left" w:pos="476"/>
        </w:tabs>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第三章技术、服务及商务要求</w:t>
      </w:r>
    </w:p>
    <w:p w14:paraId="7AD0D122">
      <w:pPr>
        <w:pageBreakBefore w:val="0"/>
        <w:widowControl w:val="0"/>
        <w:tabs>
          <w:tab w:val="left" w:pos="476"/>
        </w:tabs>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第四章资格审查方法及标准</w:t>
      </w:r>
    </w:p>
    <w:p w14:paraId="3D62C551">
      <w:pPr>
        <w:pageBreakBefore w:val="0"/>
        <w:widowControl w:val="0"/>
        <w:tabs>
          <w:tab w:val="left" w:pos="476"/>
        </w:tabs>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第五章评标方法、程序及标准</w:t>
      </w:r>
    </w:p>
    <w:p w14:paraId="251C7403">
      <w:pPr>
        <w:pageBreakBefore w:val="0"/>
        <w:widowControl w:val="0"/>
        <w:tabs>
          <w:tab w:val="left" w:pos="476"/>
        </w:tabs>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第六章合同书格式</w:t>
      </w:r>
    </w:p>
    <w:p w14:paraId="3482D094">
      <w:pPr>
        <w:pageBreakBefore w:val="0"/>
        <w:widowControl w:val="0"/>
        <w:tabs>
          <w:tab w:val="left" w:pos="476"/>
        </w:tabs>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第七章投标文件格式</w:t>
      </w:r>
    </w:p>
    <w:p w14:paraId="4C6DC7EC">
      <w:pPr>
        <w:pageBreakBefore w:val="0"/>
        <w:widowControl w:val="0"/>
        <w:tabs>
          <w:tab w:val="left" w:pos="476"/>
        </w:tabs>
        <w:kinsoku/>
        <w:wordWrap w:val="0"/>
        <w:overflowPunct/>
        <w:bidi w:val="0"/>
        <w:spacing w:line="276" w:lineRule="auto"/>
        <w:ind w:left="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其他在招标过程中由采购代理机构发出的澄清、修改和补充文件等</w:t>
      </w:r>
    </w:p>
    <w:p w14:paraId="4FB6212D">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招标文件疑问的提交</w:t>
      </w:r>
    </w:p>
    <w:p w14:paraId="560F11A4">
      <w:pPr>
        <w:pageBreakBefore w:val="0"/>
        <w:widowControl w:val="0"/>
        <w:numPr>
          <w:ilvl w:val="0"/>
          <w:numId w:val="7"/>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潜在投标人</w:t>
      </w:r>
      <w:r>
        <w:rPr>
          <w:rFonts w:hint="eastAsia" w:ascii="宋体" w:hAnsi="宋体" w:eastAsia="宋体" w:cs="宋体"/>
          <w:color w:val="auto"/>
          <w:szCs w:val="21"/>
          <w:highlight w:val="none"/>
        </w:rPr>
        <w:t>获取招标文件后，应认真检查，如发现页数不全、附件缺失、印刷模糊等，应及时通知采购代理机构补全或更换，否则风险自负。</w:t>
      </w:r>
    </w:p>
    <w:p w14:paraId="3CD9D782">
      <w:pPr>
        <w:pageBreakBefore w:val="0"/>
        <w:widowControl w:val="0"/>
        <w:numPr>
          <w:ilvl w:val="0"/>
          <w:numId w:val="7"/>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潜在投标人对招标文件有疑问的，可以向采购代理机构提出询问，或在6.3规定的时间前以书面形式向采购代理机构提交疑问函。</w:t>
      </w:r>
    </w:p>
    <w:p w14:paraId="0C6DF873">
      <w:pPr>
        <w:pageBreakBefore w:val="0"/>
        <w:widowControl w:val="0"/>
        <w:numPr>
          <w:ilvl w:val="0"/>
          <w:numId w:val="7"/>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eastAsia="宋体" w:cs="宋体"/>
          <w:color w:val="auto"/>
          <w:szCs w:val="21"/>
          <w:highlight w:val="none"/>
          <w:lang w:val="zh-CN"/>
        </w:rPr>
        <w:t>。</w:t>
      </w:r>
    </w:p>
    <w:p w14:paraId="7AA37657">
      <w:pPr>
        <w:pageBreakBefore w:val="0"/>
        <w:widowControl w:val="0"/>
        <w:numPr>
          <w:ilvl w:val="0"/>
          <w:numId w:val="7"/>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对潜在投标人提交的疑问，采购代理机构和采购人将以书面形式（或网上公告）给所有获取招标文件的潜在投标人予以答复（答复中不包括问题的来源）</w:t>
      </w:r>
      <w:r>
        <w:rPr>
          <w:rFonts w:hint="eastAsia" w:ascii="宋体" w:hAnsi="宋体" w:cs="宋体"/>
          <w:color w:val="auto"/>
          <w:szCs w:val="21"/>
          <w:highlight w:val="none"/>
          <w:lang w:val="zh-CN"/>
        </w:rPr>
        <w:t>，</w:t>
      </w:r>
      <w:r>
        <w:rPr>
          <w:rFonts w:hint="eastAsia" w:ascii="宋体" w:hAnsi="宋体" w:eastAsia="宋体" w:cs="宋体"/>
          <w:color w:val="auto"/>
          <w:szCs w:val="21"/>
          <w:highlight w:val="none"/>
          <w:lang w:val="zh-CN"/>
        </w:rPr>
        <w:t>采购代理机构和采购人认为必要时可召开答疑会，并将会议内容告知所有潜在投标人。</w:t>
      </w:r>
    </w:p>
    <w:p w14:paraId="5F036459">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招标文件的澄清、修改</w:t>
      </w:r>
    </w:p>
    <w:p w14:paraId="294E0276">
      <w:pPr>
        <w:pageBreakBefore w:val="0"/>
        <w:widowControl w:val="0"/>
        <w:numPr>
          <w:ilvl w:val="0"/>
          <w:numId w:val="8"/>
        </w:numPr>
        <w:kinsoku/>
        <w:wordWrap w:val="0"/>
        <w:overflowPunct/>
        <w:bidi w:val="0"/>
        <w:spacing w:line="276" w:lineRule="auto"/>
        <w:ind w:left="476" w:hanging="476"/>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采购人和采购代理机构可以对已发出的招标文件进行必要的澄清或者修改。</w:t>
      </w:r>
      <w:r>
        <w:rPr>
          <w:rFonts w:hint="eastAsia" w:ascii="宋体" w:hAnsi="宋体" w:eastAsia="宋体" w:cs="宋体"/>
          <w:color w:val="auto"/>
          <w:kern w:val="0"/>
          <w:szCs w:val="21"/>
          <w:highlight w:val="none"/>
          <w:lang w:val="zh-CN"/>
        </w:rPr>
        <w:t>澄清或者修改将在原公告发布媒体上发布。澄清或者修改的内容可能影响投标文件编制的，采购人和采购代理机构将在投标截止时间至少</w:t>
      </w:r>
      <w:r>
        <w:rPr>
          <w:rFonts w:hint="eastAsia" w:ascii="宋体" w:hAnsi="宋体" w:eastAsia="宋体" w:cs="宋体"/>
          <w:color w:val="auto"/>
          <w:szCs w:val="21"/>
          <w:highlight w:val="none"/>
          <w:lang w:val="zh-CN"/>
        </w:rPr>
        <w:t>15</w:t>
      </w:r>
      <w:r>
        <w:rPr>
          <w:rFonts w:hint="eastAsia" w:ascii="宋体" w:hAnsi="宋体" w:eastAsia="宋体" w:cs="宋体"/>
          <w:color w:val="auto"/>
          <w:kern w:val="0"/>
          <w:szCs w:val="21"/>
          <w:highlight w:val="none"/>
          <w:lang w:val="zh-CN"/>
        </w:rPr>
        <w:t>日前，以书面形式通知所有获取招标文件的潜在投标人。</w:t>
      </w:r>
    </w:p>
    <w:p w14:paraId="4206C8CC">
      <w:pPr>
        <w:pageBreakBefore w:val="0"/>
        <w:widowControl w:val="0"/>
        <w:numPr>
          <w:ilvl w:val="0"/>
          <w:numId w:val="8"/>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5F5AD114">
      <w:pPr>
        <w:pageBreakBefore w:val="0"/>
        <w:widowControl w:val="0"/>
        <w:numPr>
          <w:ilvl w:val="0"/>
          <w:numId w:val="8"/>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澄清或者修改的内容为招标文件的组成部分，并对潜在投标人具有约束力。潜在投标人在收到上述通知后，应立即以书面形式向采购代理机构确认收悉。</w:t>
      </w:r>
    </w:p>
    <w:p w14:paraId="28124D2B">
      <w:pPr>
        <w:pageBreakBefore w:val="0"/>
        <w:widowControl w:val="0"/>
        <w:numPr>
          <w:ilvl w:val="0"/>
          <w:numId w:val="8"/>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招标文件中如有描述歧义或前后不一致的地方，评标委员会有权按公平、合理的原则进行评判，对同一条款的评判标准适用于每个投标人。</w:t>
      </w:r>
    </w:p>
    <w:p w14:paraId="4A1F3B1C">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现场考察</w:t>
      </w:r>
    </w:p>
    <w:p w14:paraId="7AB73148">
      <w:pPr>
        <w:pageBreakBefore w:val="0"/>
        <w:widowControl w:val="0"/>
        <w:numPr>
          <w:ilvl w:val="0"/>
          <w:numId w:val="9"/>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194E484C">
      <w:pPr>
        <w:pageBreakBefore w:val="0"/>
        <w:widowControl w:val="0"/>
        <w:numPr>
          <w:ilvl w:val="0"/>
          <w:numId w:val="9"/>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采购人向潜在投标人提供有关现场的数据和资料，是采购人现有的能被潜在投标人利用的客观资料，采购人对潜在投标人依此作出的任何推论、理解和结论均不负责任。</w:t>
      </w:r>
    </w:p>
    <w:p w14:paraId="660923B0">
      <w:pPr>
        <w:pageBreakBefore w:val="0"/>
        <w:widowControl w:val="0"/>
        <w:numPr>
          <w:ilvl w:val="0"/>
          <w:numId w:val="9"/>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经采购人允许，潜在投标人可进入项目现场进行考察，但潜在投标人不得因此使采购人承担有关责任和蒙受损失。潜在投标人应自行承担现场考察的全部费用、责任和风险。</w:t>
      </w:r>
    </w:p>
    <w:p w14:paraId="0F488EE3">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29" w:name="_Toc494561940"/>
      <w:bookmarkStart w:id="30" w:name="_Toc272247696"/>
      <w:bookmarkStart w:id="31" w:name="_Toc15058"/>
      <w:bookmarkStart w:id="32" w:name="_Toc278891593"/>
      <w:r>
        <w:rPr>
          <w:rFonts w:hint="eastAsia" w:ascii="宋体" w:hAnsi="宋体" w:eastAsia="宋体" w:cs="宋体"/>
          <w:b/>
          <w:color w:val="auto"/>
          <w:kern w:val="0"/>
          <w:szCs w:val="21"/>
          <w:highlight w:val="none"/>
          <w:lang w:val="zh-CN"/>
        </w:rPr>
        <w:t>投标文件</w:t>
      </w:r>
      <w:bookmarkEnd w:id="29"/>
      <w:bookmarkEnd w:id="30"/>
      <w:bookmarkEnd w:id="31"/>
      <w:bookmarkEnd w:id="32"/>
    </w:p>
    <w:p w14:paraId="5E381700">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投标的语言和计量单位</w:t>
      </w:r>
    </w:p>
    <w:p w14:paraId="497B7F42">
      <w:pPr>
        <w:pageBreakBefore w:val="0"/>
        <w:widowControl w:val="0"/>
        <w:numPr>
          <w:ilvl w:val="0"/>
          <w:numId w:val="10"/>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69DC79DD">
      <w:pPr>
        <w:pageBreakBefore w:val="0"/>
        <w:widowControl w:val="0"/>
        <w:numPr>
          <w:ilvl w:val="0"/>
          <w:numId w:val="10"/>
        </w:numPr>
        <w:kinsoku/>
        <w:wordWrap w:val="0"/>
        <w:overflowPunct/>
        <w:bidi w:val="0"/>
        <w:spacing w:line="276" w:lineRule="auto"/>
        <w:ind w:left="476" w:hanging="47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除非招标文件</w:t>
      </w:r>
      <w:r>
        <w:rPr>
          <w:rFonts w:hint="eastAsia" w:ascii="宋体" w:hAnsi="宋体" w:eastAsia="宋体" w:cs="宋体"/>
          <w:color w:val="auto"/>
          <w:szCs w:val="21"/>
          <w:highlight w:val="none"/>
        </w:rPr>
        <w:t>中另有规定，计量单位均采用中华人民共和国法定的计量单位。</w:t>
      </w:r>
    </w:p>
    <w:p w14:paraId="00A9DCCE">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投标文件的构成</w:t>
      </w:r>
    </w:p>
    <w:p w14:paraId="33F2B6CA">
      <w:pPr>
        <w:pageBreakBefore w:val="0"/>
        <w:widowControl w:val="0"/>
        <w:numPr>
          <w:ilvl w:val="0"/>
          <w:numId w:val="11"/>
        </w:numPr>
        <w:kinsoku/>
        <w:wordWrap w:val="0"/>
        <w:overflowPunct/>
        <w:bidi w:val="0"/>
        <w:spacing w:line="276" w:lineRule="auto"/>
        <w:ind w:left="567" w:hanging="567"/>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投标人编制的投标文件应包括但不限于本文件第七章投标文件格式要求提供的内容。</w:t>
      </w:r>
    </w:p>
    <w:p w14:paraId="699627C5">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投标文件编制</w:t>
      </w:r>
    </w:p>
    <w:p w14:paraId="367AAA23">
      <w:pPr>
        <w:pageBreakBefore w:val="0"/>
        <w:widowControl w:val="0"/>
        <w:numPr>
          <w:ilvl w:val="0"/>
          <w:numId w:val="12"/>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如本项目包含多个标包，投标人拟参与多个标包投标的，应按每标包要求分别编制、装订和封装（“装订和封装”指招标文件规定接收投标文件的情况）投标文件，并注明对应包号。</w:t>
      </w:r>
    </w:p>
    <w:p w14:paraId="2B83FFAD">
      <w:pPr>
        <w:pageBreakBefore w:val="0"/>
        <w:widowControl w:val="0"/>
        <w:numPr>
          <w:ilvl w:val="0"/>
          <w:numId w:val="12"/>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投标人应认真阅读并充分理解招标文件的全部内容（包括所有的澄清、修改和补充文件），并对招标文件提出的条件和要求作出明确响应</w:t>
      </w:r>
      <w:r>
        <w:rPr>
          <w:rFonts w:hint="eastAsia" w:ascii="宋体" w:hAnsi="宋体" w:eastAsia="宋体" w:cs="宋体"/>
          <w:color w:val="auto"/>
          <w:szCs w:val="21"/>
          <w:highlight w:val="none"/>
        </w:rPr>
        <w:t>。如因投标人只填写和提供了招标文件要求的部分内容和附件，而给评审造成困难，其可能导致的结果和责任由投标人自行承担。</w:t>
      </w:r>
    </w:p>
    <w:p w14:paraId="37A5CF66">
      <w:pPr>
        <w:pageBreakBefore w:val="0"/>
        <w:widowControl w:val="0"/>
        <w:numPr>
          <w:ilvl w:val="0"/>
          <w:numId w:val="12"/>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投标人应按照招标文件第七章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eastAsia="宋体" w:cs="宋体"/>
          <w:b/>
          <w:color w:val="auto"/>
          <w:szCs w:val="21"/>
          <w:highlight w:val="none"/>
          <w:lang w:val="zh-CN"/>
        </w:rPr>
        <w:t>“无”、“不适用”、“未测试”、“没有相应指标”</w:t>
      </w:r>
      <w:r>
        <w:rPr>
          <w:rFonts w:hint="eastAsia" w:ascii="宋体" w:hAnsi="宋体" w:eastAsia="宋体" w:cs="宋体"/>
          <w:color w:val="auto"/>
          <w:szCs w:val="21"/>
          <w:highlight w:val="none"/>
          <w:lang w:val="zh-CN"/>
        </w:rPr>
        <w:t>等文字。如招标文件未规定格式的，相关格式由投标人自定。</w:t>
      </w:r>
    </w:p>
    <w:p w14:paraId="6497C8A3">
      <w:pPr>
        <w:pageBreakBefore w:val="0"/>
        <w:widowControl w:val="0"/>
        <w:numPr>
          <w:ilvl w:val="0"/>
          <w:numId w:val="12"/>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1C0C055F">
      <w:pPr>
        <w:pageBreakBefore w:val="0"/>
        <w:widowControl w:val="0"/>
        <w:numPr>
          <w:ilvl w:val="0"/>
          <w:numId w:val="12"/>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投标人应</w:t>
      </w:r>
      <w:r>
        <w:rPr>
          <w:rFonts w:hint="eastAsia" w:ascii="宋体" w:hAnsi="宋体" w:eastAsia="宋体" w:cs="宋体"/>
          <w:color w:val="auto"/>
          <w:szCs w:val="21"/>
          <w:highlight w:val="none"/>
          <w:lang w:val="zh-CN"/>
        </w:rPr>
        <w:t>对所提交全部资料的真实性</w:t>
      </w:r>
      <w:r>
        <w:rPr>
          <w:rFonts w:hint="eastAsia" w:ascii="宋体" w:hAnsi="宋体" w:eastAsia="宋体" w:cs="宋体"/>
          <w:color w:val="auto"/>
          <w:szCs w:val="21"/>
          <w:highlight w:val="none"/>
        </w:rPr>
        <w:t>、合法性承担法律责任，</w:t>
      </w:r>
      <w:r>
        <w:rPr>
          <w:rFonts w:hint="eastAsia" w:ascii="宋体" w:hAnsi="宋体" w:eastAsia="宋体" w:cs="宋体"/>
          <w:color w:val="auto"/>
          <w:szCs w:val="21"/>
          <w:highlight w:val="none"/>
          <w:lang w:val="zh-CN"/>
        </w:rPr>
        <w:t>如有虚假，将依法承担相应责任。投标人应自觉接受采购人或采购代理机构对其中任何资料进一步核实的要求。</w:t>
      </w:r>
    </w:p>
    <w:p w14:paraId="7E6BEFE5">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投标报价</w:t>
      </w:r>
    </w:p>
    <w:p w14:paraId="11A80EC8">
      <w:pPr>
        <w:pageBreakBefore w:val="0"/>
        <w:widowControl w:val="0"/>
        <w:numPr>
          <w:ilvl w:val="0"/>
          <w:numId w:val="13"/>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除非招标文件另有要求，投标人所提供的货物（工程或服务）</w:t>
      </w:r>
      <w:r>
        <w:rPr>
          <w:rFonts w:hint="eastAsia" w:ascii="宋体" w:hAnsi="宋体" w:eastAsia="宋体" w:cs="宋体"/>
          <w:snapToGrid w:val="0"/>
          <w:color w:val="auto"/>
          <w:szCs w:val="21"/>
          <w:highlight w:val="none"/>
          <w:lang w:val="zh-CN"/>
        </w:rPr>
        <w:t>均应以人民币作为货币单位</w:t>
      </w:r>
      <w:r>
        <w:rPr>
          <w:rFonts w:hint="eastAsia" w:ascii="宋体" w:hAnsi="宋体" w:eastAsia="宋体" w:cs="宋体"/>
          <w:color w:val="auto"/>
          <w:szCs w:val="21"/>
          <w:highlight w:val="none"/>
          <w:lang w:val="zh-CN"/>
        </w:rPr>
        <w:t>。</w:t>
      </w:r>
    </w:p>
    <w:p w14:paraId="22BCDC36">
      <w:pPr>
        <w:pageBreakBefore w:val="0"/>
        <w:widowControl w:val="0"/>
        <w:numPr>
          <w:ilvl w:val="0"/>
          <w:numId w:val="13"/>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招标文件允许以多种货币报价的，在进行价格评审时，以投标文件递交当日中国银行总行首次发布的外币对人民币的现汇卖出价进行报价货币对人民币的转换以计算评审价格。</w:t>
      </w:r>
    </w:p>
    <w:p w14:paraId="0AC49D9D">
      <w:pPr>
        <w:pageBreakBefore w:val="0"/>
        <w:widowControl w:val="0"/>
        <w:numPr>
          <w:ilvl w:val="0"/>
          <w:numId w:val="13"/>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本采购项目预算金额详见第一章招标公告（投标邀请书）。投标人的报价不得超过该预算金额，</w:t>
      </w:r>
      <w:r>
        <w:rPr>
          <w:rFonts w:hint="eastAsia" w:ascii="宋体" w:hAnsi="宋体" w:eastAsia="宋体" w:cs="宋体"/>
          <w:b/>
          <w:color w:val="auto"/>
          <w:szCs w:val="21"/>
          <w:highlight w:val="none"/>
          <w:lang w:val="zh-CN"/>
        </w:rPr>
        <w:t>否则按无效投标处理</w:t>
      </w:r>
      <w:r>
        <w:rPr>
          <w:rFonts w:hint="eastAsia" w:ascii="宋体" w:hAnsi="宋体" w:eastAsia="宋体" w:cs="宋体"/>
          <w:color w:val="auto"/>
          <w:szCs w:val="21"/>
          <w:highlight w:val="none"/>
          <w:lang w:val="zh-CN"/>
        </w:rPr>
        <w:t>。招标文件设置了最高限价的，投标人的报价不得超过最高限价，</w:t>
      </w:r>
      <w:r>
        <w:rPr>
          <w:rFonts w:hint="eastAsia" w:ascii="宋体" w:hAnsi="宋体" w:eastAsia="宋体" w:cs="宋体"/>
          <w:b/>
          <w:bCs/>
          <w:color w:val="auto"/>
          <w:szCs w:val="21"/>
          <w:highlight w:val="none"/>
          <w:lang w:val="zh-CN"/>
        </w:rPr>
        <w:t>否则按无效投标处理。</w:t>
      </w:r>
      <w:r>
        <w:rPr>
          <w:rFonts w:hint="eastAsia" w:ascii="宋体" w:hAnsi="宋体" w:eastAsia="宋体" w:cs="宋体"/>
          <w:color w:val="auto"/>
          <w:szCs w:val="21"/>
          <w:highlight w:val="none"/>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0C030F31">
      <w:pPr>
        <w:pageBreakBefore w:val="0"/>
        <w:widowControl w:val="0"/>
        <w:numPr>
          <w:ilvl w:val="0"/>
          <w:numId w:val="13"/>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eastAsia="宋体" w:cs="宋体"/>
          <w:b/>
          <w:color w:val="auto"/>
          <w:szCs w:val="21"/>
          <w:highlight w:val="none"/>
          <w:lang w:val="zh-CN"/>
        </w:rPr>
        <w:t>报价中不得缺、漏项或只投其中的部分内容，否则按照无效投标处理</w:t>
      </w:r>
      <w:r>
        <w:rPr>
          <w:rFonts w:hint="eastAsia" w:ascii="宋体" w:hAnsi="宋体" w:eastAsia="宋体" w:cs="宋体"/>
          <w:color w:val="auto"/>
          <w:szCs w:val="21"/>
          <w:highlight w:val="none"/>
          <w:lang w:val="zh-CN"/>
        </w:rPr>
        <w:t>。</w:t>
      </w:r>
    </w:p>
    <w:p w14:paraId="1E1042FB">
      <w:pPr>
        <w:pageBreakBefore w:val="0"/>
        <w:widowControl w:val="0"/>
        <w:numPr>
          <w:ilvl w:val="0"/>
          <w:numId w:val="13"/>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对于招标文件未列明，而投标人认为必需的其他费用也需列入其投标总价。在合同实施时，采购人将不予支付投标人没有列入的项目费用，并认为此项目的费用已包括在其投标总价中。</w:t>
      </w:r>
    </w:p>
    <w:p w14:paraId="32ECE146">
      <w:pPr>
        <w:pageBreakBefore w:val="0"/>
        <w:widowControl w:val="0"/>
        <w:numPr>
          <w:ilvl w:val="0"/>
          <w:numId w:val="13"/>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每一种规格的货物（工程或服务）只允许有一个报价，</w:t>
      </w:r>
      <w:r>
        <w:rPr>
          <w:rFonts w:hint="eastAsia" w:ascii="宋体" w:hAnsi="宋体" w:eastAsia="宋体" w:cs="宋体"/>
          <w:b/>
          <w:color w:val="auto"/>
          <w:szCs w:val="21"/>
          <w:highlight w:val="none"/>
          <w:lang w:val="zh-CN"/>
        </w:rPr>
        <w:t>否则按照无效投标处理</w:t>
      </w:r>
      <w:r>
        <w:rPr>
          <w:rFonts w:hint="eastAsia" w:ascii="宋体" w:hAnsi="宋体" w:eastAsia="宋体" w:cs="宋体"/>
          <w:color w:val="auto"/>
          <w:szCs w:val="21"/>
          <w:highlight w:val="none"/>
          <w:lang w:val="zh-CN"/>
        </w:rPr>
        <w:t>。</w:t>
      </w:r>
    </w:p>
    <w:p w14:paraId="02D5D0B9">
      <w:pPr>
        <w:pageBreakBefore w:val="0"/>
        <w:widowControl w:val="0"/>
        <w:numPr>
          <w:ilvl w:val="0"/>
          <w:numId w:val="13"/>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7927EF2B">
      <w:pPr>
        <w:pageBreakBefore w:val="0"/>
        <w:widowControl w:val="0"/>
        <w:numPr>
          <w:ilvl w:val="0"/>
          <w:numId w:val="13"/>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snapToGrid w:val="0"/>
          <w:color w:val="auto"/>
          <w:szCs w:val="21"/>
          <w:highlight w:val="none"/>
          <w:lang w:val="zh-CN"/>
        </w:rPr>
        <w:t>中标人负责本项目所需的售后服务等全部工作，招标文件另有规定的除外。</w:t>
      </w:r>
    </w:p>
    <w:p w14:paraId="34545563">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备选方案</w:t>
      </w:r>
    </w:p>
    <w:p w14:paraId="6D3A56CA">
      <w:pPr>
        <w:pageBreakBefore w:val="0"/>
        <w:widowControl w:val="0"/>
        <w:numPr>
          <w:ilvl w:val="0"/>
          <w:numId w:val="14"/>
        </w:numPr>
        <w:kinsoku/>
        <w:wordWrap w:val="0"/>
        <w:overflowPunct/>
        <w:bidi w:val="0"/>
        <w:spacing w:line="276" w:lineRule="auto"/>
        <w:ind w:left="567"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只允许投标人提供一个投标方案（招标文件中要求提供备选方案的除外），</w:t>
      </w:r>
      <w:r>
        <w:rPr>
          <w:rFonts w:hint="eastAsia" w:ascii="宋体" w:hAnsi="宋体" w:eastAsia="宋体" w:cs="宋体"/>
          <w:b/>
          <w:color w:val="auto"/>
          <w:szCs w:val="21"/>
          <w:highlight w:val="none"/>
          <w:lang w:val="zh-CN"/>
        </w:rPr>
        <w:t>否则按照无效投标处理</w:t>
      </w:r>
      <w:r>
        <w:rPr>
          <w:rFonts w:hint="eastAsia" w:ascii="宋体" w:hAnsi="宋体" w:eastAsia="宋体" w:cs="宋体"/>
          <w:color w:val="auto"/>
          <w:szCs w:val="21"/>
          <w:highlight w:val="none"/>
          <w:lang w:val="zh-CN"/>
        </w:rPr>
        <w:t>。</w:t>
      </w:r>
    </w:p>
    <w:p w14:paraId="0E6559D2">
      <w:pPr>
        <w:pageBreakBefore w:val="0"/>
        <w:widowControl w:val="0"/>
        <w:numPr>
          <w:ilvl w:val="0"/>
          <w:numId w:val="14"/>
        </w:numPr>
        <w:kinsoku/>
        <w:wordWrap w:val="0"/>
        <w:overflowPunct/>
        <w:bidi w:val="0"/>
        <w:spacing w:line="276" w:lineRule="auto"/>
        <w:ind w:left="567"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42E7B8F9">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中标后分包</w:t>
      </w:r>
    </w:p>
    <w:p w14:paraId="4589C092">
      <w:pPr>
        <w:pageBreakBefore w:val="0"/>
        <w:widowControl w:val="0"/>
        <w:numPr>
          <w:ilvl w:val="0"/>
          <w:numId w:val="15"/>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本项目是否允许中标后分包详见《投标人须知前附表》。</w:t>
      </w:r>
    </w:p>
    <w:p w14:paraId="6EE3638E">
      <w:pPr>
        <w:pageBreakBefore w:val="0"/>
        <w:widowControl w:val="0"/>
        <w:numPr>
          <w:ilvl w:val="0"/>
          <w:numId w:val="15"/>
        </w:numPr>
        <w:kinsoku/>
        <w:wordWrap w:val="0"/>
        <w:overflowPunct/>
        <w:bidi w:val="0"/>
        <w:spacing w:line="276" w:lineRule="auto"/>
        <w:ind w:left="567" w:hanging="567"/>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3239206F">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联合体投标</w:t>
      </w:r>
    </w:p>
    <w:p w14:paraId="120C4AD0">
      <w:pPr>
        <w:pageBreakBefore w:val="0"/>
        <w:widowControl w:val="0"/>
        <w:numPr>
          <w:ilvl w:val="0"/>
          <w:numId w:val="1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本项目是否允许联合体投标详见《投标人须知前附表》。</w:t>
      </w:r>
    </w:p>
    <w:p w14:paraId="57AC8714">
      <w:pPr>
        <w:pageBreakBefore w:val="0"/>
        <w:widowControl w:val="0"/>
        <w:numPr>
          <w:ilvl w:val="0"/>
          <w:numId w:val="1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两个以上的自然人、法人或者其他组织可以组成一个联合体，以一个投标人的身份共同参加政府采购。</w:t>
      </w:r>
    </w:p>
    <w:p w14:paraId="6E499178">
      <w:pPr>
        <w:pageBreakBefore w:val="0"/>
        <w:widowControl w:val="0"/>
        <w:numPr>
          <w:ilvl w:val="0"/>
          <w:numId w:val="16"/>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以联合体形式进行政府采购的，参加联合体的投标人均应当具备《中华人民共和国政府采购法》第二十二条规定的条件，并应当向采购人提交</w:t>
      </w:r>
      <w:r>
        <w:rPr>
          <w:rFonts w:hint="eastAsia" w:ascii="宋体" w:hAnsi="宋体" w:eastAsia="宋体" w:cs="宋体"/>
          <w:color w:val="auto"/>
          <w:highlight w:val="none"/>
        </w:rPr>
        <w:t>联合体协议书</w:t>
      </w:r>
      <w:r>
        <w:rPr>
          <w:rFonts w:hint="eastAsia" w:ascii="宋体" w:hAnsi="宋体" w:eastAsia="宋体" w:cs="宋体"/>
          <w:color w:val="auto"/>
          <w:szCs w:val="21"/>
          <w:highlight w:val="none"/>
          <w:lang w:val="zh-CN"/>
        </w:rPr>
        <w:t>，载明联合体各方承担的工作和义务。</w:t>
      </w:r>
    </w:p>
    <w:p w14:paraId="22CEC87C">
      <w:pPr>
        <w:pageBreakBefore w:val="0"/>
        <w:widowControl w:val="0"/>
        <w:numPr>
          <w:ilvl w:val="0"/>
          <w:numId w:val="1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以联合体形式参加政府采购活动的，联合体各方不得再单独参加或者与其他投标人另外组成联合体参加同一合同项下的政府采购活动。</w:t>
      </w:r>
    </w:p>
    <w:p w14:paraId="34D8A5C9">
      <w:pPr>
        <w:pageBreakBefore w:val="0"/>
        <w:widowControl w:val="0"/>
        <w:numPr>
          <w:ilvl w:val="0"/>
          <w:numId w:val="1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联合体中标的，联合体各方应当共同与采购人签订采购合同，</w:t>
      </w:r>
      <w:r>
        <w:rPr>
          <w:rFonts w:hint="eastAsia" w:ascii="宋体" w:hAnsi="宋体" w:eastAsia="宋体" w:cs="宋体"/>
          <w:color w:val="auto"/>
          <w:szCs w:val="21"/>
          <w:highlight w:val="none"/>
        </w:rPr>
        <w:t>就采购合同约定的事项对采购人承担连带责任</w:t>
      </w:r>
      <w:r>
        <w:rPr>
          <w:rFonts w:hint="eastAsia" w:ascii="宋体" w:hAnsi="宋体" w:eastAsia="宋体" w:cs="宋体"/>
          <w:color w:val="auto"/>
          <w:szCs w:val="21"/>
          <w:highlight w:val="none"/>
          <w:lang w:val="zh-CN"/>
        </w:rPr>
        <w:t>。</w:t>
      </w:r>
    </w:p>
    <w:p w14:paraId="3382EBE8">
      <w:pPr>
        <w:pageBreakBefore w:val="0"/>
        <w:widowControl w:val="0"/>
        <w:numPr>
          <w:ilvl w:val="0"/>
          <w:numId w:val="1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联合体中有同类资质的投标人按照联合体分工承担相同工作的，应当按照资质等级较低的投标人确定资质等级。</w:t>
      </w:r>
    </w:p>
    <w:p w14:paraId="5F960508">
      <w:pPr>
        <w:pageBreakBefore w:val="0"/>
        <w:widowControl w:val="0"/>
        <w:numPr>
          <w:ilvl w:val="0"/>
          <w:numId w:val="1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以联合体形式参与投标的，其政府采购政策价格扣除相关规定详见第五章“评标方法、程序及标准”。</w:t>
      </w:r>
    </w:p>
    <w:p w14:paraId="47D56532">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资格证明文件</w:t>
      </w:r>
    </w:p>
    <w:p w14:paraId="1D8A2DDC">
      <w:pPr>
        <w:pageBreakBefore w:val="0"/>
        <w:widowControl w:val="0"/>
        <w:numPr>
          <w:ilvl w:val="0"/>
          <w:numId w:val="1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投标人应按本节及第四章资格审查方法及标准中《资格审查表》的要求，提供足以证明其符合资格要求且中标后有能力履行合同的文件，并作为其投标文件的组成部分。</w:t>
      </w:r>
    </w:p>
    <w:p w14:paraId="1458B181">
      <w:pPr>
        <w:pageBreakBefore w:val="0"/>
        <w:widowControl w:val="0"/>
        <w:numPr>
          <w:ilvl w:val="0"/>
          <w:numId w:val="1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证明材料仅限于投标人单位本身，母公司、股东单位和子公司的材料不能作为证明材料，但投标人单位兼并的企业的材料可作为证明材料。</w:t>
      </w:r>
    </w:p>
    <w:p w14:paraId="504B3377">
      <w:pPr>
        <w:pageBreakBefore w:val="0"/>
        <w:widowControl w:val="0"/>
        <w:numPr>
          <w:ilvl w:val="0"/>
          <w:numId w:val="1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资格证明文件正本应为原件清晰复印件，</w:t>
      </w:r>
      <w:r>
        <w:rPr>
          <w:rFonts w:hint="eastAsia" w:ascii="宋体" w:hAnsi="宋体" w:eastAsia="宋体" w:cs="宋体"/>
          <w:b/>
          <w:color w:val="auto"/>
          <w:szCs w:val="21"/>
          <w:highlight w:val="none"/>
          <w:lang w:val="zh-CN"/>
        </w:rPr>
        <w:t>否则按照无效投标处理</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副本可为正本的复印件。</w:t>
      </w:r>
    </w:p>
    <w:p w14:paraId="738CBA8D">
      <w:pPr>
        <w:pageBreakBefore w:val="0"/>
        <w:widowControl w:val="0"/>
        <w:numPr>
          <w:ilvl w:val="0"/>
          <w:numId w:val="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投标保证金</w:t>
      </w:r>
    </w:p>
    <w:p w14:paraId="2D3B1008">
      <w:pPr>
        <w:pageBreakBefore w:val="0"/>
        <w:widowControl w:val="0"/>
        <w:numPr>
          <w:ilvl w:val="0"/>
          <w:numId w:val="18"/>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是否交纳投标保证金及递交要求详见本章《投标人须知前附表》。</w:t>
      </w:r>
    </w:p>
    <w:p w14:paraId="6FE97157">
      <w:pPr>
        <w:pageBreakBefore w:val="0"/>
        <w:widowControl w:val="0"/>
        <w:numPr>
          <w:ilvl w:val="0"/>
          <w:numId w:val="18"/>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招标文件要求交纳保证金的，投标人应在投标文件中提供已交纳保证金的凭证。投标人</w:t>
      </w:r>
      <w:r>
        <w:rPr>
          <w:rFonts w:hint="eastAsia" w:ascii="宋体" w:hAnsi="宋体" w:eastAsia="宋体" w:cs="宋体"/>
          <w:b/>
          <w:color w:val="auto"/>
          <w:szCs w:val="21"/>
          <w:highlight w:val="none"/>
          <w:lang w:val="zh-CN"/>
        </w:rPr>
        <w:t>同时参加多个标包投标的，应按标包分别交纳投标保证金。</w:t>
      </w:r>
      <w:r>
        <w:rPr>
          <w:rFonts w:hint="eastAsia" w:ascii="宋体" w:hAnsi="宋体" w:eastAsia="宋体" w:cs="宋体"/>
          <w:color w:val="auto"/>
          <w:szCs w:val="21"/>
          <w:highlight w:val="none"/>
          <w:lang w:val="zh-CN"/>
        </w:rPr>
        <w:t>投标人应在投标文件递交截止时间前，按规定将投标保证金汇入招标文件指定专用账户。</w:t>
      </w:r>
    </w:p>
    <w:p w14:paraId="1EC362A4">
      <w:pPr>
        <w:pageBreakBefore w:val="0"/>
        <w:widowControl w:val="0"/>
        <w:numPr>
          <w:ilvl w:val="0"/>
          <w:numId w:val="18"/>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投标保证金应按以下方式递交：</w:t>
      </w:r>
    </w:p>
    <w:p w14:paraId="22A73FB0">
      <w:pPr>
        <w:pageBreakBefore w:val="0"/>
        <w:widowControl w:val="0"/>
        <w:numPr>
          <w:ilvl w:val="0"/>
          <w:numId w:val="19"/>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应以电汇或网上银行方式汇入保证金账户，不得以个人名义、不得以现金方式交纳。</w:t>
      </w:r>
    </w:p>
    <w:p w14:paraId="076308B0">
      <w:pPr>
        <w:pageBreakBefore w:val="0"/>
        <w:widowControl w:val="0"/>
        <w:numPr>
          <w:ilvl w:val="0"/>
          <w:numId w:val="19"/>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到账时间以到达指定账户时间为准。</w:t>
      </w:r>
    </w:p>
    <w:p w14:paraId="579CC6AE">
      <w:pPr>
        <w:pageBreakBefore w:val="0"/>
        <w:widowControl w:val="0"/>
        <w:numPr>
          <w:ilvl w:val="0"/>
          <w:numId w:val="18"/>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未按招标文件要求递交投标保证金，或交纳保证金的账户名称与投标人名称不一致的按照无效投标处理</w:t>
      </w:r>
      <w:r>
        <w:rPr>
          <w:rFonts w:hint="eastAsia" w:ascii="宋体" w:hAnsi="宋体" w:eastAsia="宋体" w:cs="宋体"/>
          <w:color w:val="auto"/>
          <w:szCs w:val="21"/>
          <w:highlight w:val="none"/>
          <w:lang w:val="zh-CN"/>
        </w:rPr>
        <w:t>。</w:t>
      </w:r>
    </w:p>
    <w:p w14:paraId="0C062146">
      <w:pPr>
        <w:pageBreakBefore w:val="0"/>
        <w:widowControl w:val="0"/>
        <w:numPr>
          <w:ilvl w:val="0"/>
          <w:numId w:val="18"/>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采购代理机构将在自中标通知书发出之日起</w:t>
      </w:r>
      <w:r>
        <w:rPr>
          <w:rFonts w:hint="eastAsia" w:ascii="宋体" w:hAnsi="宋体" w:eastAsia="宋体" w:cs="宋体"/>
          <w:b/>
          <w:color w:val="auto"/>
          <w:szCs w:val="21"/>
          <w:highlight w:val="none"/>
          <w:lang w:val="zh-CN"/>
        </w:rPr>
        <w:t>5</w:t>
      </w:r>
      <w:r>
        <w:rPr>
          <w:rFonts w:hint="eastAsia" w:ascii="宋体" w:hAnsi="宋体" w:eastAsia="宋体" w:cs="宋体"/>
          <w:color w:val="auto"/>
          <w:szCs w:val="21"/>
          <w:highlight w:val="none"/>
          <w:lang w:val="zh-CN"/>
        </w:rPr>
        <w:t>个工作日内（如无质疑或投诉）退还未中标人的投标保证金；自政府采购合同签订之日起</w:t>
      </w:r>
      <w:r>
        <w:rPr>
          <w:rFonts w:hint="eastAsia" w:ascii="宋体" w:hAnsi="宋体" w:eastAsia="宋体" w:cs="宋体"/>
          <w:b/>
          <w:color w:val="auto"/>
          <w:szCs w:val="21"/>
          <w:highlight w:val="none"/>
          <w:lang w:val="zh-CN"/>
        </w:rPr>
        <w:t>5</w:t>
      </w:r>
      <w:r>
        <w:rPr>
          <w:rFonts w:hint="eastAsia" w:ascii="宋体" w:hAnsi="宋体" w:eastAsia="宋体" w:cs="宋体"/>
          <w:color w:val="auto"/>
          <w:szCs w:val="21"/>
          <w:highlight w:val="none"/>
          <w:lang w:val="zh-CN"/>
        </w:rPr>
        <w:t>个工作日内退还中标人的投标保证金。</w:t>
      </w:r>
    </w:p>
    <w:p w14:paraId="365FD270">
      <w:pPr>
        <w:pageBreakBefore w:val="0"/>
        <w:widowControl w:val="0"/>
        <w:numPr>
          <w:ilvl w:val="0"/>
          <w:numId w:val="18"/>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5ABB6D4F">
      <w:pPr>
        <w:pageBreakBefore w:val="0"/>
        <w:widowControl w:val="0"/>
        <w:numPr>
          <w:ilvl w:val="0"/>
          <w:numId w:val="18"/>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投标保证金将直接退还至投标人交纳时的账户，不以现金方式退还。</w:t>
      </w:r>
    </w:p>
    <w:p w14:paraId="5ABBE075">
      <w:pPr>
        <w:pageBreakBefore w:val="0"/>
        <w:widowControl w:val="0"/>
        <w:numPr>
          <w:ilvl w:val="0"/>
          <w:numId w:val="18"/>
        </w:numPr>
        <w:kinsoku/>
        <w:wordWrap w:val="0"/>
        <w:overflowPunct/>
        <w:bidi w:val="0"/>
        <w:spacing w:line="276" w:lineRule="auto"/>
        <w:ind w:left="616" w:hanging="616"/>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投标人有下列情形之一的，其投标保证金不予退还：</w:t>
      </w:r>
    </w:p>
    <w:p w14:paraId="6087A44A">
      <w:pPr>
        <w:pageBreakBefore w:val="0"/>
        <w:widowControl w:val="0"/>
        <w:numPr>
          <w:ilvl w:val="0"/>
          <w:numId w:val="20"/>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在投标文件有效期内撤销投标文件的；</w:t>
      </w:r>
    </w:p>
    <w:p w14:paraId="63C9F65F">
      <w:pPr>
        <w:pageBreakBefore w:val="0"/>
        <w:widowControl w:val="0"/>
        <w:numPr>
          <w:ilvl w:val="0"/>
          <w:numId w:val="20"/>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在投标文件中提供虚假材料的；</w:t>
      </w:r>
    </w:p>
    <w:p w14:paraId="5EC5979C">
      <w:pPr>
        <w:pageBreakBefore w:val="0"/>
        <w:widowControl w:val="0"/>
        <w:numPr>
          <w:ilvl w:val="0"/>
          <w:numId w:val="20"/>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中标后无正当理由拒绝签订政府采购合同的；</w:t>
      </w:r>
    </w:p>
    <w:p w14:paraId="67B67A66">
      <w:pPr>
        <w:pageBreakBefore w:val="0"/>
        <w:widowControl w:val="0"/>
        <w:numPr>
          <w:ilvl w:val="0"/>
          <w:numId w:val="20"/>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串通投标、恶意串通的；</w:t>
      </w:r>
    </w:p>
    <w:p w14:paraId="4ADC443B">
      <w:pPr>
        <w:pageBreakBefore w:val="0"/>
        <w:widowControl w:val="0"/>
        <w:numPr>
          <w:ilvl w:val="0"/>
          <w:numId w:val="20"/>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法律、法规和招标文件中规定的其它不予退还投标保证金的情形。</w:t>
      </w:r>
    </w:p>
    <w:p w14:paraId="1E137B2E">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投标有效期</w:t>
      </w:r>
    </w:p>
    <w:p w14:paraId="33B64770">
      <w:pPr>
        <w:pageBreakBefore w:val="0"/>
        <w:widowControl w:val="0"/>
        <w:numPr>
          <w:ilvl w:val="0"/>
          <w:numId w:val="21"/>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投标有效期详见本章《投标人须知前附表》中的规定。</w:t>
      </w:r>
      <w:r>
        <w:rPr>
          <w:rFonts w:hint="eastAsia" w:ascii="宋体" w:hAnsi="宋体" w:eastAsia="宋体" w:cs="宋体"/>
          <w:color w:val="auto"/>
          <w:kern w:val="0"/>
          <w:szCs w:val="21"/>
          <w:highlight w:val="none"/>
          <w:lang w:val="zh-CN"/>
        </w:rPr>
        <w:t>投标文件中承诺的投标有效期应当不少于招标文件中载明的投标有效期。</w:t>
      </w:r>
      <w:r>
        <w:rPr>
          <w:rFonts w:hint="eastAsia" w:ascii="宋体" w:hAnsi="宋体" w:eastAsia="宋体" w:cs="宋体"/>
          <w:b/>
          <w:color w:val="auto"/>
          <w:kern w:val="0"/>
          <w:szCs w:val="21"/>
          <w:highlight w:val="none"/>
          <w:lang w:val="zh-CN"/>
        </w:rPr>
        <w:t>投标有效期不足的，</w:t>
      </w:r>
      <w:r>
        <w:rPr>
          <w:rFonts w:hint="eastAsia" w:ascii="宋体" w:hAnsi="宋体" w:eastAsia="宋体" w:cs="宋体"/>
          <w:b/>
          <w:color w:val="auto"/>
          <w:szCs w:val="21"/>
          <w:highlight w:val="none"/>
          <w:lang w:val="zh-CN"/>
        </w:rPr>
        <w:t>按照无效投标处理。</w:t>
      </w:r>
    </w:p>
    <w:p w14:paraId="7F5E9DB4">
      <w:pPr>
        <w:pageBreakBefore w:val="0"/>
        <w:widowControl w:val="0"/>
        <w:numPr>
          <w:ilvl w:val="0"/>
          <w:numId w:val="21"/>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15967BDA">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投标文件形式、样品及现场演示</w:t>
      </w:r>
    </w:p>
    <w:p w14:paraId="34809A13">
      <w:pPr>
        <w:pageBreakBefore w:val="0"/>
        <w:widowControl w:val="0"/>
        <w:kinsoku/>
        <w:wordWrap w:val="0"/>
        <w:overflowPunct/>
        <w:bidi w:val="0"/>
        <w:spacing w:line="276" w:lineRule="auto"/>
        <w:ind w:left="567" w:hanging="567" w:hangingChars="27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w:t>
      </w:r>
      <w:r>
        <w:rPr>
          <w:rFonts w:hint="eastAsia" w:ascii="宋体" w:hAnsi="宋体" w:eastAsia="宋体" w:cs="宋体"/>
          <w:b/>
          <w:color w:val="auto"/>
          <w:szCs w:val="21"/>
          <w:highlight w:val="none"/>
        </w:rPr>
        <w:t>投标文件形式</w:t>
      </w:r>
    </w:p>
    <w:p w14:paraId="01A7242A">
      <w:pPr>
        <w:pageBreakBefore w:val="0"/>
        <w:widowControl w:val="0"/>
        <w:numPr>
          <w:ilvl w:val="0"/>
          <w:numId w:val="2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snapToGrid w:val="0"/>
          <w:color w:val="auto"/>
          <w:szCs w:val="21"/>
          <w:highlight w:val="none"/>
          <w:lang w:val="zh-CN"/>
        </w:rPr>
        <w:t>投标文件</w:t>
      </w:r>
      <w:r>
        <w:rPr>
          <w:rFonts w:hint="eastAsia" w:ascii="宋体" w:hAnsi="宋体" w:eastAsia="宋体" w:cs="宋体"/>
          <w:color w:val="auto"/>
          <w:szCs w:val="21"/>
          <w:highlight w:val="none"/>
          <w:lang w:val="zh-CN"/>
        </w:rPr>
        <w:t>包括正本、副本及单独提供的法定代表人授权委托书（或法定代表人身份证明书）。</w:t>
      </w:r>
    </w:p>
    <w:p w14:paraId="6F66DD9D">
      <w:pPr>
        <w:pageBreakBefore w:val="0"/>
        <w:widowControl w:val="0"/>
        <w:numPr>
          <w:ilvl w:val="0"/>
          <w:numId w:val="2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20D9BBFC">
      <w:pPr>
        <w:pageBreakBefore w:val="0"/>
        <w:widowControl w:val="0"/>
        <w:numPr>
          <w:ilvl w:val="0"/>
          <w:numId w:val="22"/>
        </w:numPr>
        <w:kinsoku/>
        <w:wordWrap w:val="0"/>
        <w:overflowPunct/>
        <w:bidi w:val="0"/>
        <w:spacing w:line="276" w:lineRule="auto"/>
        <w:rPr>
          <w:rFonts w:hint="eastAsia" w:ascii="宋体" w:hAnsi="宋体" w:eastAsia="宋体" w:cs="宋体"/>
          <w:snapToGrid w:val="0"/>
          <w:color w:val="auto"/>
          <w:szCs w:val="21"/>
          <w:highlight w:val="none"/>
          <w:lang w:val="zh-CN"/>
        </w:rPr>
      </w:pPr>
      <w:r>
        <w:rPr>
          <w:rFonts w:hint="eastAsia" w:ascii="宋体" w:hAnsi="宋体" w:eastAsia="宋体" w:cs="宋体"/>
          <w:color w:val="auto"/>
          <w:szCs w:val="21"/>
          <w:highlight w:val="none"/>
          <w:lang w:val="zh-CN"/>
        </w:rPr>
        <w:t>投标文件</w:t>
      </w:r>
      <w:r>
        <w:rPr>
          <w:rFonts w:hint="eastAsia" w:ascii="宋体" w:hAnsi="宋体" w:eastAsia="宋体" w:cs="宋体"/>
          <w:snapToGrid w:val="0"/>
          <w:color w:val="auto"/>
          <w:szCs w:val="21"/>
          <w:highlight w:val="none"/>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164BCF54">
      <w:pPr>
        <w:pageBreakBefore w:val="0"/>
        <w:widowControl w:val="0"/>
        <w:numPr>
          <w:ilvl w:val="0"/>
          <w:numId w:val="2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snapToGrid w:val="0"/>
          <w:color w:val="auto"/>
          <w:szCs w:val="21"/>
          <w:highlight w:val="none"/>
          <w:lang w:val="zh-CN"/>
        </w:rPr>
        <w:t>投标文</w:t>
      </w:r>
      <w:r>
        <w:rPr>
          <w:rFonts w:hint="eastAsia" w:ascii="宋体" w:hAnsi="宋体" w:eastAsia="宋体" w:cs="宋体"/>
          <w:color w:val="auto"/>
          <w:szCs w:val="21"/>
          <w:highlight w:val="none"/>
          <w:lang w:val="zh-CN"/>
        </w:rPr>
        <w:t>件中的任何行间插字、涂改和增删，必须由法定代表人或授权代表在旁边签名才有效。</w:t>
      </w:r>
    </w:p>
    <w:p w14:paraId="43247692">
      <w:pPr>
        <w:pageBreakBefore w:val="0"/>
        <w:widowControl w:val="0"/>
        <w:numPr>
          <w:ilvl w:val="0"/>
          <w:numId w:val="2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投标文件应当采用不可拆卸的方法装订，对未经装订的投标文件可能发生的文件散落或缺损及由此产生的后果由投标人承担。</w:t>
      </w:r>
    </w:p>
    <w:p w14:paraId="05EFC5CA">
      <w:pPr>
        <w:pageBreakBefore w:val="0"/>
        <w:widowControl w:val="0"/>
        <w:numPr>
          <w:ilvl w:val="0"/>
          <w:numId w:val="2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投标文件正本、副本应进行密封包装，封包加盖投标人公章，并注明项目编号、包号、项目名称、投标人名称及“（**时间）前不得启封”的字样。</w:t>
      </w:r>
    </w:p>
    <w:p w14:paraId="0E0550FF">
      <w:pPr>
        <w:pageBreakBefore w:val="0"/>
        <w:widowControl w:val="0"/>
        <w:numPr>
          <w:ilvl w:val="0"/>
          <w:numId w:val="22"/>
        </w:numPr>
        <w:kinsoku/>
        <w:wordWrap w:val="0"/>
        <w:overflowPunct/>
        <w:bidi w:val="0"/>
        <w:spacing w:line="276" w:lineRule="auto"/>
        <w:rPr>
          <w:rFonts w:hint="eastAsia" w:ascii="宋体" w:hAnsi="宋体" w:eastAsia="宋体" w:cs="宋体"/>
          <w:snapToGrid w:val="0"/>
          <w:color w:val="auto"/>
          <w:szCs w:val="21"/>
          <w:highlight w:val="none"/>
          <w:lang w:val="zh-CN"/>
        </w:rPr>
      </w:pPr>
      <w:r>
        <w:rPr>
          <w:rFonts w:hint="eastAsia" w:ascii="宋体" w:hAnsi="宋体" w:eastAsia="宋体" w:cs="宋体"/>
          <w:color w:val="auto"/>
          <w:szCs w:val="21"/>
          <w:highlight w:val="none"/>
          <w:lang w:val="zh-CN"/>
        </w:rPr>
        <w:t>如果未按要</w:t>
      </w:r>
      <w:r>
        <w:rPr>
          <w:rFonts w:hint="eastAsia" w:ascii="宋体" w:hAnsi="宋体" w:eastAsia="宋体" w:cs="宋体"/>
          <w:color w:val="auto"/>
          <w:szCs w:val="21"/>
          <w:highlight w:val="none"/>
        </w:rPr>
        <w:t>求密封或加写标记存在错误</w:t>
      </w:r>
      <w:r>
        <w:rPr>
          <w:rFonts w:hint="eastAsia" w:ascii="宋体" w:hAnsi="宋体" w:eastAsia="宋体" w:cs="宋体"/>
          <w:color w:val="auto"/>
          <w:szCs w:val="21"/>
          <w:highlight w:val="none"/>
          <w:lang w:val="zh-CN"/>
        </w:rPr>
        <w:t>，采购代理机构对其误投或提前启封概不负责。</w:t>
      </w:r>
    </w:p>
    <w:p w14:paraId="3AB9AE41">
      <w:pPr>
        <w:pageBreakBefore w:val="0"/>
        <w:widowControl w:val="0"/>
        <w:kinsoku/>
        <w:wordWrap w:val="0"/>
        <w:overflowPunct/>
        <w:bidi w:val="0"/>
        <w:spacing w:line="276" w:lineRule="auto"/>
        <w:ind w:left="567" w:hanging="567" w:hangingChars="270"/>
        <w:rPr>
          <w:rFonts w:hint="eastAsia" w:ascii="宋体" w:hAnsi="宋体" w:eastAsia="宋体" w:cs="宋体"/>
          <w:snapToGrid w:val="0"/>
          <w:color w:val="auto"/>
          <w:kern w:val="0"/>
          <w:szCs w:val="21"/>
          <w:highlight w:val="none"/>
          <w:lang w:val="zh-CN"/>
        </w:rPr>
      </w:pPr>
      <w:r>
        <w:rPr>
          <w:rFonts w:hint="eastAsia" w:ascii="宋体" w:hAnsi="宋体" w:eastAsia="宋体" w:cs="宋体"/>
          <w:color w:val="auto"/>
          <w:szCs w:val="21"/>
          <w:highlight w:val="none"/>
        </w:rPr>
        <w:t>19.2</w:t>
      </w:r>
      <w:r>
        <w:rPr>
          <w:rFonts w:hint="eastAsia" w:ascii="宋体" w:hAnsi="宋体" w:eastAsia="宋体" w:cs="宋体"/>
          <w:b/>
          <w:color w:val="auto"/>
          <w:szCs w:val="21"/>
          <w:highlight w:val="none"/>
        </w:rPr>
        <w:t>样品</w:t>
      </w:r>
    </w:p>
    <w:p w14:paraId="11B6E255">
      <w:pPr>
        <w:pageBreakBefore w:val="0"/>
        <w:widowControl w:val="0"/>
        <w:numPr>
          <w:ilvl w:val="0"/>
          <w:numId w:val="23"/>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本项</w:t>
      </w:r>
      <w:r>
        <w:rPr>
          <w:rFonts w:hint="eastAsia" w:ascii="宋体" w:hAnsi="宋体" w:eastAsia="宋体" w:cs="宋体"/>
          <w:color w:val="auto"/>
          <w:szCs w:val="21"/>
          <w:highlight w:val="none"/>
          <w:lang w:val="zh-CN"/>
        </w:rPr>
        <w:t>目是否接收样品详见《投标人须知前附表》。</w:t>
      </w:r>
    </w:p>
    <w:p w14:paraId="0D923F3C">
      <w:pPr>
        <w:pageBreakBefore w:val="0"/>
        <w:widowControl w:val="0"/>
        <w:numPr>
          <w:ilvl w:val="0"/>
          <w:numId w:val="23"/>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6C31822F">
      <w:pPr>
        <w:pageBreakBefore w:val="0"/>
        <w:widowControl w:val="0"/>
        <w:numPr>
          <w:ilvl w:val="0"/>
          <w:numId w:val="23"/>
        </w:numPr>
        <w:kinsoku/>
        <w:wordWrap w:val="0"/>
        <w:overflowPunct/>
        <w:bidi w:val="0"/>
        <w:spacing w:line="276" w:lineRule="auto"/>
        <w:rPr>
          <w:rFonts w:hint="eastAsia" w:ascii="宋体" w:hAnsi="宋体" w:eastAsia="宋体" w:cs="宋体"/>
          <w:snapToGrid w:val="0"/>
          <w:color w:val="auto"/>
          <w:kern w:val="0"/>
          <w:szCs w:val="21"/>
          <w:highlight w:val="none"/>
          <w:lang w:val="zh-CN"/>
        </w:rPr>
      </w:pPr>
      <w:r>
        <w:rPr>
          <w:rFonts w:hint="eastAsia" w:ascii="宋体" w:hAnsi="宋体" w:eastAsia="宋体" w:cs="宋体"/>
          <w:color w:val="auto"/>
          <w:szCs w:val="21"/>
          <w:highlight w:val="none"/>
          <w:lang w:val="zh-CN"/>
        </w:rPr>
        <w:t>采购活</w:t>
      </w:r>
      <w:r>
        <w:rPr>
          <w:rFonts w:hint="eastAsia" w:ascii="宋体" w:hAnsi="宋体" w:eastAsia="宋体" w:cs="宋体"/>
          <w:snapToGrid w:val="0"/>
          <w:color w:val="auto"/>
          <w:szCs w:val="21"/>
          <w:highlight w:val="none"/>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770DCB7F">
      <w:pPr>
        <w:pageBreakBefore w:val="0"/>
        <w:widowControl w:val="0"/>
        <w:kinsoku/>
        <w:wordWrap w:val="0"/>
        <w:overflowPunct/>
        <w:bidi w:val="0"/>
        <w:spacing w:line="276" w:lineRule="auto"/>
        <w:ind w:left="420" w:hanging="420" w:hanging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19.3</w:t>
      </w:r>
      <w:r>
        <w:rPr>
          <w:rFonts w:hint="eastAsia" w:ascii="宋体" w:hAnsi="宋体" w:eastAsia="宋体" w:cs="宋体"/>
          <w:b/>
          <w:color w:val="auto"/>
          <w:szCs w:val="21"/>
          <w:highlight w:val="none"/>
        </w:rPr>
        <w:t>现场演示</w:t>
      </w:r>
    </w:p>
    <w:p w14:paraId="044C554B">
      <w:pPr>
        <w:pageBreakBefore w:val="0"/>
        <w:widowControl w:val="0"/>
        <w:kinsoku/>
        <w:wordWrap w:val="0"/>
        <w:overflowPunct/>
        <w:bidi w:val="0"/>
        <w:spacing w:line="276" w:lineRule="auto"/>
        <w:ind w:firstLine="567" w:firstLineChars="270"/>
        <w:rPr>
          <w:rFonts w:hint="eastAsia" w:ascii="宋体" w:hAnsi="宋体" w:eastAsia="宋体" w:cs="宋体"/>
          <w:b/>
          <w:color w:val="auto"/>
          <w:szCs w:val="21"/>
          <w:highlight w:val="none"/>
        </w:rPr>
      </w:pPr>
      <w:r>
        <w:rPr>
          <w:rFonts w:hint="eastAsia" w:ascii="宋体" w:hAnsi="宋体" w:eastAsia="宋体" w:cs="宋体"/>
          <w:snapToGrid w:val="0"/>
          <w:color w:val="auto"/>
          <w:kern w:val="0"/>
          <w:szCs w:val="21"/>
          <w:highlight w:val="none"/>
          <w:lang w:val="zh-CN"/>
        </w:rPr>
        <w:t>本项目在评审时是否需要演示及相关要求详见</w:t>
      </w:r>
      <w:r>
        <w:rPr>
          <w:rFonts w:hint="eastAsia" w:ascii="宋体" w:hAnsi="宋体" w:eastAsia="宋体" w:cs="宋体"/>
          <w:color w:val="auto"/>
          <w:szCs w:val="21"/>
          <w:highlight w:val="none"/>
          <w:lang w:val="zh-CN"/>
        </w:rPr>
        <w:t>《投标人须知前附表》。</w:t>
      </w:r>
    </w:p>
    <w:p w14:paraId="0BFC5D95">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投标文件递交</w:t>
      </w:r>
    </w:p>
    <w:p w14:paraId="3C5F68DA">
      <w:pPr>
        <w:pageBreakBefore w:val="0"/>
        <w:widowControl w:val="0"/>
        <w:tabs>
          <w:tab w:val="left" w:pos="567"/>
        </w:tabs>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20.1投标人递交投标文件的截止时间：见</w:t>
      </w:r>
      <w:r>
        <w:rPr>
          <w:rFonts w:hint="eastAsia" w:ascii="宋体" w:hAnsi="宋体" w:eastAsia="宋体" w:cs="宋体"/>
          <w:color w:val="auto"/>
          <w:szCs w:val="21"/>
          <w:highlight w:val="none"/>
          <w:lang w:val="zh-CN"/>
        </w:rPr>
        <w:t>《投标人须知前附表》</w:t>
      </w:r>
      <w:r>
        <w:rPr>
          <w:rFonts w:hint="eastAsia" w:ascii="宋体" w:hAnsi="宋体" w:eastAsia="宋体" w:cs="宋体"/>
          <w:color w:val="auto"/>
          <w:szCs w:val="21"/>
          <w:highlight w:val="none"/>
        </w:rPr>
        <w:t>。</w:t>
      </w:r>
    </w:p>
    <w:p w14:paraId="66B9AA58">
      <w:pPr>
        <w:pageBreakBefore w:val="0"/>
        <w:widowControl w:val="0"/>
        <w:kinsoku/>
        <w:wordWrap w:val="0"/>
        <w:overflowPunct/>
        <w:bidi w:val="0"/>
        <w:spacing w:line="276" w:lineRule="auto"/>
        <w:ind w:left="525" w:hanging="525" w:hanging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20.2投标人应当在投标截止时间前，按要求将投标文件递交或邮寄送达（如招标公告允许接收邮寄），递交地点见《投标人须知前附表》。</w:t>
      </w:r>
      <w:r>
        <w:rPr>
          <w:rFonts w:hint="eastAsia" w:ascii="宋体" w:hAnsi="宋体" w:eastAsia="宋体" w:cs="宋体"/>
          <w:color w:val="auto"/>
          <w:kern w:val="0"/>
          <w:szCs w:val="21"/>
          <w:highlight w:val="none"/>
        </w:rPr>
        <w:t>采购代理机构</w:t>
      </w:r>
      <w:r>
        <w:rPr>
          <w:rFonts w:hint="eastAsia" w:ascii="宋体" w:hAnsi="宋体" w:eastAsia="宋体" w:cs="宋体"/>
          <w:color w:val="auto"/>
          <w:szCs w:val="21"/>
          <w:highlight w:val="none"/>
        </w:rPr>
        <w:t>收到投标文件后向投标人出具签收凭证。逾期送达的或者未送达指定地点的，</w:t>
      </w:r>
      <w:r>
        <w:rPr>
          <w:rFonts w:hint="eastAsia" w:ascii="宋体" w:hAnsi="宋体" w:eastAsia="宋体" w:cs="宋体"/>
          <w:color w:val="auto"/>
          <w:kern w:val="0"/>
          <w:szCs w:val="21"/>
          <w:highlight w:val="none"/>
        </w:rPr>
        <w:t>采购人和采购代理机构</w:t>
      </w:r>
      <w:r>
        <w:rPr>
          <w:rFonts w:hint="eastAsia" w:ascii="宋体" w:hAnsi="宋体" w:eastAsia="宋体" w:cs="宋体"/>
          <w:color w:val="auto"/>
          <w:szCs w:val="21"/>
          <w:highlight w:val="none"/>
        </w:rPr>
        <w:t>将拒收。</w:t>
      </w:r>
    </w:p>
    <w:p w14:paraId="590ADE28">
      <w:pPr>
        <w:pageBreakBefore w:val="0"/>
        <w:widowControl w:val="0"/>
        <w:kinsoku/>
        <w:wordWrap w:val="0"/>
        <w:overflowPunct/>
        <w:bidi w:val="0"/>
        <w:spacing w:line="276" w:lineRule="auto"/>
        <w:ind w:left="567" w:hanging="567" w:hangingChars="270"/>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rPr>
        <w:t>20.3除《投标人须知前附表》另有规定外，投标人所递交的投标文件不予退还。</w:t>
      </w:r>
    </w:p>
    <w:p w14:paraId="041F104B">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投标文件的修改和撤回</w:t>
      </w:r>
    </w:p>
    <w:p w14:paraId="591B3FDA">
      <w:pPr>
        <w:pageBreakBefore w:val="0"/>
        <w:widowControl w:val="0"/>
        <w:kinsoku/>
        <w:wordWrap w:val="0"/>
        <w:overflowPunct/>
        <w:bidi w:val="0"/>
        <w:spacing w:line="276" w:lineRule="auto"/>
        <w:ind w:left="525" w:hanging="525" w:hangingChars="2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21.1投标人在投标截止时间前，可以对所递交的投标文件进行补充、修改或者撤回，并书面通知采购代理机构。补充、修改的内容应当按照招标文件要求签署、盖章、密封后，作为投标文件的组成部分。</w:t>
      </w:r>
    </w:p>
    <w:p w14:paraId="641643C7">
      <w:pPr>
        <w:pageBreakBefore w:val="0"/>
        <w:widowControl w:val="0"/>
        <w:kinsoku/>
        <w:wordWrap w:val="0"/>
        <w:overflowPunct/>
        <w:bidi w:val="0"/>
        <w:spacing w:line="276" w:lineRule="auto"/>
        <w:ind w:left="525" w:hanging="525" w:hangingChars="25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21.2投标有效期内投标人不得撤销其投标文件，否则按照本章“投标保证金”的规定其投标保证金不予退还。</w:t>
      </w:r>
    </w:p>
    <w:p w14:paraId="6C41DBCB">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33" w:name="_Toc494561942"/>
      <w:bookmarkStart w:id="34" w:name="_Toc20365"/>
      <w:bookmarkStart w:id="35" w:name="_Toc272247698"/>
      <w:bookmarkStart w:id="36" w:name="_Toc278891595"/>
      <w:r>
        <w:rPr>
          <w:rFonts w:hint="eastAsia" w:ascii="宋体" w:hAnsi="宋体" w:eastAsia="宋体" w:cs="宋体"/>
          <w:b/>
          <w:color w:val="auto"/>
          <w:kern w:val="0"/>
          <w:szCs w:val="21"/>
          <w:highlight w:val="none"/>
          <w:lang w:val="zh-CN"/>
        </w:rPr>
        <w:t>开标与评标</w:t>
      </w:r>
      <w:bookmarkEnd w:id="33"/>
      <w:bookmarkEnd w:id="34"/>
      <w:bookmarkEnd w:id="35"/>
      <w:bookmarkEnd w:id="36"/>
    </w:p>
    <w:p w14:paraId="21F5E959">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开标</w:t>
      </w:r>
    </w:p>
    <w:p w14:paraId="5E45EC54">
      <w:pPr>
        <w:pageBreakBefore w:val="0"/>
        <w:widowControl w:val="0"/>
        <w:numPr>
          <w:ilvl w:val="0"/>
          <w:numId w:val="24"/>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rPr>
        <w:t>采购代理机构在第一章</w:t>
      </w:r>
      <w:r>
        <w:rPr>
          <w:rFonts w:hint="eastAsia" w:ascii="宋体" w:hAnsi="宋体" w:eastAsia="宋体" w:cs="宋体"/>
          <w:color w:val="auto"/>
          <w:szCs w:val="21"/>
          <w:highlight w:val="none"/>
          <w:lang w:val="zh-CN"/>
        </w:rPr>
        <w:t>“招标公告（投标邀请书）”中约定的日期、时间和地点组织开标。</w:t>
      </w:r>
    </w:p>
    <w:p w14:paraId="47DCA4A6">
      <w:pPr>
        <w:pageBreakBefore w:val="0"/>
        <w:widowControl w:val="0"/>
        <w:numPr>
          <w:ilvl w:val="0"/>
          <w:numId w:val="24"/>
        </w:numPr>
        <w:kinsoku/>
        <w:wordWrap w:val="0"/>
        <w:overflowPunct/>
        <w:bidi w:val="0"/>
        <w:spacing w:line="276" w:lineRule="auto"/>
        <w:ind w:left="616" w:hanging="616"/>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lang w:val="zh-CN"/>
        </w:rPr>
        <w:t>投标</w:t>
      </w:r>
      <w:r>
        <w:rPr>
          <w:rFonts w:hint="eastAsia" w:ascii="宋体" w:hAnsi="宋体" w:eastAsia="宋体" w:cs="宋体"/>
          <w:color w:val="auto"/>
          <w:kern w:val="0"/>
          <w:szCs w:val="21"/>
          <w:highlight w:val="none"/>
        </w:rPr>
        <w:t>人法定代表人或其授权代表应携带有效身份证明参加项目开标会，投标人未参加开标的，视同认可开标结果。截止投标文件递交时间，投标人不足3家的，不进行开标。</w:t>
      </w:r>
    </w:p>
    <w:p w14:paraId="7C6BFD94">
      <w:pPr>
        <w:pageBreakBefore w:val="0"/>
        <w:widowControl w:val="0"/>
        <w:numPr>
          <w:ilvl w:val="0"/>
          <w:numId w:val="24"/>
        </w:numPr>
        <w:kinsoku/>
        <w:wordWrap w:val="0"/>
        <w:overflowPunct/>
        <w:bidi w:val="0"/>
        <w:spacing w:line="276" w:lineRule="auto"/>
        <w:ind w:left="616" w:hanging="61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开标时，由投标人或其推选的代表检查投标文件的密封情况，经确认无误后由招标代理机构工作人员当众拆封，宣布投标人名称、投标价格和招标文件规定的需要宣布的其他内容。</w:t>
      </w:r>
    </w:p>
    <w:p w14:paraId="10CE67F9">
      <w:pPr>
        <w:pageBreakBefore w:val="0"/>
        <w:widowControl w:val="0"/>
        <w:numPr>
          <w:ilvl w:val="0"/>
          <w:numId w:val="24"/>
        </w:numPr>
        <w:kinsoku/>
        <w:wordWrap w:val="0"/>
        <w:overflowPunct/>
        <w:bidi w:val="0"/>
        <w:spacing w:line="276" w:lineRule="auto"/>
        <w:ind w:left="616" w:hanging="61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招标代理机构负责对开标过程进行记录，由参加开标的各投标人代表和相关工作人员对开标记录进行签字确认。</w:t>
      </w:r>
    </w:p>
    <w:p w14:paraId="70630A04">
      <w:pPr>
        <w:pageBreakBefore w:val="0"/>
        <w:widowControl w:val="0"/>
        <w:numPr>
          <w:ilvl w:val="0"/>
          <w:numId w:val="24"/>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eastAsia="宋体" w:cs="宋体"/>
          <w:color w:val="auto"/>
          <w:szCs w:val="21"/>
          <w:highlight w:val="none"/>
          <w:lang w:val="zh-CN"/>
        </w:rPr>
        <w:t>回避申请。</w:t>
      </w:r>
    </w:p>
    <w:p w14:paraId="6A4480BC">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资格审查</w:t>
      </w:r>
    </w:p>
    <w:p w14:paraId="715DB7A4">
      <w:pPr>
        <w:pageBreakBefore w:val="0"/>
        <w:widowControl w:val="0"/>
        <w:numPr>
          <w:ilvl w:val="0"/>
          <w:numId w:val="25"/>
        </w:numPr>
        <w:kinsoku/>
        <w:wordWrap w:val="0"/>
        <w:overflowPunct/>
        <w:bidi w:val="0"/>
        <w:spacing w:line="276" w:lineRule="auto"/>
        <w:ind w:left="616" w:hanging="616"/>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开标结束后，采购人与采购代理机构依据法律、法规及招标文件的规定，对投标人的资格进行审查，审查办法详见第四章“资格审查方法及标准”。</w:t>
      </w:r>
    </w:p>
    <w:p w14:paraId="64C84F36">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评标方法</w:t>
      </w:r>
    </w:p>
    <w:p w14:paraId="1A0EB7D9">
      <w:pPr>
        <w:pageBreakBefore w:val="0"/>
        <w:widowControl w:val="0"/>
        <w:numPr>
          <w:ilvl w:val="0"/>
          <w:numId w:val="26"/>
        </w:numPr>
        <w:kinsoku/>
        <w:wordWrap w:val="0"/>
        <w:overflowPunct/>
        <w:bidi w:val="0"/>
        <w:spacing w:line="276" w:lineRule="auto"/>
        <w:ind w:left="616" w:hanging="616"/>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根据《政府采购货物和服务招标投标管理办法》（财政部令第87号）规定，评标方法分为最低评标价法和综合评分法。本项目所采用评标方法见《投标人须知前附表》。</w:t>
      </w:r>
    </w:p>
    <w:p w14:paraId="6214673B">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评标委员会的组成</w:t>
      </w:r>
    </w:p>
    <w:p w14:paraId="4908A5E5">
      <w:pPr>
        <w:pageBreakBefore w:val="0"/>
        <w:widowControl w:val="0"/>
        <w:numPr>
          <w:ilvl w:val="0"/>
          <w:numId w:val="2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评标委员会由采购人代表和评审专家组成，成员人数应当为5人或5人以上单数，其中评审专家不得少于成员总数的三分之二；</w:t>
      </w:r>
      <w:r>
        <w:rPr>
          <w:rFonts w:hint="eastAsia" w:ascii="宋体" w:hAnsi="宋体" w:eastAsia="宋体" w:cs="宋体"/>
          <w:color w:val="auto"/>
          <w:szCs w:val="21"/>
          <w:highlight w:val="none"/>
          <w:lang w:val="zh-CN"/>
        </w:rPr>
        <w:t>采购预算金额在1000万元及以上、技术复杂或社会影响较大的项目，评标委员会成员人数应当为7人及以上单数。</w:t>
      </w:r>
    </w:p>
    <w:p w14:paraId="04F36905">
      <w:pPr>
        <w:pageBreakBefore w:val="0"/>
        <w:widowControl w:val="0"/>
        <w:numPr>
          <w:ilvl w:val="0"/>
          <w:numId w:val="2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评审专家</w:t>
      </w:r>
      <w:r>
        <w:rPr>
          <w:rFonts w:hint="eastAsia" w:ascii="宋体" w:hAnsi="宋体" w:eastAsia="宋体" w:cs="宋体"/>
          <w:color w:val="auto"/>
          <w:szCs w:val="21"/>
          <w:highlight w:val="none"/>
          <w:lang w:val="zh-CN"/>
        </w:rPr>
        <w:t>依法从政府采购专家库中随机抽取。对技术复杂、专业性强的采购项目，通过随机方式难以确定合适评审专家的，经主管预算单位同意，采购人可以自行选定相应专业领域的评审专家。</w:t>
      </w:r>
    </w:p>
    <w:p w14:paraId="11CFB301">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评标程序</w:t>
      </w:r>
    </w:p>
    <w:p w14:paraId="0AD719B2">
      <w:pPr>
        <w:pageBreakBefore w:val="0"/>
        <w:widowControl w:val="0"/>
        <w:numPr>
          <w:ilvl w:val="0"/>
          <w:numId w:val="28"/>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评标委员会负责具体评标事务，并独立履行下列职责：</w:t>
      </w:r>
    </w:p>
    <w:p w14:paraId="3802E8D6">
      <w:pPr>
        <w:pageBreakBefore w:val="0"/>
        <w:widowControl w:val="0"/>
        <w:numPr>
          <w:ilvl w:val="0"/>
          <w:numId w:val="29"/>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审查、评价投标文件是否符合招标文件的商务、技术等实质性要求；</w:t>
      </w:r>
    </w:p>
    <w:p w14:paraId="3F5582E8">
      <w:pPr>
        <w:pageBreakBefore w:val="0"/>
        <w:widowControl w:val="0"/>
        <w:numPr>
          <w:ilvl w:val="0"/>
          <w:numId w:val="29"/>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要求投标人对投标文件有关事项作出澄清或者说明；</w:t>
      </w:r>
    </w:p>
    <w:p w14:paraId="7ABD5743">
      <w:pPr>
        <w:pageBreakBefore w:val="0"/>
        <w:widowControl w:val="0"/>
        <w:numPr>
          <w:ilvl w:val="0"/>
          <w:numId w:val="29"/>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对投标文件进行综合比较和评价；</w:t>
      </w:r>
    </w:p>
    <w:p w14:paraId="351E1E0B">
      <w:pPr>
        <w:pageBreakBefore w:val="0"/>
        <w:widowControl w:val="0"/>
        <w:numPr>
          <w:ilvl w:val="0"/>
          <w:numId w:val="29"/>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确定中标候选人名单或中标人；</w:t>
      </w:r>
    </w:p>
    <w:p w14:paraId="539CF904">
      <w:pPr>
        <w:pageBreakBefore w:val="0"/>
        <w:widowControl w:val="0"/>
        <w:numPr>
          <w:ilvl w:val="0"/>
          <w:numId w:val="29"/>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向采购人、采购代理机构或者有关部门报告评标中发现的违法行为。</w:t>
      </w:r>
    </w:p>
    <w:p w14:paraId="2B6EA5EB">
      <w:pPr>
        <w:pageBreakBefore w:val="0"/>
        <w:widowControl w:val="0"/>
        <w:numPr>
          <w:ilvl w:val="0"/>
          <w:numId w:val="28"/>
        </w:numPr>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评标程序详见第五章“评标方法、程序及标准”。</w:t>
      </w:r>
    </w:p>
    <w:p w14:paraId="56413D26">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37" w:name="_Toc494561943"/>
      <w:bookmarkStart w:id="38" w:name="_Toc10328"/>
      <w:r>
        <w:rPr>
          <w:rFonts w:hint="eastAsia" w:ascii="宋体" w:hAnsi="宋体" w:eastAsia="宋体" w:cs="宋体"/>
          <w:b/>
          <w:color w:val="auto"/>
          <w:kern w:val="0"/>
          <w:szCs w:val="21"/>
          <w:highlight w:val="none"/>
          <w:lang w:val="zh-CN"/>
        </w:rPr>
        <w:t>投标人信用信息及查询</w:t>
      </w:r>
      <w:bookmarkEnd w:id="37"/>
      <w:bookmarkEnd w:id="38"/>
    </w:p>
    <w:p w14:paraId="6599DACA">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信用信息查询渠道及使用规则</w:t>
      </w:r>
    </w:p>
    <w:p w14:paraId="75FC0B8B">
      <w:pPr>
        <w:pageBreakBefore w:val="0"/>
        <w:widowControl w:val="0"/>
        <w:numPr>
          <w:ilvl w:val="0"/>
          <w:numId w:val="30"/>
        </w:numPr>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按照《关于在政府采购活动中查询及使用信用记录有关问题的通知》的要求，参与政府采购的投标人，信用记录的查询渠道为“信用中国”网站(www.creditchina.gov.cn)</w:t>
      </w:r>
      <w:r>
        <w:rPr>
          <w:rFonts w:hint="eastAsia" w:ascii="宋体" w:hAnsi="宋体" w:eastAsia="宋体" w:cs="宋体"/>
          <w:color w:val="auto"/>
          <w:kern w:val="0"/>
          <w:szCs w:val="21"/>
          <w:highlight w:val="none"/>
        </w:rPr>
        <w:t>及“中国政府采购网”</w:t>
      </w:r>
      <w:r>
        <w:rPr>
          <w:rFonts w:hint="eastAsia" w:ascii="宋体" w:hAnsi="宋体" w:eastAsia="宋体" w:cs="宋体"/>
          <w:color w:val="auto"/>
          <w:kern w:val="0"/>
          <w:szCs w:val="21"/>
          <w:highlight w:val="none"/>
          <w:lang w:val="zh-CN"/>
        </w:rPr>
        <w:t>。</w:t>
      </w:r>
    </w:p>
    <w:p w14:paraId="22CB25FB">
      <w:pPr>
        <w:pageBreakBefore w:val="0"/>
        <w:widowControl w:val="0"/>
        <w:numPr>
          <w:ilvl w:val="0"/>
          <w:numId w:val="30"/>
        </w:numPr>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列入失信被执行人、</w:t>
      </w:r>
      <w:r>
        <w:rPr>
          <w:rFonts w:hint="eastAsia" w:ascii="宋体" w:hAnsi="宋体" w:eastAsia="宋体" w:cs="宋体"/>
          <w:color w:val="auto"/>
          <w:szCs w:val="21"/>
          <w:highlight w:val="none"/>
        </w:rPr>
        <w:t>重大税收违法失信主体</w:t>
      </w:r>
      <w:r>
        <w:rPr>
          <w:rFonts w:hint="eastAsia" w:ascii="宋体" w:hAnsi="宋体" w:eastAsia="宋体" w:cs="宋体"/>
          <w:color w:val="auto"/>
          <w:kern w:val="0"/>
          <w:szCs w:val="21"/>
          <w:highlight w:val="none"/>
          <w:lang w:val="zh-CN"/>
        </w:rPr>
        <w:t>、政府采购严重违法失信行为记录名单的投标人，采购代理机构</w:t>
      </w:r>
      <w:r>
        <w:rPr>
          <w:rFonts w:hint="eastAsia" w:ascii="宋体" w:hAnsi="宋体" w:eastAsia="宋体" w:cs="宋体"/>
          <w:b/>
          <w:color w:val="auto"/>
          <w:kern w:val="0"/>
          <w:szCs w:val="21"/>
          <w:highlight w:val="none"/>
          <w:lang w:val="zh-CN"/>
        </w:rPr>
        <w:t>拒绝</w:t>
      </w:r>
      <w:r>
        <w:rPr>
          <w:rFonts w:hint="eastAsia" w:ascii="宋体" w:hAnsi="宋体" w:eastAsia="宋体" w:cs="宋体"/>
          <w:color w:val="auto"/>
          <w:kern w:val="0"/>
          <w:szCs w:val="21"/>
          <w:highlight w:val="none"/>
          <w:lang w:val="zh-CN"/>
        </w:rPr>
        <w:t>其参与政府采购活动。</w:t>
      </w:r>
    </w:p>
    <w:p w14:paraId="615DEE67">
      <w:pPr>
        <w:pageBreakBefore w:val="0"/>
        <w:widowControl w:val="0"/>
        <w:numPr>
          <w:ilvl w:val="0"/>
          <w:numId w:val="30"/>
        </w:numPr>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24037C46">
      <w:pPr>
        <w:pageBreakBefore w:val="0"/>
        <w:widowControl w:val="0"/>
        <w:numPr>
          <w:ilvl w:val="0"/>
          <w:numId w:val="30"/>
        </w:numPr>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eastAsia="宋体" w:cs="宋体"/>
          <w:b/>
          <w:color w:val="auto"/>
          <w:kern w:val="0"/>
          <w:szCs w:val="21"/>
          <w:highlight w:val="none"/>
          <w:lang w:val="zh-CN"/>
        </w:rPr>
        <w:t>无效投标处理</w:t>
      </w:r>
      <w:r>
        <w:rPr>
          <w:rFonts w:hint="eastAsia" w:ascii="宋体" w:hAnsi="宋体" w:eastAsia="宋体" w:cs="宋体"/>
          <w:color w:val="auto"/>
          <w:kern w:val="0"/>
          <w:szCs w:val="21"/>
          <w:highlight w:val="none"/>
          <w:lang w:val="zh-CN"/>
        </w:rPr>
        <w:t>。</w:t>
      </w:r>
    </w:p>
    <w:p w14:paraId="3B3FE2A7">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39" w:name="_Toc494561944"/>
      <w:bookmarkStart w:id="40" w:name="_Toc25392"/>
      <w:r>
        <w:rPr>
          <w:rFonts w:hint="eastAsia" w:ascii="宋体" w:hAnsi="宋体" w:eastAsia="宋体" w:cs="宋体"/>
          <w:b/>
          <w:color w:val="auto"/>
          <w:kern w:val="0"/>
          <w:szCs w:val="21"/>
          <w:highlight w:val="none"/>
          <w:lang w:val="zh-CN"/>
        </w:rPr>
        <w:t>中标与合同</w:t>
      </w:r>
      <w:bookmarkEnd w:id="39"/>
      <w:bookmarkEnd w:id="40"/>
    </w:p>
    <w:p w14:paraId="3AE25408">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确定中标人</w:t>
      </w:r>
    </w:p>
    <w:p w14:paraId="777C7BF5">
      <w:pPr>
        <w:pageBreakBefore w:val="0"/>
        <w:widowControl w:val="0"/>
        <w:numPr>
          <w:ilvl w:val="0"/>
          <w:numId w:val="31"/>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rPr>
        <w:t>采购代理机构应当在评标结束后2个工作日内将评标报告送采购人。</w:t>
      </w:r>
    </w:p>
    <w:p w14:paraId="6037492A">
      <w:pPr>
        <w:pageBreakBefore w:val="0"/>
        <w:widowControl w:val="0"/>
        <w:numPr>
          <w:ilvl w:val="0"/>
          <w:numId w:val="31"/>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采购人收到评标报告5个工作日内，按评标报告推荐的中标候选人顺序确定中标人。</w:t>
      </w:r>
    </w:p>
    <w:p w14:paraId="62AD926A">
      <w:pPr>
        <w:pageBreakBefore w:val="0"/>
        <w:widowControl w:val="0"/>
        <w:numPr>
          <w:ilvl w:val="0"/>
          <w:numId w:val="31"/>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允许投标人同时参与多标包投标的，确定中标候选人的办法详见《投标人须知前附表》。</w:t>
      </w:r>
    </w:p>
    <w:p w14:paraId="2421595C">
      <w:pPr>
        <w:pageBreakBefore w:val="0"/>
        <w:widowControl w:val="0"/>
        <w:numPr>
          <w:ilvl w:val="0"/>
          <w:numId w:val="31"/>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中标候选人并列的：</w:t>
      </w:r>
    </w:p>
    <w:p w14:paraId="583B3569">
      <w:pPr>
        <w:pageBreakBefore w:val="0"/>
        <w:widowControl w:val="0"/>
        <w:numPr>
          <w:ilvl w:val="0"/>
          <w:numId w:val="3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采用最低评标价法的，评审结果按投标报价由低到高顺序排列。投标报价相同的并列，由采购人确定或者采购人委托评标委员会以投票方式确定中标人。</w:t>
      </w:r>
    </w:p>
    <w:p w14:paraId="76FEB0DB">
      <w:pPr>
        <w:pageBreakBefore w:val="0"/>
        <w:widowControl w:val="0"/>
        <w:numPr>
          <w:ilvl w:val="0"/>
          <w:numId w:val="3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3E673C06">
      <w:pPr>
        <w:pageBreakBefore w:val="0"/>
        <w:widowControl w:val="0"/>
        <w:numPr>
          <w:ilvl w:val="0"/>
          <w:numId w:val="31"/>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中标人的数量有其他规定的，按招标文件相关规定执行。</w:t>
      </w:r>
    </w:p>
    <w:p w14:paraId="1534AA72">
      <w:pPr>
        <w:pageBreakBefore w:val="0"/>
        <w:widowControl w:val="0"/>
        <w:numPr>
          <w:ilvl w:val="0"/>
          <w:numId w:val="31"/>
        </w:numPr>
        <w:kinsoku/>
        <w:wordWrap w:val="0"/>
        <w:overflowPunct/>
        <w:bidi w:val="0"/>
        <w:spacing w:line="276" w:lineRule="auto"/>
        <w:ind w:left="616" w:hanging="616"/>
        <w:rPr>
          <w:rFonts w:hint="eastAsia" w:ascii="宋体" w:hAnsi="宋体" w:eastAsia="宋体" w:cs="宋体"/>
          <w:strike/>
          <w:color w:val="auto"/>
          <w:szCs w:val="21"/>
          <w:highlight w:val="none"/>
          <w:lang w:val="zh-CN"/>
        </w:rPr>
      </w:pPr>
      <w:r>
        <w:rPr>
          <w:rFonts w:hint="eastAsia" w:ascii="宋体" w:hAnsi="宋体" w:eastAsia="宋体" w:cs="宋体"/>
          <w:color w:val="auto"/>
          <w:szCs w:val="21"/>
          <w:highlight w:val="none"/>
          <w:lang w:val="zh-CN"/>
        </w:rPr>
        <w:t>中标人确定后，采购代理机构在政府采购监管部门指定的媒体上发布中标公告，同时向中标人和采购人发出《中标通知书》。《中标通知书》是政府采购合同的组成部分</w:t>
      </w:r>
      <w:r>
        <w:rPr>
          <w:rFonts w:hint="eastAsia" w:ascii="宋体" w:hAnsi="宋体" w:cs="宋体"/>
          <w:color w:val="auto"/>
          <w:szCs w:val="21"/>
          <w:highlight w:val="none"/>
          <w:lang w:val="zh-CN"/>
        </w:rPr>
        <w:t>，</w:t>
      </w:r>
      <w:r>
        <w:rPr>
          <w:rFonts w:hint="eastAsia" w:ascii="宋体" w:hAnsi="宋体" w:eastAsia="宋体" w:cs="宋体"/>
          <w:color w:val="auto"/>
          <w:szCs w:val="21"/>
          <w:highlight w:val="none"/>
          <w:lang w:val="zh-CN"/>
        </w:rPr>
        <w:t>对中标人和采购人具有同等法律效力。</w:t>
      </w:r>
    </w:p>
    <w:p w14:paraId="37AD3CA5">
      <w:pPr>
        <w:pageBreakBefore w:val="0"/>
        <w:widowControl w:val="0"/>
        <w:numPr>
          <w:ilvl w:val="0"/>
          <w:numId w:val="31"/>
        </w:numPr>
        <w:kinsoku/>
        <w:wordWrap w:val="0"/>
        <w:overflowPunct/>
        <w:bidi w:val="0"/>
        <w:spacing w:line="276" w:lineRule="auto"/>
        <w:ind w:left="616" w:hanging="616"/>
        <w:rPr>
          <w:rFonts w:hint="eastAsia" w:ascii="宋体" w:hAnsi="宋体" w:eastAsia="宋体" w:cs="宋体"/>
          <w:strike/>
          <w:color w:val="auto"/>
          <w:szCs w:val="21"/>
          <w:highlight w:val="none"/>
          <w:lang w:val="zh-CN"/>
        </w:rPr>
      </w:pPr>
      <w:r>
        <w:rPr>
          <w:rFonts w:hint="eastAsia" w:ascii="宋体" w:hAnsi="宋体" w:eastAsia="宋体" w:cs="宋体"/>
          <w:color w:val="auto"/>
          <w:kern w:val="0"/>
          <w:szCs w:val="21"/>
          <w:highlight w:val="none"/>
          <w:lang w:val="zh-CN"/>
        </w:rPr>
        <w:t>中标通知书发出后，采购人不得违法改变中标结果，中标人无正当理由不得放弃中标。</w:t>
      </w:r>
      <w:r>
        <w:rPr>
          <w:rFonts w:hint="eastAsia" w:ascii="宋体" w:hAnsi="宋体" w:eastAsia="宋体" w:cs="宋体"/>
          <w:snapToGrid w:val="0"/>
          <w:color w:val="auto"/>
          <w:szCs w:val="21"/>
          <w:highlight w:val="none"/>
          <w:lang w:val="zh-CN"/>
        </w:rPr>
        <w:t>中标人应向采购人提供完整的投标文件存档。</w:t>
      </w:r>
    </w:p>
    <w:p w14:paraId="3C80F6E4">
      <w:pPr>
        <w:pageBreakBefore w:val="0"/>
        <w:widowControl w:val="0"/>
        <w:numPr>
          <w:ilvl w:val="0"/>
          <w:numId w:val="31"/>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中标人拒绝与采购人签订合同的，采购人可以按照评标报告推荐的中标候选人名单排序，确定下一候选人为中标人，也可以重新开展政府采购活动。</w:t>
      </w:r>
    </w:p>
    <w:p w14:paraId="4933F558">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合同授予</w:t>
      </w:r>
    </w:p>
    <w:p w14:paraId="76D2AE6D">
      <w:pPr>
        <w:pageBreakBefore w:val="0"/>
        <w:widowControl w:val="0"/>
        <w:numPr>
          <w:ilvl w:val="0"/>
          <w:numId w:val="33"/>
        </w:numPr>
        <w:kinsoku/>
        <w:wordWrap w:val="0"/>
        <w:overflowPunct/>
        <w:bidi w:val="0"/>
        <w:spacing w:line="276" w:lineRule="auto"/>
        <w:ind w:left="616" w:hanging="616"/>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除本章“确定中标人”规定及其他法律规定的情形外，</w:t>
      </w:r>
      <w:r>
        <w:rPr>
          <w:rFonts w:hint="eastAsia" w:ascii="宋体" w:hAnsi="宋体" w:eastAsia="宋体" w:cs="宋体"/>
          <w:b/>
          <w:bCs/>
          <w:color w:val="auto"/>
          <w:szCs w:val="21"/>
          <w:highlight w:val="none"/>
          <w:lang w:val="zh-CN"/>
        </w:rPr>
        <w:t>采购人把合同授予被确定为实质上响应招标文件要求且排名第一的中标人。</w:t>
      </w:r>
    </w:p>
    <w:p w14:paraId="1E21650B">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合同签订</w:t>
      </w:r>
    </w:p>
    <w:p w14:paraId="19AF6FC0">
      <w:pPr>
        <w:pageBreakBefore w:val="0"/>
        <w:widowControl w:val="0"/>
        <w:numPr>
          <w:ilvl w:val="0"/>
          <w:numId w:val="34"/>
        </w:numPr>
        <w:kinsoku/>
        <w:wordWrap w:val="0"/>
        <w:overflowPunct/>
        <w:bidi w:val="0"/>
        <w:spacing w:line="276" w:lineRule="auto"/>
        <w:ind w:left="567" w:hanging="567"/>
        <w:rPr>
          <w:rFonts w:hint="eastAsia" w:ascii="宋体" w:hAnsi="宋体" w:eastAsia="宋体" w:cs="宋体"/>
          <w:color w:val="auto"/>
          <w:szCs w:val="21"/>
          <w:highlight w:val="none"/>
          <w:lang w:val="zh-CN"/>
        </w:rPr>
      </w:pPr>
      <w:bookmarkStart w:id="41" w:name="_Toc278891597"/>
      <w:bookmarkStart w:id="42" w:name="_Toc272247700"/>
      <w:r>
        <w:rPr>
          <w:rFonts w:hint="eastAsia" w:ascii="宋体" w:hAnsi="宋体" w:eastAsia="宋体" w:cs="宋体"/>
          <w:color w:val="auto"/>
          <w:szCs w:val="21"/>
          <w:highlight w:val="none"/>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31139123">
      <w:pPr>
        <w:pageBreakBefore w:val="0"/>
        <w:widowControl w:val="0"/>
        <w:numPr>
          <w:ilvl w:val="0"/>
          <w:numId w:val="34"/>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22FD8EAA">
      <w:pPr>
        <w:pageBreakBefore w:val="0"/>
        <w:widowControl w:val="0"/>
        <w:numPr>
          <w:ilvl w:val="0"/>
          <w:numId w:val="34"/>
        </w:numPr>
        <w:tabs>
          <w:tab w:val="left" w:pos="616"/>
        </w:tabs>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采购人不得向中标人提出任何不合理的要求作为签订合同的条件。</w:t>
      </w:r>
    </w:p>
    <w:p w14:paraId="6011C457">
      <w:pPr>
        <w:pageBreakBefore w:val="0"/>
        <w:widowControl w:val="0"/>
        <w:numPr>
          <w:ilvl w:val="0"/>
          <w:numId w:val="34"/>
        </w:numPr>
        <w:tabs>
          <w:tab w:val="left" w:pos="616"/>
        </w:tabs>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政府采购合同应当包括采购人与中标人的名称和住所、标的、数量、质量、价款或者报酬、履行期限及地点和方式、验收要求、违约责任、解决争议的方法等内容。</w:t>
      </w:r>
    </w:p>
    <w:p w14:paraId="01B91DCA">
      <w:pPr>
        <w:pageBreakBefore w:val="0"/>
        <w:widowControl w:val="0"/>
        <w:numPr>
          <w:ilvl w:val="0"/>
          <w:numId w:val="34"/>
        </w:numPr>
        <w:tabs>
          <w:tab w:val="left" w:pos="616"/>
        </w:tabs>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付款方式，详见《投标人须知前附表》。</w:t>
      </w:r>
    </w:p>
    <w:p w14:paraId="10BE5AF8">
      <w:pPr>
        <w:pageBreakBefore w:val="0"/>
        <w:widowControl w:val="0"/>
        <w:numPr>
          <w:ilvl w:val="0"/>
          <w:numId w:val="34"/>
        </w:numPr>
        <w:tabs>
          <w:tab w:val="left" w:pos="616"/>
        </w:tabs>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采购人与中标人应当根据合同的约定依法履行合同义务。政府采购合同的履行、违约责任和解决争议的方法等适用《中华人民共和国民法典》。</w:t>
      </w:r>
    </w:p>
    <w:p w14:paraId="1B000AEA">
      <w:pPr>
        <w:pageBreakBefore w:val="0"/>
        <w:widowControl w:val="0"/>
        <w:numPr>
          <w:ilvl w:val="0"/>
          <w:numId w:val="34"/>
        </w:numPr>
        <w:tabs>
          <w:tab w:val="left" w:pos="616"/>
        </w:tabs>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采购人应当加强对中标人的履约管理，并按照采购合同约定，及时向中标人支付采购资金。对于中标人违反采购合同约定的行为，采购人应当及时处理，依法追究其违约责任。</w:t>
      </w:r>
    </w:p>
    <w:p w14:paraId="5CF94BAA">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43" w:name="_Toc494561945"/>
      <w:bookmarkStart w:id="44" w:name="_Toc1133"/>
      <w:r>
        <w:rPr>
          <w:rFonts w:hint="eastAsia" w:ascii="宋体" w:hAnsi="宋体" w:eastAsia="宋体" w:cs="宋体"/>
          <w:b/>
          <w:color w:val="auto"/>
          <w:kern w:val="0"/>
          <w:szCs w:val="21"/>
          <w:highlight w:val="none"/>
          <w:lang w:val="zh-CN"/>
        </w:rPr>
        <w:t>采购信息公告</w:t>
      </w:r>
      <w:bookmarkEnd w:id="43"/>
      <w:bookmarkEnd w:id="44"/>
    </w:p>
    <w:p w14:paraId="0050BFFE">
      <w:pPr>
        <w:pageBreakBefore w:val="0"/>
        <w:widowControl w:val="0"/>
        <w:numPr>
          <w:ilvl w:val="0"/>
          <w:numId w:val="2"/>
        </w:numPr>
        <w:kinsoku/>
        <w:wordWrap w:val="0"/>
        <w:overflowPunct/>
        <w:bidi w:val="0"/>
        <w:spacing w:line="276" w:lineRule="auto"/>
        <w:rPr>
          <w:rFonts w:hint="eastAsia" w:ascii="宋体" w:hAnsi="宋体" w:eastAsia="宋体" w:cs="宋体"/>
          <w:b/>
          <w:color w:val="auto"/>
          <w:kern w:val="0"/>
          <w:szCs w:val="21"/>
          <w:highlight w:val="none"/>
          <w:lang w:val="zh-CN"/>
        </w:rPr>
      </w:pPr>
      <w:r>
        <w:rPr>
          <w:rFonts w:hint="eastAsia" w:ascii="宋体" w:hAnsi="宋体" w:eastAsia="宋体" w:cs="宋体"/>
          <w:b/>
          <w:color w:val="auto"/>
          <w:szCs w:val="21"/>
          <w:highlight w:val="none"/>
          <w:lang w:val="zh-CN"/>
        </w:rPr>
        <w:t>公告的媒体及规定</w:t>
      </w:r>
    </w:p>
    <w:p w14:paraId="6849A945">
      <w:pPr>
        <w:pageBreakBefore w:val="0"/>
        <w:widowControl w:val="0"/>
        <w:numPr>
          <w:ilvl w:val="0"/>
          <w:numId w:val="35"/>
        </w:numPr>
        <w:tabs>
          <w:tab w:val="left" w:pos="616"/>
        </w:tabs>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采购代理机构在招标活动中的公告、补充、更正、结果等采购信息均依法在政府采购监管部门指定媒体上发布。</w:t>
      </w:r>
    </w:p>
    <w:p w14:paraId="41124283">
      <w:pPr>
        <w:pageBreakBefore w:val="0"/>
        <w:widowControl w:val="0"/>
        <w:numPr>
          <w:ilvl w:val="0"/>
          <w:numId w:val="35"/>
        </w:numPr>
        <w:tabs>
          <w:tab w:val="left" w:pos="616"/>
        </w:tabs>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采购代理机构在自中标人确定之日起2个工作日内，在政府采购监管部门指定媒体上公告中标结果，中标公告的公示期为1个工作日。</w:t>
      </w:r>
    </w:p>
    <w:p w14:paraId="242CE120">
      <w:pPr>
        <w:pageBreakBefore w:val="0"/>
        <w:widowControl w:val="0"/>
        <w:numPr>
          <w:ilvl w:val="0"/>
          <w:numId w:val="35"/>
        </w:numPr>
        <w:tabs>
          <w:tab w:val="left" w:pos="616"/>
        </w:tabs>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资格审查未通过的投标人可在中标公告质疑有效期内按公告中的联系方式获知本人的资格审查情况。</w:t>
      </w:r>
    </w:p>
    <w:p w14:paraId="47A59C27">
      <w:pPr>
        <w:pageBreakBefore w:val="0"/>
        <w:widowControl w:val="0"/>
        <w:numPr>
          <w:ilvl w:val="0"/>
          <w:numId w:val="35"/>
        </w:numPr>
        <w:tabs>
          <w:tab w:val="left" w:pos="616"/>
        </w:tabs>
        <w:kinsoku/>
        <w:wordWrap w:val="0"/>
        <w:overflowPunct/>
        <w:bidi w:val="0"/>
        <w:spacing w:line="276" w:lineRule="auto"/>
        <w:ind w:left="616" w:hanging="616"/>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采用综合评分法评审的项目，未中标人可在中标公告质疑有效期内按公告中的联系方式获知本人的评审得分与排序。</w:t>
      </w:r>
    </w:p>
    <w:p w14:paraId="514F0BE3">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45" w:name="_Toc494561946"/>
      <w:bookmarkStart w:id="46" w:name="_Toc1820"/>
      <w:r>
        <w:rPr>
          <w:rFonts w:hint="eastAsia" w:ascii="宋体" w:hAnsi="宋体" w:eastAsia="宋体" w:cs="宋体"/>
          <w:b/>
          <w:color w:val="auto"/>
          <w:kern w:val="0"/>
          <w:szCs w:val="21"/>
          <w:highlight w:val="none"/>
          <w:lang w:val="zh-CN"/>
        </w:rPr>
        <w:t>质疑</w:t>
      </w:r>
      <w:bookmarkEnd w:id="41"/>
      <w:bookmarkEnd w:id="42"/>
      <w:r>
        <w:rPr>
          <w:rFonts w:hint="eastAsia" w:ascii="宋体" w:hAnsi="宋体" w:eastAsia="宋体" w:cs="宋体"/>
          <w:b/>
          <w:color w:val="auto"/>
          <w:kern w:val="0"/>
          <w:szCs w:val="21"/>
          <w:highlight w:val="none"/>
          <w:lang w:val="zh-CN"/>
        </w:rPr>
        <w:t>及提交</w:t>
      </w:r>
      <w:bookmarkEnd w:id="45"/>
      <w:bookmarkEnd w:id="46"/>
    </w:p>
    <w:p w14:paraId="7022D83E">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质疑及提交</w:t>
      </w:r>
    </w:p>
    <w:p w14:paraId="0B996F33">
      <w:pPr>
        <w:pageBreakBefore w:val="0"/>
        <w:widowControl w:val="0"/>
        <w:kinsoku/>
        <w:wordWrap w:val="0"/>
        <w:overflowPunct/>
        <w:bidi w:val="0"/>
        <w:spacing w:line="276"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203B2AC">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投标人应知其权益受到损害之日是指：</w:t>
      </w:r>
    </w:p>
    <w:p w14:paraId="4F535888">
      <w:pPr>
        <w:pageBreakBefore w:val="0"/>
        <w:widowControl w:val="0"/>
        <w:numPr>
          <w:ilvl w:val="0"/>
          <w:numId w:val="3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对可以质疑的招标文件提出质疑的，为收到招标文件之日或者招标文件公告期限届满之日；</w:t>
      </w:r>
    </w:p>
    <w:p w14:paraId="21FB8658">
      <w:pPr>
        <w:pageBreakBefore w:val="0"/>
        <w:widowControl w:val="0"/>
        <w:numPr>
          <w:ilvl w:val="0"/>
          <w:numId w:val="3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对招标过程提出质疑的，为各招标程序环节结束之日；</w:t>
      </w:r>
    </w:p>
    <w:p w14:paraId="3D8B7A06">
      <w:pPr>
        <w:pageBreakBefore w:val="0"/>
        <w:widowControl w:val="0"/>
        <w:numPr>
          <w:ilvl w:val="0"/>
          <w:numId w:val="36"/>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对中标结果提出质疑的，为中标公告期限届满之日。</w:t>
      </w:r>
    </w:p>
    <w:p w14:paraId="6F7C699B">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质疑书应当包括下列主要内容：</w:t>
      </w:r>
    </w:p>
    <w:p w14:paraId="76217133">
      <w:pPr>
        <w:pageBreakBefore w:val="0"/>
        <w:widowControl w:val="0"/>
        <w:numPr>
          <w:ilvl w:val="0"/>
          <w:numId w:val="3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质疑人的名称或姓名、地址、</w:t>
      </w:r>
      <w:r>
        <w:rPr>
          <w:rFonts w:hint="eastAsia" w:ascii="宋体" w:hAnsi="宋体" w:eastAsia="宋体" w:cs="宋体"/>
          <w:color w:val="auto"/>
          <w:highlight w:val="none"/>
          <w:shd w:val="clear" w:color="auto" w:fill="FFFFFF"/>
        </w:rPr>
        <w:t>邮编、</w:t>
      </w:r>
      <w:r>
        <w:rPr>
          <w:rFonts w:hint="eastAsia" w:ascii="宋体" w:hAnsi="宋体" w:eastAsia="宋体" w:cs="宋体"/>
          <w:color w:val="auto"/>
          <w:szCs w:val="21"/>
          <w:highlight w:val="none"/>
          <w:lang w:val="zh-CN"/>
        </w:rPr>
        <w:t>联系人及联系电话等；</w:t>
      </w:r>
    </w:p>
    <w:p w14:paraId="125CA6D7">
      <w:pPr>
        <w:pageBreakBefore w:val="0"/>
        <w:widowControl w:val="0"/>
        <w:numPr>
          <w:ilvl w:val="0"/>
          <w:numId w:val="3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被质疑人的名称、地址、</w:t>
      </w:r>
      <w:r>
        <w:rPr>
          <w:rFonts w:hint="eastAsia" w:ascii="宋体" w:hAnsi="宋体" w:eastAsia="宋体" w:cs="宋体"/>
          <w:color w:val="auto"/>
          <w:highlight w:val="none"/>
          <w:shd w:val="clear" w:color="auto" w:fill="FFFFFF"/>
        </w:rPr>
        <w:t>邮编、</w:t>
      </w:r>
      <w:r>
        <w:rPr>
          <w:rFonts w:hint="eastAsia" w:ascii="宋体" w:hAnsi="宋体" w:eastAsia="宋体" w:cs="宋体"/>
          <w:color w:val="auto"/>
          <w:szCs w:val="21"/>
          <w:highlight w:val="none"/>
          <w:lang w:val="zh-CN"/>
        </w:rPr>
        <w:t>联系人及联系电话等；</w:t>
      </w:r>
    </w:p>
    <w:p w14:paraId="2163867F">
      <w:pPr>
        <w:pageBreakBefore w:val="0"/>
        <w:widowControl w:val="0"/>
        <w:numPr>
          <w:ilvl w:val="0"/>
          <w:numId w:val="3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质疑项目名称及编号/标包、质疑事项和明确的请求；</w:t>
      </w:r>
    </w:p>
    <w:p w14:paraId="5D2CD471">
      <w:pPr>
        <w:pageBreakBefore w:val="0"/>
        <w:widowControl w:val="0"/>
        <w:numPr>
          <w:ilvl w:val="0"/>
          <w:numId w:val="3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质疑事项的事实根据、法律依据及其他必要的证明材料；</w:t>
      </w:r>
    </w:p>
    <w:p w14:paraId="51F6EB47">
      <w:pPr>
        <w:pageBreakBefore w:val="0"/>
        <w:widowControl w:val="0"/>
        <w:numPr>
          <w:ilvl w:val="0"/>
          <w:numId w:val="3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提出质疑的日期；</w:t>
      </w:r>
    </w:p>
    <w:p w14:paraId="73070E3D">
      <w:pPr>
        <w:pageBreakBefore w:val="0"/>
        <w:widowControl w:val="0"/>
        <w:numPr>
          <w:ilvl w:val="0"/>
          <w:numId w:val="3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质疑人的署名及签章（质疑人为自然人的，应当由本人签名；质疑人为法人或者其他组织的，应当由法定代表人或者主要负责人，</w:t>
      </w:r>
      <w:r>
        <w:rPr>
          <w:rFonts w:hint="eastAsia" w:ascii="宋体" w:hAnsi="宋体" w:eastAsia="宋体" w:cs="宋体"/>
          <w:color w:val="auto"/>
          <w:highlight w:val="none"/>
          <w:shd w:val="clear" w:color="auto" w:fill="FFFFFF"/>
        </w:rPr>
        <w:t>或者其授权代表签字或者盖章，</w:t>
      </w:r>
      <w:r>
        <w:rPr>
          <w:rFonts w:hint="eastAsia" w:ascii="宋体" w:hAnsi="宋体" w:eastAsia="宋体" w:cs="宋体"/>
          <w:color w:val="auto"/>
          <w:szCs w:val="21"/>
          <w:highlight w:val="none"/>
          <w:lang w:val="zh-CN"/>
        </w:rPr>
        <w:t>并加盖公章）；</w:t>
      </w:r>
    </w:p>
    <w:p w14:paraId="0927C315">
      <w:pPr>
        <w:pageBreakBefore w:val="0"/>
        <w:widowControl w:val="0"/>
        <w:numPr>
          <w:ilvl w:val="0"/>
          <w:numId w:val="37"/>
        </w:numPr>
        <w:kinsoku/>
        <w:wordWrap w:val="0"/>
        <w:overflowPunct/>
        <w:bidi w:val="0"/>
        <w:spacing w:line="276" w:lineRule="auto"/>
        <w:ind w:left="616" w:hanging="6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法人授权委托书（质疑人或法人委托代理人办理质疑事务的，应当提供授权委托书，授权委托书应当载明委托代理的具体权限和事项）。</w:t>
      </w:r>
    </w:p>
    <w:p w14:paraId="72503C68">
      <w:pPr>
        <w:pageBreakBefore w:val="0"/>
        <w:widowControl w:val="0"/>
        <w:numPr>
          <w:ilvl w:val="0"/>
          <w:numId w:val="2"/>
        </w:numPr>
        <w:kinsoku/>
        <w:wordWrap w:val="0"/>
        <w:overflowPunct/>
        <w:bidi w:val="0"/>
        <w:spacing w:line="276"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不予受理的情形</w:t>
      </w:r>
    </w:p>
    <w:p w14:paraId="6A868E57">
      <w:pPr>
        <w:pageBreakBefore w:val="0"/>
        <w:widowControl w:val="0"/>
        <w:kinsoku/>
        <w:wordWrap w:val="0"/>
        <w:overflowPunct/>
        <w:bidi w:val="0"/>
        <w:spacing w:line="276"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投标人未按本章“质疑及提交”规定的时限、内容及方式进行质疑的，采购代理机构不予受理。</w:t>
      </w:r>
    </w:p>
    <w:p w14:paraId="406A8FB2">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47" w:name="_Toc30923"/>
      <w:r>
        <w:rPr>
          <w:rFonts w:hint="eastAsia" w:ascii="宋体" w:hAnsi="宋体" w:eastAsia="宋体" w:cs="宋体"/>
          <w:b/>
          <w:color w:val="auto"/>
          <w:kern w:val="0"/>
          <w:szCs w:val="21"/>
          <w:highlight w:val="none"/>
          <w:lang w:val="zh-CN"/>
        </w:rPr>
        <w:t>保密</w:t>
      </w:r>
      <w:bookmarkEnd w:id="47"/>
    </w:p>
    <w:p w14:paraId="1909ABB5">
      <w:pPr>
        <w:pageBreakBefore w:val="0"/>
        <w:widowControl w:val="0"/>
        <w:numPr>
          <w:ilvl w:val="0"/>
          <w:numId w:val="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凡是属于审查、澄清、评价和比较的有关资料以及授标意向等，采购人、采购代理机构、监管人员、评标委员会及有关工作人员均不得向投标人或其它无关的人员透露。</w:t>
      </w:r>
    </w:p>
    <w:p w14:paraId="1CB14B72">
      <w:pPr>
        <w:keepNext/>
        <w:keepLines/>
        <w:pageBreakBefore w:val="0"/>
        <w:widowControl w:val="0"/>
        <w:numPr>
          <w:ilvl w:val="0"/>
          <w:numId w:val="1"/>
        </w:numPr>
        <w:kinsoku/>
        <w:wordWrap w:val="0"/>
        <w:overflowPunct/>
        <w:bidi w:val="0"/>
        <w:spacing w:line="276" w:lineRule="auto"/>
        <w:ind w:left="426" w:hanging="426"/>
        <w:jc w:val="left"/>
        <w:outlineLvl w:val="1"/>
        <w:rPr>
          <w:rFonts w:hint="eastAsia" w:ascii="宋体" w:hAnsi="宋体" w:eastAsia="宋体" w:cs="宋体"/>
          <w:b/>
          <w:color w:val="auto"/>
          <w:kern w:val="0"/>
          <w:szCs w:val="21"/>
          <w:highlight w:val="none"/>
          <w:lang w:val="zh-CN"/>
        </w:rPr>
      </w:pPr>
      <w:bookmarkStart w:id="48" w:name="_Toc28601"/>
      <w:bookmarkStart w:id="49" w:name="_Toc494561947"/>
      <w:r>
        <w:rPr>
          <w:rFonts w:hint="eastAsia" w:ascii="宋体" w:hAnsi="宋体" w:eastAsia="宋体" w:cs="宋体"/>
          <w:b/>
          <w:color w:val="auto"/>
          <w:kern w:val="0"/>
          <w:szCs w:val="21"/>
          <w:highlight w:val="none"/>
          <w:lang w:val="zh-CN"/>
        </w:rPr>
        <w:t>相关条文解读</w:t>
      </w:r>
      <w:bookmarkEnd w:id="48"/>
    </w:p>
    <w:p w14:paraId="22BE61D1">
      <w:pPr>
        <w:pageBreakBefore w:val="0"/>
        <w:widowControl w:val="0"/>
        <w:numPr>
          <w:ilvl w:val="0"/>
          <w:numId w:val="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74ACF2FC">
      <w:pPr>
        <w:pageBreakBefore w:val="0"/>
        <w:widowControl w:val="0"/>
        <w:numPr>
          <w:ilvl w:val="0"/>
          <w:numId w:val="2"/>
        </w:numPr>
        <w:kinsoku/>
        <w:wordWrap w:val="0"/>
        <w:overflowPunct/>
        <w:bidi w:val="0"/>
        <w:spacing w:line="276" w:lineRule="auto"/>
        <w:ind w:left="426" w:hanging="42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0FBCE83B">
      <w:pPr>
        <w:pageBreakBefore w:val="0"/>
        <w:widowControl w:val="0"/>
        <w:numPr>
          <w:ilvl w:val="0"/>
          <w:numId w:val="2"/>
        </w:numPr>
        <w:kinsoku/>
        <w:wordWrap w:val="0"/>
        <w:overflowPunct/>
        <w:bidi w:val="0"/>
        <w:spacing w:line="276" w:lineRule="auto"/>
        <w:ind w:left="426" w:hanging="42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投标人在参加政府采购活动前3年内因违法经营被禁止在一定期限内参加政府采购活动，期限届满的，可以参加政府采购活动。</w:t>
      </w:r>
    </w:p>
    <w:bookmarkEnd w:id="49"/>
    <w:p w14:paraId="448922DB">
      <w:pPr>
        <w:keepNext/>
        <w:keepLines/>
        <w:pageBreakBefore w:val="0"/>
        <w:widowControl w:val="0"/>
        <w:numPr>
          <w:ilvl w:val="0"/>
          <w:numId w:val="1"/>
        </w:numPr>
        <w:kinsoku/>
        <w:wordWrap w:val="0"/>
        <w:overflowPunct/>
        <w:bidi w:val="0"/>
        <w:spacing w:line="276" w:lineRule="auto"/>
        <w:ind w:left="658" w:hanging="658"/>
        <w:jc w:val="left"/>
        <w:outlineLvl w:val="1"/>
        <w:rPr>
          <w:rFonts w:hint="eastAsia" w:ascii="宋体" w:hAnsi="宋体" w:eastAsia="宋体" w:cs="宋体"/>
          <w:b/>
          <w:color w:val="auto"/>
          <w:kern w:val="0"/>
          <w:szCs w:val="21"/>
          <w:highlight w:val="none"/>
          <w:lang w:val="zh-CN"/>
        </w:rPr>
      </w:pPr>
      <w:bookmarkStart w:id="50" w:name="_Toc494561949"/>
      <w:bookmarkStart w:id="51" w:name="_Toc272247701"/>
      <w:bookmarkStart w:id="52" w:name="_Toc278891598"/>
      <w:bookmarkStart w:id="53" w:name="_Toc15215"/>
      <w:r>
        <w:rPr>
          <w:rFonts w:hint="eastAsia" w:ascii="宋体" w:hAnsi="宋体" w:eastAsia="宋体" w:cs="宋体"/>
          <w:b/>
          <w:color w:val="auto"/>
          <w:kern w:val="0"/>
          <w:szCs w:val="21"/>
          <w:highlight w:val="none"/>
          <w:lang w:val="zh-CN"/>
        </w:rPr>
        <w:t>适用法律</w:t>
      </w:r>
      <w:bookmarkEnd w:id="50"/>
      <w:bookmarkEnd w:id="51"/>
      <w:bookmarkEnd w:id="52"/>
      <w:r>
        <w:rPr>
          <w:rFonts w:hint="eastAsia" w:ascii="宋体" w:hAnsi="宋体" w:eastAsia="宋体" w:cs="宋体"/>
          <w:b/>
          <w:color w:val="auto"/>
          <w:kern w:val="0"/>
          <w:szCs w:val="21"/>
          <w:highlight w:val="none"/>
          <w:lang w:val="zh-CN"/>
        </w:rPr>
        <w:t>、法规、规章及规范性文件</w:t>
      </w:r>
      <w:bookmarkEnd w:id="53"/>
    </w:p>
    <w:p w14:paraId="5D585F40">
      <w:pPr>
        <w:pageBreakBefore w:val="0"/>
        <w:widowControl w:val="0"/>
        <w:numPr>
          <w:ilvl w:val="0"/>
          <w:numId w:val="2"/>
        </w:numPr>
        <w:kinsoku/>
        <w:wordWrap w:val="0"/>
        <w:overflowPunct/>
        <w:bidi w:val="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采购人、采购代理机构及投标人的一切招标投标活动均适用《中华人民共和国政府采购法》、</w:t>
      </w:r>
      <w:r>
        <w:rPr>
          <w:rFonts w:hint="eastAsia" w:ascii="宋体" w:hAnsi="宋体" w:eastAsia="宋体" w:cs="宋体"/>
          <w:bCs/>
          <w:color w:val="auto"/>
          <w:szCs w:val="21"/>
          <w:highlight w:val="none"/>
          <w:lang w:val="zh-CN"/>
        </w:rPr>
        <w:t>《中华人民共和国政府采购法实施条例》</w:t>
      </w:r>
      <w:r>
        <w:rPr>
          <w:rFonts w:hint="eastAsia" w:ascii="宋体" w:hAnsi="宋体" w:eastAsia="宋体" w:cs="宋体"/>
          <w:color w:val="auto"/>
          <w:szCs w:val="21"/>
          <w:highlight w:val="none"/>
          <w:lang w:val="zh-CN"/>
        </w:rPr>
        <w:t>、</w:t>
      </w:r>
      <w:r>
        <w:rPr>
          <w:rFonts w:hint="eastAsia" w:ascii="宋体" w:hAnsi="宋体" w:eastAsia="宋体" w:cs="宋体"/>
          <w:bCs/>
          <w:color w:val="auto"/>
          <w:szCs w:val="21"/>
          <w:highlight w:val="none"/>
          <w:lang w:val="zh-CN"/>
        </w:rPr>
        <w:t>《政府采购货物和服务招标投标管理办法》（财政部令第87号）</w:t>
      </w:r>
      <w:r>
        <w:rPr>
          <w:rFonts w:hint="eastAsia" w:ascii="宋体" w:hAnsi="宋体" w:eastAsia="宋体" w:cs="宋体"/>
          <w:color w:val="auto"/>
          <w:szCs w:val="21"/>
          <w:highlight w:val="none"/>
          <w:lang w:val="zh-CN"/>
        </w:rPr>
        <w:t>及相关法律法规。</w:t>
      </w:r>
    </w:p>
    <w:p w14:paraId="68795ADD">
      <w:pPr>
        <w:pageBreakBefore w:val="0"/>
        <w:widowControl w:val="0"/>
        <w:numPr>
          <w:ilvl w:val="0"/>
          <w:numId w:val="2"/>
        </w:numPr>
        <w:kinsoku/>
        <w:wordWrap w:val="0"/>
        <w:overflowPunct/>
        <w:bidi w:val="0"/>
        <w:spacing w:line="276" w:lineRule="auto"/>
        <w:ind w:left="426" w:hanging="42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政府采购合同的履行</w:t>
      </w:r>
      <w:r>
        <w:rPr>
          <w:rFonts w:hint="eastAsia" w:ascii="宋体" w:hAnsi="宋体" w:eastAsia="宋体" w:cs="宋体"/>
          <w:color w:val="auto"/>
          <w:kern w:val="0"/>
          <w:szCs w:val="21"/>
          <w:highlight w:val="none"/>
          <w:lang w:val="zh-CN"/>
        </w:rPr>
        <w:t>、违约责任和解决争议的方法等适用《中华人民共和国民法典》。</w:t>
      </w:r>
    </w:p>
    <w:p w14:paraId="2013A5FD">
      <w:pPr>
        <w:keepNext/>
        <w:keepLines/>
        <w:pageBreakBefore w:val="0"/>
        <w:widowControl w:val="0"/>
        <w:numPr>
          <w:ilvl w:val="0"/>
          <w:numId w:val="1"/>
        </w:numPr>
        <w:kinsoku/>
        <w:wordWrap w:val="0"/>
        <w:overflowPunct/>
        <w:bidi w:val="0"/>
        <w:spacing w:line="276" w:lineRule="auto"/>
        <w:ind w:left="658" w:hanging="658"/>
        <w:jc w:val="left"/>
        <w:outlineLvl w:val="1"/>
        <w:rPr>
          <w:rFonts w:hint="eastAsia" w:ascii="宋体" w:hAnsi="宋体" w:eastAsia="宋体" w:cs="宋体"/>
          <w:b/>
          <w:color w:val="auto"/>
          <w:kern w:val="0"/>
          <w:szCs w:val="21"/>
          <w:highlight w:val="none"/>
          <w:lang w:val="zh-CN"/>
        </w:rPr>
      </w:pPr>
      <w:bookmarkStart w:id="54" w:name="_Toc272247702"/>
      <w:bookmarkStart w:id="55" w:name="_Toc494561950"/>
      <w:bookmarkStart w:id="56" w:name="_Toc18811"/>
      <w:bookmarkStart w:id="57" w:name="_Toc278891599"/>
      <w:r>
        <w:rPr>
          <w:rFonts w:hint="eastAsia" w:ascii="宋体" w:hAnsi="宋体" w:eastAsia="宋体" w:cs="宋体"/>
          <w:b/>
          <w:color w:val="auto"/>
          <w:kern w:val="0"/>
          <w:szCs w:val="21"/>
          <w:highlight w:val="none"/>
          <w:lang w:val="zh-CN"/>
        </w:rPr>
        <w:t>招标文件的解释权</w:t>
      </w:r>
      <w:bookmarkEnd w:id="54"/>
      <w:bookmarkEnd w:id="55"/>
      <w:bookmarkEnd w:id="56"/>
      <w:bookmarkEnd w:id="57"/>
    </w:p>
    <w:p w14:paraId="5E99FC07">
      <w:pPr>
        <w:pageBreakBefore w:val="0"/>
        <w:widowControl w:val="0"/>
        <w:numPr>
          <w:ilvl w:val="0"/>
          <w:numId w:val="2"/>
        </w:numPr>
        <w:kinsoku/>
        <w:wordWrap w:val="0"/>
        <w:overflowPunct/>
        <w:bidi w:val="0"/>
        <w:spacing w:line="276" w:lineRule="auto"/>
        <w:ind w:left="426" w:hanging="426"/>
        <w:rPr>
          <w:rFonts w:hint="eastAsia" w:ascii="宋体" w:hAnsi="宋体" w:eastAsia="宋体" w:cs="宋体"/>
          <w:color w:val="auto"/>
          <w:highlight w:val="none"/>
          <w:lang w:val="zh-CN"/>
        </w:rPr>
      </w:pPr>
      <w:r>
        <w:rPr>
          <w:rFonts w:hint="eastAsia" w:ascii="宋体" w:hAnsi="宋体" w:eastAsia="宋体" w:cs="宋体"/>
          <w:color w:val="auto"/>
          <w:szCs w:val="21"/>
          <w:highlight w:val="none"/>
          <w:lang w:val="zh-CN"/>
        </w:rPr>
        <w:t>招标文件的最终解释权为采购人、采购代理机构所有。</w:t>
      </w:r>
    </w:p>
    <w:p w14:paraId="7746EBA8">
      <w:pPr>
        <w:pageBreakBefore w:val="0"/>
        <w:widowControl w:val="0"/>
        <w:kinsoku/>
        <w:wordWrap w:val="0"/>
        <w:overflowPunct/>
        <w:bidi w:val="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br w:type="page"/>
      </w:r>
    </w:p>
    <w:p w14:paraId="5F6BF0FA">
      <w:pPr>
        <w:pageBreakBefore w:val="0"/>
        <w:widowControl w:val="0"/>
        <w:kinsoku/>
        <w:wordWrap w:val="0"/>
        <w:overflowPunct/>
        <w:bidi w:val="0"/>
        <w:spacing w:line="276" w:lineRule="auto"/>
        <w:jc w:val="center"/>
        <w:outlineLvl w:val="0"/>
        <w:rPr>
          <w:rFonts w:hint="eastAsia" w:ascii="宋体" w:hAnsi="宋体" w:eastAsia="宋体" w:cs="宋体"/>
          <w:b/>
          <w:bCs/>
          <w:color w:val="auto"/>
          <w:kern w:val="0"/>
          <w:sz w:val="24"/>
          <w:szCs w:val="24"/>
          <w:highlight w:val="none"/>
          <w:lang w:val="en-US" w:eastAsia="zh-CN"/>
        </w:rPr>
      </w:pPr>
      <w:bookmarkStart w:id="58" w:name="_Toc958"/>
      <w:r>
        <w:rPr>
          <w:rFonts w:hint="eastAsia" w:ascii="宋体" w:hAnsi="宋体" w:eastAsia="宋体" w:cs="宋体"/>
          <w:color w:val="auto"/>
          <w:sz w:val="28"/>
          <w:szCs w:val="28"/>
          <w:highlight w:val="none"/>
        </w:rPr>
        <w:t>第三章技术、服务及商务要求</w:t>
      </w:r>
      <w:bookmarkEnd w:id="58"/>
    </w:p>
    <w:p w14:paraId="127357FB">
      <w:pPr>
        <w:keepNext w:val="0"/>
        <w:keepLines w:val="0"/>
        <w:pageBreakBefore w:val="0"/>
        <w:widowControl w:val="0"/>
        <w:tabs>
          <w:tab w:val="center" w:pos="4153"/>
          <w:tab w:val="right" w:pos="8306"/>
        </w:tabs>
        <w:kinsoku/>
        <w:wordWrap w:val="0"/>
        <w:overflowPunct/>
        <w:topLinePunct w:val="0"/>
        <w:autoSpaceDE/>
        <w:autoSpaceDN/>
        <w:bidi w:val="0"/>
        <w:adjustRightInd w:val="0"/>
        <w:snapToGrid w:val="0"/>
        <w:spacing w:line="480" w:lineRule="exact"/>
        <w:ind w:left="0" w:firstLine="482" w:firstLineChars="200"/>
        <w:textAlignment w:val="baseline"/>
        <w:outlineLvl w:val="1"/>
        <w:rPr>
          <w:rFonts w:hint="eastAsia" w:ascii="宋体" w:hAnsi="宋体" w:eastAsia="宋体" w:cs="宋体"/>
          <w:b/>
          <w:color w:val="auto"/>
          <w:sz w:val="24"/>
          <w:szCs w:val="24"/>
          <w:highlight w:val="none"/>
        </w:rPr>
      </w:pPr>
      <w:bookmarkStart w:id="59" w:name="_Toc16365"/>
      <w:r>
        <w:rPr>
          <w:rFonts w:hint="eastAsia" w:ascii="宋体" w:hAnsi="宋体" w:eastAsia="宋体" w:cs="宋体"/>
          <w:b/>
          <w:color w:val="auto"/>
          <w:sz w:val="24"/>
          <w:szCs w:val="24"/>
          <w:highlight w:val="none"/>
        </w:rPr>
        <w:t>一、综述</w:t>
      </w:r>
      <w:bookmarkEnd w:id="59"/>
    </w:p>
    <w:p w14:paraId="6D71446F">
      <w:pPr>
        <w:keepNext w:val="0"/>
        <w:keepLines w:val="0"/>
        <w:pageBreakBefore w:val="0"/>
        <w:widowControl w:val="0"/>
        <w:numPr>
          <w:ilvl w:val="0"/>
          <w:numId w:val="0"/>
        </w:numPr>
        <w:tabs>
          <w:tab w:val="center" w:pos="4153"/>
          <w:tab w:val="right" w:pos="8306"/>
        </w:tabs>
        <w:kinsoku/>
        <w:wordWrap w:val="0"/>
        <w:overflowPunct/>
        <w:topLinePunct w:val="0"/>
        <w:autoSpaceDE/>
        <w:autoSpaceDN/>
        <w:bidi w:val="0"/>
        <w:adjustRightInd w:val="0"/>
        <w:snapToGrid w:val="0"/>
        <w:spacing w:line="480" w:lineRule="exact"/>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(一)</w:t>
      </w:r>
      <w:r>
        <w:rPr>
          <w:rFonts w:hint="eastAsia" w:ascii="宋体" w:hAnsi="宋体" w:eastAsia="宋体" w:cs="宋体"/>
          <w:color w:val="auto"/>
          <w:sz w:val="24"/>
          <w:szCs w:val="24"/>
          <w:highlight w:val="none"/>
        </w:rPr>
        <w:t>采购货物名称、数量、主要规格或主要技术参数要求</w:t>
      </w:r>
    </w:p>
    <w:tbl>
      <w:tblPr>
        <w:tblStyle w:val="2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232"/>
        <w:gridCol w:w="2028"/>
        <w:gridCol w:w="3156"/>
        <w:gridCol w:w="778"/>
        <w:gridCol w:w="797"/>
        <w:gridCol w:w="1119"/>
      </w:tblGrid>
      <w:tr w14:paraId="37E3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70" w:type="pct"/>
            <w:tcBorders>
              <w:top w:val="single" w:color="auto" w:sz="4" w:space="0"/>
              <w:left w:val="single" w:color="auto" w:sz="4" w:space="0"/>
              <w:bottom w:val="single" w:color="auto" w:sz="4" w:space="0"/>
              <w:right w:val="single" w:color="auto" w:sz="4" w:space="0"/>
            </w:tcBorders>
            <w:vAlign w:val="center"/>
          </w:tcPr>
          <w:p w14:paraId="3E816CC4">
            <w:pPr>
              <w:keepNext w:val="0"/>
              <w:keepLines w:val="0"/>
              <w:pageBreakBefore w:val="0"/>
              <w:widowControl w:val="0"/>
              <w:suppressLineNumbers w:val="0"/>
              <w:kinsoku/>
              <w:wordWrap w:val="0"/>
              <w:overflowPunct/>
              <w:topLinePunct w:val="0"/>
              <w:autoSpaceDE/>
              <w:autoSpaceDN/>
              <w:bidi w:val="0"/>
              <w:adjustRightInd w:val="0"/>
              <w:spacing w:before="0" w:beforeAutospacing="0" w:after="0" w:afterAutospacing="0" w:line="48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包</w:t>
            </w:r>
            <w:r>
              <w:rPr>
                <w:rFonts w:hint="eastAsia" w:ascii="宋体" w:hAnsi="宋体" w:eastAsia="宋体" w:cs="宋体"/>
                <w:color w:val="auto"/>
                <w:sz w:val="24"/>
                <w:szCs w:val="24"/>
                <w:highlight w:val="none"/>
              </w:rPr>
              <w:t>号</w:t>
            </w:r>
          </w:p>
        </w:tc>
        <w:tc>
          <w:tcPr>
            <w:tcW w:w="626" w:type="pct"/>
            <w:tcBorders>
              <w:top w:val="single" w:color="auto" w:sz="4" w:space="0"/>
              <w:left w:val="single" w:color="auto" w:sz="4" w:space="0"/>
              <w:bottom w:val="single" w:color="auto" w:sz="4" w:space="0"/>
              <w:right w:val="single" w:color="auto" w:sz="4" w:space="0"/>
            </w:tcBorders>
            <w:vAlign w:val="center"/>
          </w:tcPr>
          <w:p w14:paraId="4AF28A88">
            <w:pPr>
              <w:keepNext w:val="0"/>
              <w:keepLines w:val="0"/>
              <w:pageBreakBefore w:val="0"/>
              <w:widowControl w:val="0"/>
              <w:suppressLineNumbers w:val="0"/>
              <w:kinsoku/>
              <w:wordWrap w:val="0"/>
              <w:overflowPunct/>
              <w:topLinePunct w:val="0"/>
              <w:autoSpaceDE/>
              <w:autoSpaceDN/>
              <w:bidi w:val="0"/>
              <w:adjustRightInd w:val="0"/>
              <w:spacing w:before="0" w:beforeAutospacing="0" w:after="0" w:afterAutospacing="0" w:line="48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序号</w:t>
            </w:r>
          </w:p>
        </w:tc>
        <w:tc>
          <w:tcPr>
            <w:tcW w:w="1030" w:type="pct"/>
            <w:tcBorders>
              <w:top w:val="single" w:color="auto" w:sz="4" w:space="0"/>
              <w:left w:val="single" w:color="auto" w:sz="4" w:space="0"/>
              <w:bottom w:val="single" w:color="auto" w:sz="4" w:space="0"/>
              <w:right w:val="single" w:color="auto" w:sz="4" w:space="0"/>
            </w:tcBorders>
            <w:vAlign w:val="center"/>
          </w:tcPr>
          <w:p w14:paraId="4D59B720">
            <w:pPr>
              <w:keepNext w:val="0"/>
              <w:keepLines w:val="0"/>
              <w:pageBreakBefore w:val="0"/>
              <w:widowControl w:val="0"/>
              <w:suppressLineNumbers w:val="0"/>
              <w:kinsoku/>
              <w:wordWrap w:val="0"/>
              <w:overflowPunct/>
              <w:topLinePunct w:val="0"/>
              <w:autoSpaceDE/>
              <w:autoSpaceDN/>
              <w:bidi w:val="0"/>
              <w:adjustRightInd w:val="0"/>
              <w:spacing w:before="0" w:beforeAutospacing="0" w:after="0" w:afterAutospacing="0" w:line="4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1603" w:type="pct"/>
            <w:tcBorders>
              <w:top w:val="single" w:color="auto" w:sz="4" w:space="0"/>
              <w:left w:val="single" w:color="auto" w:sz="4" w:space="0"/>
              <w:bottom w:val="single" w:color="auto" w:sz="4" w:space="0"/>
              <w:right w:val="single" w:color="auto" w:sz="4" w:space="0"/>
            </w:tcBorders>
            <w:vAlign w:val="center"/>
          </w:tcPr>
          <w:p w14:paraId="77689791">
            <w:pPr>
              <w:keepNext w:val="0"/>
              <w:keepLines w:val="0"/>
              <w:pageBreakBefore w:val="0"/>
              <w:widowControl w:val="0"/>
              <w:suppressLineNumbers w:val="0"/>
              <w:kinsoku/>
              <w:wordWrap w:val="0"/>
              <w:overflowPunct/>
              <w:topLinePunct w:val="0"/>
              <w:autoSpaceDE/>
              <w:autoSpaceDN/>
              <w:bidi w:val="0"/>
              <w:adjustRightInd w:val="0"/>
              <w:spacing w:before="0" w:beforeAutospacing="0" w:after="0" w:afterAutospacing="0" w:line="4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规格（主要技术参数）</w:t>
            </w:r>
          </w:p>
        </w:tc>
        <w:tc>
          <w:tcPr>
            <w:tcW w:w="395" w:type="pct"/>
            <w:tcBorders>
              <w:top w:val="single" w:color="auto" w:sz="4" w:space="0"/>
              <w:left w:val="single" w:color="auto" w:sz="4" w:space="0"/>
              <w:bottom w:val="single" w:color="auto" w:sz="4" w:space="0"/>
              <w:right w:val="single" w:color="auto" w:sz="4" w:space="0"/>
            </w:tcBorders>
            <w:vAlign w:val="center"/>
          </w:tcPr>
          <w:p w14:paraId="25AF88A9">
            <w:pPr>
              <w:keepNext w:val="0"/>
              <w:keepLines w:val="0"/>
              <w:pageBreakBefore w:val="0"/>
              <w:widowControl w:val="0"/>
              <w:suppressLineNumbers w:val="0"/>
              <w:kinsoku/>
              <w:wordWrap w:val="0"/>
              <w:overflowPunct/>
              <w:topLinePunct w:val="0"/>
              <w:autoSpaceDE/>
              <w:autoSpaceDN/>
              <w:bidi w:val="0"/>
              <w:adjustRightInd w:val="0"/>
              <w:spacing w:before="0" w:beforeAutospacing="0" w:after="0" w:afterAutospacing="0" w:line="4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405" w:type="pct"/>
            <w:tcBorders>
              <w:top w:val="single" w:color="auto" w:sz="4" w:space="0"/>
              <w:left w:val="single" w:color="auto" w:sz="4" w:space="0"/>
              <w:bottom w:val="single" w:color="auto" w:sz="4" w:space="0"/>
              <w:right w:val="single" w:color="auto" w:sz="4" w:space="0"/>
            </w:tcBorders>
            <w:vAlign w:val="center"/>
          </w:tcPr>
          <w:p w14:paraId="390CA623">
            <w:pPr>
              <w:keepNext w:val="0"/>
              <w:keepLines w:val="0"/>
              <w:pageBreakBefore w:val="0"/>
              <w:widowControl w:val="0"/>
              <w:suppressLineNumbers w:val="0"/>
              <w:kinsoku/>
              <w:wordWrap w:val="0"/>
              <w:overflowPunct/>
              <w:topLinePunct w:val="0"/>
              <w:autoSpaceDE/>
              <w:autoSpaceDN/>
              <w:bidi w:val="0"/>
              <w:adjustRightInd w:val="0"/>
              <w:spacing w:before="0" w:beforeAutospacing="0" w:after="0" w:afterAutospacing="0" w:line="4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568" w:type="pct"/>
            <w:tcBorders>
              <w:top w:val="single" w:color="auto" w:sz="4" w:space="0"/>
              <w:left w:val="single" w:color="auto" w:sz="4" w:space="0"/>
              <w:bottom w:val="single" w:color="auto" w:sz="4" w:space="0"/>
              <w:right w:val="single" w:color="auto" w:sz="4" w:space="0"/>
            </w:tcBorders>
            <w:vAlign w:val="center"/>
          </w:tcPr>
          <w:p w14:paraId="5B61F62E">
            <w:pPr>
              <w:keepNext w:val="0"/>
              <w:keepLines w:val="0"/>
              <w:pageBreakBefore w:val="0"/>
              <w:widowControl w:val="0"/>
              <w:suppressLineNumbers w:val="0"/>
              <w:kinsoku/>
              <w:wordWrap w:val="0"/>
              <w:overflowPunct/>
              <w:topLinePunct w:val="0"/>
              <w:autoSpaceDE/>
              <w:autoSpaceDN/>
              <w:bidi w:val="0"/>
              <w:adjustRightInd w:val="0"/>
              <w:spacing w:before="0" w:beforeAutospacing="0" w:after="0" w:afterAutospacing="0" w:line="4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78C05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0" w:type="pct"/>
            <w:vMerge w:val="restart"/>
            <w:tcBorders>
              <w:top w:val="single" w:color="auto" w:sz="4" w:space="0"/>
              <w:left w:val="single" w:color="auto" w:sz="4" w:space="0"/>
              <w:right w:val="single" w:color="auto" w:sz="4" w:space="0"/>
            </w:tcBorders>
            <w:vAlign w:val="center"/>
          </w:tcPr>
          <w:p w14:paraId="240DBC05">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ind w:left="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val="en-US" w:eastAsia="zh-CN"/>
              </w:rPr>
              <w:t>包</w:t>
            </w:r>
            <w:r>
              <w:rPr>
                <w:rFonts w:hint="eastAsia" w:ascii="宋体" w:hAnsi="宋体" w:eastAsia="宋体" w:cs="宋体"/>
                <w:color w:val="auto"/>
                <w:kern w:val="2"/>
                <w:sz w:val="24"/>
                <w:szCs w:val="24"/>
                <w:highlight w:val="none"/>
              </w:rPr>
              <w:t>1</w:t>
            </w:r>
          </w:p>
        </w:tc>
        <w:tc>
          <w:tcPr>
            <w:tcW w:w="626" w:type="pct"/>
            <w:tcBorders>
              <w:top w:val="single" w:color="auto" w:sz="4" w:space="0"/>
              <w:left w:val="single" w:color="auto" w:sz="4" w:space="0"/>
              <w:bottom w:val="single" w:color="auto" w:sz="4" w:space="0"/>
              <w:right w:val="single" w:color="auto" w:sz="4" w:space="0"/>
            </w:tcBorders>
            <w:vAlign w:val="center"/>
          </w:tcPr>
          <w:p w14:paraId="294E7AC1">
            <w:pPr>
              <w:keepNext w:val="0"/>
              <w:keepLines w:val="0"/>
              <w:widowControl/>
              <w:suppressLineNumbers w:val="0"/>
              <w:spacing w:before="0" w:beforeAutospacing="0" w:after="0" w:afterAutospacing="0" w:line="400" w:lineRule="exact"/>
              <w:ind w:left="0" w:right="0"/>
              <w:jc w:val="center"/>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w:t>
            </w:r>
          </w:p>
        </w:tc>
        <w:tc>
          <w:tcPr>
            <w:tcW w:w="1030" w:type="pct"/>
            <w:tcBorders>
              <w:top w:val="single" w:color="auto" w:sz="4" w:space="0"/>
              <w:left w:val="single" w:color="auto" w:sz="4" w:space="0"/>
              <w:bottom w:val="single" w:color="auto" w:sz="4" w:space="0"/>
              <w:right w:val="single" w:color="auto" w:sz="4" w:space="0"/>
            </w:tcBorders>
            <w:vAlign w:val="center"/>
          </w:tcPr>
          <w:p w14:paraId="3F27A06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bCs/>
                <w:color w:val="auto"/>
                <w:sz w:val="24"/>
                <w:szCs w:val="24"/>
                <w:highlight w:val="none"/>
              </w:rPr>
            </w:pPr>
            <w:r>
              <w:rPr>
                <w:rFonts w:hint="eastAsia" w:ascii="宋体" w:hAnsi="宋体" w:cs="Times New Roman"/>
                <w:b/>
                <w:bCs/>
                <w:color w:val="auto"/>
                <w:sz w:val="24"/>
                <w:szCs w:val="24"/>
                <w:highlight w:val="none"/>
              </w:rPr>
              <w:t>全电一体炉</w:t>
            </w:r>
          </w:p>
        </w:tc>
        <w:tc>
          <w:tcPr>
            <w:tcW w:w="1603" w:type="pct"/>
            <w:vMerge w:val="restart"/>
            <w:tcBorders>
              <w:top w:val="single" w:color="auto" w:sz="4" w:space="0"/>
              <w:left w:val="single" w:color="auto" w:sz="4" w:space="0"/>
              <w:right w:val="single" w:color="auto" w:sz="4" w:space="0"/>
            </w:tcBorders>
            <w:vAlign w:val="center"/>
          </w:tcPr>
          <w:p w14:paraId="3A6B5C9D">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ind w:left="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none"/>
              </w:rPr>
              <w:t>详见本章“二、技术、服务要求”</w:t>
            </w:r>
          </w:p>
        </w:tc>
        <w:tc>
          <w:tcPr>
            <w:tcW w:w="395" w:type="pct"/>
            <w:tcBorders>
              <w:top w:val="single" w:color="auto" w:sz="4" w:space="0"/>
              <w:left w:val="single" w:color="auto" w:sz="4" w:space="0"/>
              <w:right w:val="single" w:color="auto" w:sz="4" w:space="0"/>
            </w:tcBorders>
            <w:vAlign w:val="center"/>
          </w:tcPr>
          <w:p w14:paraId="25DFAEF0">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ind w:left="0" w:right="0" w:firstLine="0" w:firstLineChars="0"/>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套</w:t>
            </w:r>
          </w:p>
        </w:tc>
        <w:tc>
          <w:tcPr>
            <w:tcW w:w="405" w:type="pct"/>
            <w:tcBorders>
              <w:top w:val="single" w:color="auto" w:sz="4" w:space="0"/>
              <w:left w:val="single" w:color="auto" w:sz="4" w:space="0"/>
              <w:right w:val="single" w:color="auto" w:sz="4" w:space="0"/>
            </w:tcBorders>
            <w:vAlign w:val="center"/>
          </w:tcPr>
          <w:p w14:paraId="69D70A8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w:t>
            </w:r>
          </w:p>
        </w:tc>
        <w:tc>
          <w:tcPr>
            <w:tcW w:w="568" w:type="pct"/>
            <w:tcBorders>
              <w:top w:val="single" w:color="auto" w:sz="4" w:space="0"/>
              <w:left w:val="single" w:color="auto" w:sz="4" w:space="0"/>
              <w:right w:val="single" w:color="auto" w:sz="4" w:space="0"/>
            </w:tcBorders>
            <w:vAlign w:val="center"/>
          </w:tcPr>
          <w:p w14:paraId="0DCE6AD9">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ind w:left="0" w:right="0" w:firstLine="0" w:firstLineChars="0"/>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核心产品</w:t>
            </w:r>
          </w:p>
        </w:tc>
      </w:tr>
      <w:tr w14:paraId="73DE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0" w:type="pct"/>
            <w:vMerge w:val="continue"/>
            <w:tcBorders>
              <w:left w:val="single" w:color="auto" w:sz="4" w:space="0"/>
              <w:bottom w:val="single" w:color="auto" w:sz="4" w:space="0"/>
              <w:right w:val="single" w:color="auto" w:sz="4" w:space="0"/>
            </w:tcBorders>
            <w:vAlign w:val="center"/>
          </w:tcPr>
          <w:p w14:paraId="0B6618D3">
            <w:pPr>
              <w:keepNext w:val="0"/>
              <w:keepLines w:val="0"/>
              <w:widowControl/>
              <w:suppressLineNumbers w:val="0"/>
              <w:spacing w:before="0" w:beforeAutospacing="0" w:after="0" w:afterAutospacing="0" w:line="400" w:lineRule="exact"/>
              <w:ind w:left="0" w:right="0"/>
              <w:jc w:val="center"/>
              <w:rPr>
                <w:rFonts w:hint="default"/>
                <w:color w:val="auto"/>
                <w:sz w:val="24"/>
                <w:szCs w:val="24"/>
                <w:highlight w:val="none"/>
              </w:rPr>
            </w:pPr>
          </w:p>
        </w:tc>
        <w:tc>
          <w:tcPr>
            <w:tcW w:w="626" w:type="pct"/>
            <w:tcBorders>
              <w:top w:val="single" w:color="auto" w:sz="4" w:space="0"/>
              <w:left w:val="single" w:color="auto" w:sz="4" w:space="0"/>
              <w:bottom w:val="single" w:color="auto" w:sz="4" w:space="0"/>
              <w:right w:val="single" w:color="auto" w:sz="4" w:space="0"/>
            </w:tcBorders>
            <w:vAlign w:val="center"/>
          </w:tcPr>
          <w:p w14:paraId="4EE521E7">
            <w:pPr>
              <w:keepNext w:val="0"/>
              <w:keepLines w:val="0"/>
              <w:widowControl/>
              <w:suppressLineNumbers w:val="0"/>
              <w:spacing w:before="0" w:beforeAutospacing="0" w:after="0" w:afterAutospacing="0" w:line="400" w:lineRule="exact"/>
              <w:ind w:left="0" w:right="0"/>
              <w:jc w:val="center"/>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w:t>
            </w:r>
          </w:p>
        </w:tc>
        <w:tc>
          <w:tcPr>
            <w:tcW w:w="1030" w:type="pct"/>
            <w:tcBorders>
              <w:top w:val="single" w:color="auto" w:sz="4" w:space="0"/>
              <w:left w:val="single" w:color="auto" w:sz="4" w:space="0"/>
              <w:bottom w:val="single" w:color="auto" w:sz="4" w:space="0"/>
              <w:right w:val="single" w:color="auto" w:sz="4" w:space="0"/>
            </w:tcBorders>
            <w:vAlign w:val="center"/>
          </w:tcPr>
          <w:p w14:paraId="4FACE86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cs="Times New Roman"/>
                <w:color w:val="auto"/>
                <w:sz w:val="24"/>
                <w:szCs w:val="24"/>
                <w:highlight w:val="none"/>
              </w:rPr>
              <w:t>等离子体火炬</w:t>
            </w:r>
          </w:p>
        </w:tc>
        <w:tc>
          <w:tcPr>
            <w:tcW w:w="1603" w:type="pct"/>
            <w:vMerge w:val="continue"/>
            <w:tcBorders>
              <w:left w:val="single" w:color="auto" w:sz="4" w:space="0"/>
              <w:bottom w:val="single" w:color="auto" w:sz="4" w:space="0"/>
              <w:right w:val="single" w:color="auto" w:sz="4" w:space="0"/>
            </w:tcBorders>
            <w:vAlign w:val="center"/>
          </w:tcPr>
          <w:p w14:paraId="65FCDC8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395" w:type="pct"/>
            <w:tcBorders>
              <w:left w:val="single" w:color="auto" w:sz="4" w:space="0"/>
              <w:bottom w:val="single" w:color="auto" w:sz="4" w:space="0"/>
              <w:right w:val="single" w:color="auto" w:sz="4" w:space="0"/>
            </w:tcBorders>
            <w:vAlign w:val="center"/>
          </w:tcPr>
          <w:p w14:paraId="2DD5C673">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405" w:type="pct"/>
            <w:tcBorders>
              <w:left w:val="single" w:color="auto" w:sz="4" w:space="0"/>
              <w:bottom w:val="single" w:color="auto" w:sz="4" w:space="0"/>
              <w:right w:val="single" w:color="auto" w:sz="4" w:space="0"/>
            </w:tcBorders>
            <w:vAlign w:val="center"/>
          </w:tcPr>
          <w:p w14:paraId="30BC008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568" w:type="pct"/>
            <w:tcBorders>
              <w:left w:val="single" w:color="auto" w:sz="4" w:space="0"/>
              <w:right w:val="single" w:color="auto" w:sz="4" w:space="0"/>
            </w:tcBorders>
            <w:vAlign w:val="center"/>
          </w:tcPr>
          <w:p w14:paraId="39E6CF6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r>
    </w:tbl>
    <w:p w14:paraId="643FC04A">
      <w:pPr>
        <w:keepNext w:val="0"/>
        <w:keepLines w:val="0"/>
        <w:pageBreakBefore w:val="0"/>
        <w:widowControl w:val="0"/>
        <w:numPr>
          <w:ilvl w:val="0"/>
          <w:numId w:val="0"/>
        </w:numPr>
        <w:tabs>
          <w:tab w:val="center" w:pos="4153"/>
          <w:tab w:val="right" w:pos="8306"/>
        </w:tabs>
        <w:kinsoku/>
        <w:wordWrap w:val="0"/>
        <w:overflowPunct/>
        <w:topLinePunct w:val="0"/>
        <w:autoSpaceDE/>
        <w:autoSpaceDN/>
        <w:bidi w:val="0"/>
        <w:adjustRightInd w:val="0"/>
        <w:snapToGrid w:val="0"/>
        <w:spacing w:line="480" w:lineRule="exact"/>
        <w:ind w:left="0" w:leftChars="0" w:firstLine="482" w:firstLineChars="200"/>
        <w:textAlignment w:val="baseline"/>
        <w:outlineLvl w:val="1"/>
        <w:rPr>
          <w:rFonts w:hint="eastAsia" w:ascii="宋体" w:hAnsi="宋体" w:eastAsia="宋体" w:cs="宋体"/>
          <w:b/>
          <w:color w:val="auto"/>
          <w:sz w:val="24"/>
          <w:szCs w:val="24"/>
          <w:highlight w:val="none"/>
        </w:rPr>
      </w:pPr>
      <w:bookmarkStart w:id="60" w:name="_Toc16875"/>
      <w:r>
        <w:rPr>
          <w:rFonts w:hint="eastAsia" w:ascii="宋体" w:hAnsi="宋体" w:eastAsia="宋体" w:cs="宋体"/>
          <w:b/>
          <w:color w:val="auto"/>
          <w:kern w:val="2"/>
          <w:sz w:val="24"/>
          <w:szCs w:val="24"/>
          <w:highlight w:val="none"/>
          <w:lang w:val="en-US" w:eastAsia="zh-CN" w:bidi="ar-SA"/>
        </w:rPr>
        <w:t>二、</w:t>
      </w:r>
      <w:r>
        <w:rPr>
          <w:rFonts w:hint="eastAsia" w:ascii="宋体" w:hAnsi="宋体" w:eastAsia="宋体" w:cs="宋体"/>
          <w:b/>
          <w:color w:val="auto"/>
          <w:sz w:val="24"/>
          <w:szCs w:val="24"/>
          <w:highlight w:val="none"/>
        </w:rPr>
        <w:t>技术、服务要求</w:t>
      </w:r>
      <w:bookmarkEnd w:id="60"/>
    </w:p>
    <w:p w14:paraId="693ECF79">
      <w:pPr>
        <w:keepNext w:val="0"/>
        <w:keepLines w:val="0"/>
        <w:pageBreakBefore w:val="0"/>
        <w:widowControl w:val="0"/>
        <w:tabs>
          <w:tab w:val="center" w:pos="4153"/>
          <w:tab w:val="right" w:pos="8306"/>
        </w:tabs>
        <w:kinsoku/>
        <w:wordWrap w:val="0"/>
        <w:overflowPunct/>
        <w:topLinePunct w:val="0"/>
        <w:autoSpaceDE/>
        <w:autoSpaceDN/>
        <w:bidi w:val="0"/>
        <w:adjustRightInd w:val="0"/>
        <w:snapToGrid w:val="0"/>
        <w:spacing w:line="480" w:lineRule="exact"/>
        <w:ind w:left="0" w:firstLine="482" w:firstLineChars="200"/>
        <w:textAlignment w:val="baseline"/>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说明：</w:t>
      </w:r>
    </w:p>
    <w:p w14:paraId="136205EC">
      <w:pPr>
        <w:keepNext w:val="0"/>
        <w:keepLines w:val="0"/>
        <w:pageBreakBefore w:val="0"/>
        <w:widowControl w:val="0"/>
        <w:tabs>
          <w:tab w:val="center" w:pos="4153"/>
          <w:tab w:val="right" w:pos="8306"/>
        </w:tabs>
        <w:kinsoku/>
        <w:wordWrap w:val="0"/>
        <w:overflowPunct/>
        <w:topLinePunct w:val="0"/>
        <w:autoSpaceDE/>
        <w:autoSpaceDN/>
        <w:bidi w:val="0"/>
        <w:adjustRightInd w:val="0"/>
        <w:snapToGrid w:val="0"/>
        <w:spacing w:line="480" w:lineRule="exact"/>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①本采购需求描述中涉及品牌（如有）、规格、型号、尺寸及重量的均为参考，投标人可提供同等档次或更高档次产品，并提供相应技术参数证明其符合采购需求；</w:t>
      </w:r>
    </w:p>
    <w:p w14:paraId="4EE62048">
      <w:pPr>
        <w:keepNext w:val="0"/>
        <w:keepLines w:val="0"/>
        <w:pageBreakBefore w:val="0"/>
        <w:widowControl w:val="0"/>
        <w:tabs>
          <w:tab w:val="center" w:pos="4153"/>
          <w:tab w:val="right" w:pos="8306"/>
        </w:tabs>
        <w:kinsoku/>
        <w:wordWrap w:val="0"/>
        <w:overflowPunct/>
        <w:topLinePunct w:val="0"/>
        <w:autoSpaceDE/>
        <w:autoSpaceDN/>
        <w:bidi w:val="0"/>
        <w:adjustRightInd w:val="0"/>
        <w:snapToGrid w:val="0"/>
        <w:spacing w:line="480" w:lineRule="exact"/>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②标注“★”的代表关键指标，不满足该指标项将导致投标被拒绝，“</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rPr>
        <w:t>”代表重要指标，无标识则表示一般指标项；</w:t>
      </w:r>
    </w:p>
    <w:p w14:paraId="7E983207">
      <w:pPr>
        <w:keepNext w:val="0"/>
        <w:keepLines w:val="0"/>
        <w:pageBreakBefore w:val="0"/>
        <w:widowControl w:val="0"/>
        <w:tabs>
          <w:tab w:val="center" w:pos="4153"/>
          <w:tab w:val="right" w:pos="8306"/>
        </w:tabs>
        <w:kinsoku/>
        <w:wordWrap w:val="0"/>
        <w:overflowPunct/>
        <w:topLinePunct w:val="0"/>
        <w:autoSpaceDE/>
        <w:autoSpaceDN/>
        <w:bidi w:val="0"/>
        <w:adjustRightInd w:val="0"/>
        <w:snapToGrid w:val="0"/>
        <w:spacing w:line="480" w:lineRule="exact"/>
        <w:ind w:left="0" w:firstLine="480" w:firstLineChars="200"/>
        <w:textAlignment w:val="baseline"/>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③投标货物如属于强制节能产品品目内的，依据财库[2019]9号文的规定，应提供节能产品政府采购品目证书证明材料，否则按无效投标处理</w:t>
      </w:r>
      <w:r>
        <w:rPr>
          <w:rFonts w:hint="eastAsia" w:ascii="宋体" w:hAnsi="宋体" w:cs="宋体"/>
          <w:color w:val="auto"/>
          <w:sz w:val="24"/>
          <w:szCs w:val="24"/>
          <w:highlight w:val="none"/>
          <w:lang w:eastAsia="zh-CN"/>
        </w:rPr>
        <w:t>；</w:t>
      </w:r>
    </w:p>
    <w:p w14:paraId="6C399325">
      <w:pPr>
        <w:keepNext w:val="0"/>
        <w:keepLines w:val="0"/>
        <w:pageBreakBefore w:val="0"/>
        <w:widowControl w:val="0"/>
        <w:tabs>
          <w:tab w:val="center" w:pos="4153"/>
          <w:tab w:val="right" w:pos="8306"/>
        </w:tabs>
        <w:kinsoku/>
        <w:wordWrap w:val="0"/>
        <w:overflowPunct/>
        <w:topLinePunct w:val="0"/>
        <w:autoSpaceDE/>
        <w:autoSpaceDN/>
        <w:bidi w:val="0"/>
        <w:adjustRightInd w:val="0"/>
        <w:snapToGrid w:val="0"/>
        <w:spacing w:line="480" w:lineRule="exact"/>
        <w:ind w:left="0" w:firstLine="480" w:firstLineChars="200"/>
        <w:textAlignment w:val="baseline"/>
        <w:rPr>
          <w:rFonts w:hint="eastAsia" w:ascii="宋体" w:hAnsi="宋体" w:eastAsia="宋体" w:cs="宋体"/>
          <w:b w:val="0"/>
          <w:bCs w:val="0"/>
          <w:strike/>
          <w:dstrike w:val="0"/>
          <w:color w:val="auto"/>
          <w:sz w:val="24"/>
          <w:szCs w:val="24"/>
          <w:highlight w:val="none"/>
          <w:lang w:eastAsia="zh-CN"/>
        </w:rPr>
      </w:pPr>
      <w:r>
        <w:rPr>
          <w:rFonts w:hint="eastAsia" w:ascii="宋体" w:hAnsi="宋体" w:cs="宋体"/>
          <w:b w:val="0"/>
          <w:bCs w:val="0"/>
          <w:color w:val="auto"/>
          <w:sz w:val="24"/>
          <w:szCs w:val="24"/>
          <w:highlight w:val="none"/>
          <w:lang w:val="en-US" w:eastAsia="zh-CN"/>
        </w:rPr>
        <w:t>④</w:t>
      </w:r>
      <w:r>
        <w:rPr>
          <w:rFonts w:hint="eastAsia" w:ascii="宋体" w:hAnsi="宋体" w:cs="宋体"/>
          <w:b w:val="0"/>
          <w:bCs w:val="0"/>
          <w:color w:val="auto"/>
          <w:sz w:val="24"/>
          <w:szCs w:val="24"/>
          <w:highlight w:val="none"/>
          <w:lang w:eastAsia="zh-CN"/>
        </w:rPr>
        <w:t>投标人须提供包含相关指标项的证明材料</w:t>
      </w:r>
      <w:r>
        <w:rPr>
          <w:rFonts w:hint="eastAsia" w:ascii="宋体" w:hAnsi="宋体" w:cs="宋体"/>
          <w:b/>
          <w:bCs/>
          <w:color w:val="auto"/>
          <w:sz w:val="24"/>
          <w:szCs w:val="24"/>
          <w:highlight w:val="none"/>
          <w:lang w:eastAsia="zh-CN"/>
        </w:rPr>
        <w:t>，填“有”的</w:t>
      </w:r>
      <w:r>
        <w:rPr>
          <w:rFonts w:hint="eastAsia" w:ascii="宋体" w:hAnsi="宋体" w:cs="宋体"/>
          <w:b w:val="0"/>
          <w:bCs w:val="0"/>
          <w:color w:val="auto"/>
          <w:sz w:val="24"/>
          <w:szCs w:val="24"/>
          <w:highlight w:val="none"/>
          <w:lang w:eastAsia="zh-CN"/>
        </w:rPr>
        <w:t>，证明材料可以使用制造商官方网站截图或产品白皮书或第三方检测机构提供的检验报告</w:t>
      </w:r>
      <w:r>
        <w:rPr>
          <w:rFonts w:hint="eastAsia" w:ascii="宋体" w:hAnsi="宋体" w:eastAsia="宋体" w:cs="宋体"/>
          <w:bCs/>
          <w:color w:val="auto"/>
          <w:sz w:val="24"/>
          <w:szCs w:val="24"/>
        </w:rPr>
        <w:t>或</w:t>
      </w:r>
      <w:r>
        <w:rPr>
          <w:rFonts w:hint="eastAsia" w:ascii="宋体" w:hAnsi="宋体" w:cs="宋体"/>
          <w:bCs/>
          <w:color w:val="auto"/>
          <w:sz w:val="24"/>
          <w:szCs w:val="24"/>
          <w:lang w:val="en-US" w:eastAsia="zh-CN"/>
        </w:rPr>
        <w:t>投标人提供加盖公章的承诺函</w:t>
      </w:r>
      <w:r>
        <w:rPr>
          <w:rFonts w:hint="eastAsia" w:ascii="宋体" w:hAnsi="宋体" w:cs="宋体"/>
          <w:b w:val="0"/>
          <w:bCs w:val="0"/>
          <w:color w:val="auto"/>
          <w:sz w:val="24"/>
          <w:szCs w:val="24"/>
          <w:highlight w:val="none"/>
          <w:lang w:eastAsia="zh-CN"/>
        </w:rPr>
        <w:t>或其他相关证明材料，未提供有效证明材料或证明材料中内容与所填报指标不一致的，该指标按不满足处理。</w:t>
      </w:r>
      <w:r>
        <w:rPr>
          <w:rFonts w:hint="eastAsia" w:ascii="宋体" w:hAnsi="宋体" w:cs="宋体"/>
          <w:b/>
          <w:bCs/>
          <w:color w:val="auto"/>
          <w:sz w:val="24"/>
          <w:szCs w:val="24"/>
          <w:highlight w:val="none"/>
          <w:lang w:eastAsia="zh-CN"/>
        </w:rPr>
        <w:t>填“无”的，</w:t>
      </w:r>
      <w:r>
        <w:rPr>
          <w:rFonts w:hint="eastAsia" w:ascii="宋体" w:hAnsi="宋体" w:cs="宋体"/>
          <w:b w:val="0"/>
          <w:bCs w:val="0"/>
          <w:color w:val="auto"/>
          <w:sz w:val="24"/>
          <w:szCs w:val="24"/>
          <w:highlight w:val="none"/>
          <w:lang w:eastAsia="zh-CN"/>
        </w:rPr>
        <w:t>投标人提供加盖公章满足技术要求承诺函证明材料或在技术指标响应/偏离表中响应</w:t>
      </w:r>
      <w:r>
        <w:rPr>
          <w:rFonts w:hint="eastAsia" w:ascii="宋体" w:hAnsi="宋体" w:cs="宋体"/>
          <w:b/>
          <w:bCs/>
          <w:color w:val="auto"/>
          <w:sz w:val="24"/>
          <w:szCs w:val="24"/>
          <w:highlight w:val="none"/>
          <w:lang w:eastAsia="zh-CN"/>
        </w:rPr>
        <w:t>。如招标文件第三章采购需求中对是否需要证明材料有明确要求的，以第三章采购需求为准。</w:t>
      </w:r>
    </w:p>
    <w:p w14:paraId="212698B5">
      <w:pPr>
        <w:keepNext w:val="0"/>
        <w:keepLines w:val="0"/>
        <w:pageBreakBefore w:val="0"/>
        <w:widowControl w:val="0"/>
        <w:numPr>
          <w:ilvl w:val="0"/>
          <w:numId w:val="0"/>
        </w:numPr>
        <w:tabs>
          <w:tab w:val="center" w:pos="4153"/>
          <w:tab w:val="right" w:pos="8306"/>
        </w:tabs>
        <w:kinsoku/>
        <w:wordWrap w:val="0"/>
        <w:overflowPunct/>
        <w:topLinePunct w:val="0"/>
        <w:autoSpaceDE/>
        <w:autoSpaceDN/>
        <w:bidi w:val="0"/>
        <w:adjustRightInd w:val="0"/>
        <w:snapToGrid w:val="0"/>
        <w:spacing w:line="480" w:lineRule="exact"/>
        <w:ind w:leftChars="200"/>
        <w:textAlignment w:val="baseline"/>
        <w:outlineLvl w:val="1"/>
        <w:rPr>
          <w:rFonts w:hint="eastAsia" w:ascii="宋体" w:hAnsi="宋体" w:eastAsia="宋体" w:cs="宋体"/>
          <w:b/>
          <w:color w:val="auto"/>
          <w:sz w:val="24"/>
          <w:szCs w:val="24"/>
          <w:highlight w:val="none"/>
        </w:rPr>
      </w:pPr>
      <w:bookmarkStart w:id="61" w:name="_Toc24621"/>
      <w:bookmarkStart w:id="62" w:name="_Toc29185"/>
      <w:bookmarkStart w:id="63" w:name="_Toc14491"/>
      <w:r>
        <w:rPr>
          <w:rFonts w:hint="eastAsia" w:ascii="宋体" w:hAnsi="宋体" w:eastAsia="宋体" w:cs="宋体"/>
          <w:b w:val="0"/>
          <w:bCs/>
          <w:color w:val="auto"/>
          <w:sz w:val="24"/>
          <w:szCs w:val="24"/>
          <w:highlight w:val="none"/>
        </w:rPr>
        <w:t>（一）技术规格及要求</w:t>
      </w:r>
      <w:bookmarkEnd w:id="61"/>
      <w:bookmarkEnd w:id="62"/>
      <w:bookmarkEnd w:id="63"/>
    </w:p>
    <w:tbl>
      <w:tblPr>
        <w:tblStyle w:val="25"/>
        <w:tblW w:w="50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311"/>
        <w:gridCol w:w="1215"/>
        <w:gridCol w:w="3884"/>
        <w:gridCol w:w="2705"/>
      </w:tblGrid>
      <w:tr w14:paraId="4E79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2" w:type="pct"/>
            <w:gridSpan w:val="3"/>
            <w:vAlign w:val="center"/>
          </w:tcPr>
          <w:p w14:paraId="098AD68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bookmarkStart w:id="64" w:name="_Hlk214548057"/>
            <w:r>
              <w:rPr>
                <w:rFonts w:hint="eastAsia" w:ascii="宋体" w:hAnsi="宋体" w:eastAsia="宋体" w:cs="宋体"/>
                <w:b/>
                <w:color w:val="auto"/>
                <w:sz w:val="24"/>
                <w:szCs w:val="24"/>
                <w:highlight w:val="none"/>
              </w:rPr>
              <w:t>1.货物名称</w:t>
            </w:r>
          </w:p>
        </w:tc>
        <w:tc>
          <w:tcPr>
            <w:tcW w:w="1950" w:type="pct"/>
            <w:vAlign w:val="center"/>
          </w:tcPr>
          <w:p w14:paraId="62D3A09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全电一体炉</w:t>
            </w:r>
          </w:p>
        </w:tc>
        <w:tc>
          <w:tcPr>
            <w:tcW w:w="1356" w:type="pct"/>
            <w:vAlign w:val="center"/>
          </w:tcPr>
          <w:p w14:paraId="761BF5B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数量：1套</w:t>
            </w:r>
          </w:p>
        </w:tc>
      </w:tr>
      <w:tr w14:paraId="6900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2" w:type="pct"/>
            <w:gridSpan w:val="3"/>
            <w:vAlign w:val="center"/>
          </w:tcPr>
          <w:p w14:paraId="5C1741F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主要功能要求</w:t>
            </w:r>
          </w:p>
        </w:tc>
        <w:tc>
          <w:tcPr>
            <w:tcW w:w="3307" w:type="pct"/>
            <w:gridSpan w:val="2"/>
            <w:vAlign w:val="center"/>
          </w:tcPr>
          <w:p w14:paraId="0760B53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全电一体炉需满足粉末状物料、固体块状等有机类或无机类物料的高温处置要求，要求可实现炉体内最高温度不低于1600℃的可调节高温环境，并能实现炉内气氛控制</w:t>
            </w:r>
            <w:r>
              <w:rPr>
                <w:rFonts w:hint="eastAsia" w:ascii="宋体" w:hAnsi="宋体" w:eastAsia="宋体" w:cs="宋体"/>
                <w:b/>
                <w:color w:val="auto"/>
                <w:sz w:val="24"/>
                <w:szCs w:val="24"/>
                <w:highlight w:val="none"/>
                <w:lang w:eastAsia="zh-CN"/>
              </w:rPr>
              <w:t>。</w:t>
            </w:r>
          </w:p>
        </w:tc>
      </w:tr>
      <w:tr w14:paraId="012B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2" w:type="pct"/>
            <w:gridSpan w:val="3"/>
            <w:vAlign w:val="center"/>
          </w:tcPr>
          <w:p w14:paraId="79162FC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应遵循的相关国家标准、行业标准等标准、规范</w:t>
            </w:r>
          </w:p>
        </w:tc>
        <w:tc>
          <w:tcPr>
            <w:tcW w:w="3307" w:type="pct"/>
            <w:gridSpan w:val="2"/>
            <w:vAlign w:val="center"/>
          </w:tcPr>
          <w:p w14:paraId="5D99D4DD">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300" w:lineRule="exact"/>
              <w:ind w:left="0" w:right="0"/>
              <w:jc w:val="left"/>
              <w:textAlignment w:val="auto"/>
              <w:outlineLvl w:val="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☑无  □有，要求：</w:t>
            </w:r>
          </w:p>
        </w:tc>
      </w:tr>
      <w:tr w14:paraId="165A8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3436467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u w:val="single"/>
              </w:rPr>
              <w:t>1.全电一体炉</w:t>
            </w:r>
            <w:r>
              <w:rPr>
                <w:rFonts w:hint="eastAsia" w:ascii="宋体" w:hAnsi="宋体" w:eastAsia="宋体" w:cs="宋体"/>
                <w:b w:val="0"/>
                <w:bCs/>
                <w:color w:val="auto"/>
                <w:sz w:val="24"/>
                <w:szCs w:val="24"/>
                <w:highlight w:val="none"/>
              </w:rPr>
              <w:t>技术指标</w:t>
            </w:r>
          </w:p>
        </w:tc>
      </w:tr>
      <w:tr w14:paraId="66090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48C8AB2">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58" w:type="pct"/>
            <w:vAlign w:val="center"/>
          </w:tcPr>
          <w:p w14:paraId="63BA4E0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指标项</w:t>
            </w:r>
          </w:p>
        </w:tc>
        <w:tc>
          <w:tcPr>
            <w:tcW w:w="610" w:type="pct"/>
            <w:vAlign w:val="center"/>
          </w:tcPr>
          <w:p w14:paraId="27E780C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重要性</w:t>
            </w:r>
          </w:p>
        </w:tc>
        <w:tc>
          <w:tcPr>
            <w:tcW w:w="1950" w:type="pct"/>
            <w:vAlign w:val="center"/>
          </w:tcPr>
          <w:p w14:paraId="4D75B0F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指标要求</w:t>
            </w:r>
          </w:p>
        </w:tc>
        <w:tc>
          <w:tcPr>
            <w:tcW w:w="1356" w:type="pct"/>
            <w:vAlign w:val="center"/>
          </w:tcPr>
          <w:p w14:paraId="5D23EEA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需提供证明材料要求</w:t>
            </w:r>
          </w:p>
        </w:tc>
      </w:tr>
      <w:tr w14:paraId="4D12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0580B612">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58" w:type="pct"/>
            <w:vAlign w:val="center"/>
          </w:tcPr>
          <w:p w14:paraId="349C9EA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全电一体炉</w:t>
            </w:r>
          </w:p>
        </w:tc>
        <w:tc>
          <w:tcPr>
            <w:tcW w:w="610" w:type="pct"/>
            <w:vAlign w:val="center"/>
          </w:tcPr>
          <w:p w14:paraId="06E84464">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957552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关键指标</w:t>
            </w:r>
          </w:p>
        </w:tc>
        <w:tc>
          <w:tcPr>
            <w:tcW w:w="1950" w:type="pct"/>
            <w:vAlign w:val="center"/>
          </w:tcPr>
          <w:p w14:paraId="5030A9A9">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主机整体性能参数：</w:t>
            </w:r>
          </w:p>
          <w:p w14:paraId="08D864F2">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ind w:left="0" w:right="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最高炉内温度≥1600℃，温度连续可调；适应粉末状和块状的物料；粉末料处理能力≥2kg/h，块状料处理能力≥1kg/h；至少适应空气氛、氮气氛、CO2气氛、CO+H2混合气氛等；并配置热电偶监视炉内不同位置的温度。</w:t>
            </w:r>
          </w:p>
        </w:tc>
        <w:tc>
          <w:tcPr>
            <w:tcW w:w="1356" w:type="pct"/>
            <w:vAlign w:val="center"/>
          </w:tcPr>
          <w:p w14:paraId="4EC393A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color w:val="auto"/>
                <w:sz w:val="24"/>
                <w:szCs w:val="24"/>
                <w:highlight w:val="none"/>
              </w:rPr>
              <w:t>□无  ☑有，要求：</w:t>
            </w:r>
          </w:p>
          <w:p w14:paraId="3A495C9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投标人提供加盖公章的承诺函或</w:t>
            </w:r>
            <w:r>
              <w:rPr>
                <w:rFonts w:hint="eastAsia" w:ascii="宋体" w:hAnsi="宋体" w:eastAsia="宋体" w:cs="宋体"/>
                <w:bCs/>
                <w:color w:val="auto"/>
                <w:sz w:val="24"/>
                <w:szCs w:val="24"/>
                <w:highlight w:val="none"/>
              </w:rPr>
              <w:t>其他相关证明材料。</w:t>
            </w:r>
          </w:p>
        </w:tc>
      </w:tr>
      <w:tr w14:paraId="57E96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E055C0E">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58" w:type="pct"/>
            <w:vAlign w:val="center"/>
          </w:tcPr>
          <w:p w14:paraId="3342BB4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炉内可视化</w:t>
            </w:r>
          </w:p>
        </w:tc>
        <w:tc>
          <w:tcPr>
            <w:tcW w:w="610" w:type="pct"/>
            <w:vAlign w:val="center"/>
          </w:tcPr>
          <w:p w14:paraId="27A727CC">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5A493D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重要指标</w:t>
            </w:r>
          </w:p>
        </w:tc>
        <w:tc>
          <w:tcPr>
            <w:tcW w:w="1950" w:type="pct"/>
            <w:vAlign w:val="center"/>
          </w:tcPr>
          <w:p w14:paraId="72131B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配置高温摄像头（≥2个）监视炉内的实时工况、物料状态、火焰温度与形貌，高温红外摄像头耐温≥1000℃，最高测温温度不低于1800℃。分辨率不低于640×512。</w:t>
            </w:r>
          </w:p>
        </w:tc>
        <w:tc>
          <w:tcPr>
            <w:tcW w:w="1356" w:type="pct"/>
            <w:vAlign w:val="center"/>
          </w:tcPr>
          <w:p w14:paraId="5A795E6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  ☑有，要求：</w:t>
            </w:r>
          </w:p>
          <w:p w14:paraId="5DE146F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p>
        </w:tc>
      </w:tr>
      <w:tr w14:paraId="1863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3E21EF2C">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58" w:type="pct"/>
            <w:vAlign w:val="center"/>
          </w:tcPr>
          <w:p w14:paraId="343F0CD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压缩气体系统</w:t>
            </w:r>
          </w:p>
        </w:tc>
        <w:tc>
          <w:tcPr>
            <w:tcW w:w="610" w:type="pct"/>
            <w:vAlign w:val="center"/>
          </w:tcPr>
          <w:p w14:paraId="4856D426">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503394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重要指标</w:t>
            </w:r>
          </w:p>
        </w:tc>
        <w:tc>
          <w:tcPr>
            <w:tcW w:w="1950" w:type="pct"/>
            <w:vAlign w:val="center"/>
          </w:tcPr>
          <w:p w14:paraId="022B22D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稳定连续的压缩空气气源系统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和压缩氮气</w:t>
            </w:r>
            <w:r>
              <w:rPr>
                <w:rFonts w:hint="eastAsia" w:ascii="宋体" w:hAnsi="宋体" w:eastAsia="宋体" w:cs="宋体"/>
                <w:color w:val="auto"/>
                <w:sz w:val="24"/>
                <w:szCs w:val="24"/>
                <w:highlight w:val="none"/>
                <w:lang w:val="en-US" w:eastAsia="zh-CN"/>
              </w:rPr>
              <w:t>气源</w:t>
            </w:r>
            <w:r>
              <w:rPr>
                <w:rFonts w:hint="eastAsia" w:ascii="宋体" w:hAnsi="宋体" w:eastAsia="宋体" w:cs="宋体"/>
                <w:color w:val="auto"/>
                <w:sz w:val="24"/>
                <w:szCs w:val="24"/>
                <w:highlight w:val="none"/>
              </w:rPr>
              <w:t>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，流量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40Nm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/h，压力</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0.8MPa;压缩气体品质：单质气体纯度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99%，粉尘含量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5mg/m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，油雾含量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5mg/m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，非蒸汽气体露点温度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-40℃，其余气氛预留气瓶组接口</w:t>
            </w:r>
          </w:p>
        </w:tc>
        <w:tc>
          <w:tcPr>
            <w:tcW w:w="1356" w:type="pct"/>
            <w:vAlign w:val="center"/>
          </w:tcPr>
          <w:p w14:paraId="1A79325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napToGrid w:val="0"/>
                <w:color w:val="auto"/>
                <w:kern w:val="0"/>
                <w:sz w:val="24"/>
                <w:szCs w:val="24"/>
                <w:highlight w:val="none"/>
                <w:lang w:val="zh-CN"/>
              </w:rPr>
            </w:pPr>
            <w:bookmarkStart w:id="65" w:name="OLE_LINK1"/>
            <w:r>
              <w:rPr>
                <w:rFonts w:hint="eastAsia" w:ascii="宋体" w:hAnsi="宋体" w:eastAsia="宋体" w:cs="宋体"/>
                <w:color w:val="auto"/>
                <w:sz w:val="24"/>
                <w:szCs w:val="24"/>
                <w:highlight w:val="none"/>
              </w:rPr>
              <w:t>□无  ☑有，要求：</w:t>
            </w:r>
          </w:p>
          <w:p w14:paraId="3D58DB0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bookmarkEnd w:id="65"/>
          </w:p>
        </w:tc>
      </w:tr>
      <w:tr w14:paraId="060CD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2F43E3D0">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58" w:type="pct"/>
            <w:vAlign w:val="center"/>
          </w:tcPr>
          <w:p w14:paraId="5A8766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物料制备与排气净化压缩系统</w:t>
            </w:r>
          </w:p>
        </w:tc>
        <w:tc>
          <w:tcPr>
            <w:tcW w:w="610" w:type="pct"/>
            <w:vAlign w:val="center"/>
          </w:tcPr>
          <w:p w14:paraId="3F9AF43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783523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重要指标</w:t>
            </w:r>
          </w:p>
        </w:tc>
        <w:tc>
          <w:tcPr>
            <w:tcW w:w="1950" w:type="pct"/>
            <w:vAlign w:val="center"/>
          </w:tcPr>
          <w:p w14:paraId="23F58E2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val="en-US" w:eastAsia="zh-CN"/>
              </w:rPr>
              <w:t>1个</w:t>
            </w:r>
            <w:r>
              <w:rPr>
                <w:rFonts w:hint="eastAsia" w:ascii="宋体" w:hAnsi="宋体" w:eastAsia="宋体" w:cs="宋体"/>
                <w:color w:val="auto"/>
                <w:sz w:val="24"/>
                <w:szCs w:val="24"/>
                <w:highlight w:val="none"/>
              </w:rPr>
              <w:t>物料制备模块与</w:t>
            </w:r>
            <w:r>
              <w:rPr>
                <w:rFonts w:hint="eastAsia" w:ascii="宋体" w:hAnsi="宋体" w:eastAsia="宋体" w:cs="宋体"/>
                <w:color w:val="auto"/>
                <w:sz w:val="24"/>
                <w:szCs w:val="24"/>
                <w:highlight w:val="none"/>
                <w:lang w:val="en-US" w:eastAsia="zh-CN"/>
              </w:rPr>
              <w:t>1个</w:t>
            </w:r>
            <w:r>
              <w:rPr>
                <w:rFonts w:hint="eastAsia" w:ascii="宋体" w:hAnsi="宋体" w:eastAsia="宋体" w:cs="宋体"/>
                <w:color w:val="auto"/>
                <w:sz w:val="24"/>
                <w:szCs w:val="24"/>
                <w:highlight w:val="none"/>
              </w:rPr>
              <w:t>排气净化压缩模块，即物料制备模块满足块状物料的连续化破碎、粉磨与干燥，最小粉磨粒度≤200nm、处理量≥5kg/h，最高干燥温度≥250℃；排气净化压缩模块可以实现高温气体除尘、降温、净化、压缩，可燃性气体可作为燃气使用；处理气体温度≥1500℃，净化后气体含尘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50mg/m3；处理后气体温度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75℃，压力不低于 5bar。</w:t>
            </w:r>
          </w:p>
        </w:tc>
        <w:tc>
          <w:tcPr>
            <w:tcW w:w="1356" w:type="pct"/>
            <w:vAlign w:val="center"/>
          </w:tcPr>
          <w:p w14:paraId="03EC5F5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color w:val="auto"/>
                <w:sz w:val="24"/>
                <w:szCs w:val="24"/>
                <w:highlight w:val="none"/>
              </w:rPr>
              <w:t>□无  ☑有，要求：</w:t>
            </w:r>
          </w:p>
          <w:p w14:paraId="1E5A376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p>
        </w:tc>
      </w:tr>
      <w:tr w14:paraId="4317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256BB0C3">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58" w:type="pct"/>
            <w:vAlign w:val="center"/>
          </w:tcPr>
          <w:p w14:paraId="2F68F35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状态检测系统</w:t>
            </w:r>
          </w:p>
        </w:tc>
        <w:tc>
          <w:tcPr>
            <w:tcW w:w="610" w:type="pct"/>
            <w:vAlign w:val="center"/>
          </w:tcPr>
          <w:p w14:paraId="066B00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84B596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重要指标</w:t>
            </w:r>
          </w:p>
        </w:tc>
        <w:tc>
          <w:tcPr>
            <w:tcW w:w="1950" w:type="pct"/>
            <w:vAlign w:val="center"/>
          </w:tcPr>
          <w:p w14:paraId="0098EC2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1套。检测炉体的温度、压力、气流量、能量辐射等数值，并在中控系统实时显示。</w:t>
            </w:r>
          </w:p>
          <w:p w14:paraId="530F88E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可检测的最大温度满足≥1600℃、检测精度精确至1℃，可监测最大压力满足≥0.8MPa、检测精度精确至0.01MPa，可检测最大气流量满足≥40Nm3/h、检测精度精确至0.1Nm3/h、辐射能量检测不确定度≤5%。</w:t>
            </w:r>
          </w:p>
        </w:tc>
        <w:tc>
          <w:tcPr>
            <w:tcW w:w="1356" w:type="pct"/>
            <w:vAlign w:val="center"/>
          </w:tcPr>
          <w:p w14:paraId="1606BBB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napToGrid w:val="0"/>
                <w:color w:val="auto"/>
                <w:kern w:val="0"/>
                <w:sz w:val="24"/>
                <w:szCs w:val="24"/>
                <w:highlight w:val="none"/>
                <w:lang w:val="zh-CN"/>
              </w:rPr>
            </w:pPr>
            <w:bookmarkStart w:id="66" w:name="OLE_LINK7"/>
            <w:r>
              <w:rPr>
                <w:rFonts w:hint="eastAsia" w:ascii="宋体" w:hAnsi="宋体" w:eastAsia="宋体" w:cs="宋体"/>
                <w:color w:val="auto"/>
                <w:sz w:val="24"/>
                <w:szCs w:val="24"/>
                <w:highlight w:val="none"/>
              </w:rPr>
              <w:t>□无  ☑有，要求：</w:t>
            </w:r>
          </w:p>
          <w:p w14:paraId="069FFF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bookmarkEnd w:id="66"/>
          </w:p>
        </w:tc>
      </w:tr>
      <w:tr w14:paraId="0111C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0A4669E">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58" w:type="pct"/>
            <w:vAlign w:val="center"/>
          </w:tcPr>
          <w:p w14:paraId="7E01A38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光热反应与模拟模块</w:t>
            </w:r>
          </w:p>
        </w:tc>
        <w:tc>
          <w:tcPr>
            <w:tcW w:w="610" w:type="pct"/>
            <w:vAlign w:val="center"/>
          </w:tcPr>
          <w:p w14:paraId="494B209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FEC1E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重要指标</w:t>
            </w:r>
          </w:p>
        </w:tc>
        <w:tc>
          <w:tcPr>
            <w:tcW w:w="1950" w:type="pct"/>
            <w:vAlign w:val="center"/>
          </w:tcPr>
          <w:p w14:paraId="404CC3F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光热反应系统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最大输出功率≥30kW,功率连续可调，可远程控制，最高烧结温度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1500℃；太阳光子模拟系统≥2套，</w:t>
            </w:r>
            <w:r>
              <w:rPr>
                <w:rFonts w:hint="eastAsia" w:ascii="宋体" w:hAnsi="宋体" w:eastAsia="宋体" w:cs="宋体"/>
                <w:color w:val="auto"/>
                <w:sz w:val="24"/>
                <w:szCs w:val="24"/>
                <w:highlight w:val="none"/>
                <w:lang w:val="en-US" w:eastAsia="zh-CN"/>
              </w:rPr>
              <w:t>1套系统</w:t>
            </w:r>
            <w:r>
              <w:rPr>
                <w:rFonts w:hint="eastAsia" w:ascii="宋体" w:hAnsi="宋体" w:eastAsia="宋体" w:cs="宋体"/>
                <w:color w:val="auto"/>
                <w:sz w:val="24"/>
                <w:szCs w:val="24"/>
                <w:highlight w:val="none"/>
              </w:rPr>
              <w:t>最大功率≥300W；包含计算机控制系统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与能流密度测试模块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以及超高温红外热像仪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，成像温度≥1500℃。</w:t>
            </w:r>
          </w:p>
        </w:tc>
        <w:tc>
          <w:tcPr>
            <w:tcW w:w="1356" w:type="pct"/>
            <w:vAlign w:val="center"/>
          </w:tcPr>
          <w:p w14:paraId="5DF899B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color w:val="auto"/>
                <w:sz w:val="24"/>
                <w:szCs w:val="24"/>
                <w:highlight w:val="none"/>
              </w:rPr>
              <w:t>□无  ☑有，要求：</w:t>
            </w:r>
          </w:p>
          <w:p w14:paraId="5C06846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p>
        </w:tc>
      </w:tr>
      <w:tr w14:paraId="4BDE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176ECF6">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58" w:type="pct"/>
            <w:vAlign w:val="center"/>
          </w:tcPr>
          <w:p w14:paraId="7A6D90F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高温反应状态分析模块</w:t>
            </w:r>
          </w:p>
        </w:tc>
        <w:tc>
          <w:tcPr>
            <w:tcW w:w="610" w:type="pct"/>
            <w:vAlign w:val="center"/>
          </w:tcPr>
          <w:p w14:paraId="26531D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85EB69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重要指标</w:t>
            </w:r>
          </w:p>
        </w:tc>
        <w:tc>
          <w:tcPr>
            <w:tcW w:w="1950" w:type="pct"/>
            <w:vAlign w:val="center"/>
          </w:tcPr>
          <w:p w14:paraId="448F592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1个。</w:t>
            </w:r>
            <w:r>
              <w:rPr>
                <w:rFonts w:hint="eastAsia" w:ascii="宋体" w:hAnsi="宋体" w:eastAsia="宋体" w:cs="宋体"/>
                <w:color w:val="auto"/>
                <w:sz w:val="24"/>
                <w:szCs w:val="24"/>
                <w:highlight w:val="none"/>
              </w:rPr>
              <w:t>测试温度范围支持25-1500℃，控温精度≤0.1℃，支持≥3种测试气氛，材料质量分析精度≤0.1%，材料反应热分析精度≤0.01mW。</w:t>
            </w:r>
          </w:p>
        </w:tc>
        <w:tc>
          <w:tcPr>
            <w:tcW w:w="1356" w:type="pct"/>
            <w:vAlign w:val="center"/>
          </w:tcPr>
          <w:p w14:paraId="6E6CE7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color w:val="auto"/>
                <w:sz w:val="24"/>
                <w:szCs w:val="24"/>
                <w:highlight w:val="none"/>
              </w:rPr>
              <w:t>□无  ☑有，要求：</w:t>
            </w:r>
          </w:p>
          <w:p w14:paraId="4A5C240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p>
        </w:tc>
      </w:tr>
      <w:tr w14:paraId="43D34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03416100">
            <w:pPr>
              <w:keepNext w:val="0"/>
              <w:keepLines w:val="0"/>
              <w:pageBreakBefore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58" w:type="pct"/>
            <w:vAlign w:val="center"/>
          </w:tcPr>
          <w:p w14:paraId="7E32FD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自动化系统</w:t>
            </w:r>
          </w:p>
        </w:tc>
        <w:tc>
          <w:tcPr>
            <w:tcW w:w="610" w:type="pct"/>
            <w:vAlign w:val="center"/>
          </w:tcPr>
          <w:p w14:paraId="74F3D69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542D2D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重要指标</w:t>
            </w:r>
          </w:p>
        </w:tc>
        <w:tc>
          <w:tcPr>
            <w:tcW w:w="1950" w:type="pct"/>
            <w:vAlign w:val="center"/>
          </w:tcPr>
          <w:p w14:paraId="6F9F90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自动化系统≥1套，自动化系统其中包含物料传送系统和在线元素分析，需集成同时具备物料传送+在线分析元素的功能。</w:t>
            </w:r>
            <w:r>
              <w:rPr>
                <w:rFonts w:hint="eastAsia" w:ascii="宋体" w:hAnsi="宋体" w:eastAsia="宋体" w:cs="宋体"/>
                <w:color w:val="auto"/>
                <w:sz w:val="24"/>
                <w:szCs w:val="24"/>
                <w:highlight w:val="none"/>
              </w:rPr>
              <w:t>自动化物料传送系统≥1套，全自动定量元素分析范围支持除稀有气体外原子序数3到33，分析</w:t>
            </w:r>
            <w:r>
              <w:rPr>
                <w:rFonts w:hint="eastAsia" w:ascii="宋体" w:hAnsi="宋体" w:eastAsia="宋体" w:cs="宋体"/>
                <w:color w:val="auto"/>
                <w:sz w:val="24"/>
                <w:szCs w:val="24"/>
                <w:highlight w:val="none"/>
                <w:lang w:val="en-US" w:eastAsia="zh-CN"/>
              </w:rPr>
              <w:t>过程时长</w:t>
            </w:r>
            <w:r>
              <w:rPr>
                <w:rFonts w:hint="eastAsia" w:ascii="宋体" w:hAnsi="宋体" w:eastAsia="宋体" w:cs="宋体"/>
                <w:color w:val="auto"/>
                <w:sz w:val="24"/>
                <w:szCs w:val="24"/>
                <w:highlight w:val="none"/>
              </w:rPr>
              <w:t>≤5s，温度范围-10-50℃。</w:t>
            </w:r>
          </w:p>
        </w:tc>
        <w:tc>
          <w:tcPr>
            <w:tcW w:w="1356" w:type="pct"/>
            <w:vAlign w:val="center"/>
          </w:tcPr>
          <w:p w14:paraId="23C7168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color w:val="auto"/>
                <w:sz w:val="24"/>
                <w:szCs w:val="24"/>
                <w:highlight w:val="none"/>
              </w:rPr>
              <w:t>□无  ☑有，要求：</w:t>
            </w:r>
          </w:p>
          <w:p w14:paraId="5767CA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p>
        </w:tc>
      </w:tr>
      <w:bookmarkEnd w:id="64"/>
      <w:tr w14:paraId="4D1B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2" w:type="pct"/>
            <w:gridSpan w:val="3"/>
            <w:vAlign w:val="center"/>
          </w:tcPr>
          <w:p w14:paraId="200D7AA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bookmarkStart w:id="67" w:name="_Hlk214548068"/>
            <w:r>
              <w:rPr>
                <w:rFonts w:hint="eastAsia" w:ascii="宋体" w:hAnsi="宋体" w:eastAsia="宋体" w:cs="宋体"/>
                <w:b/>
                <w:color w:val="auto"/>
                <w:sz w:val="24"/>
                <w:szCs w:val="24"/>
                <w:highlight w:val="none"/>
              </w:rPr>
              <w:t>2.货物名称</w:t>
            </w:r>
          </w:p>
        </w:tc>
        <w:tc>
          <w:tcPr>
            <w:tcW w:w="1950" w:type="pct"/>
            <w:vAlign w:val="center"/>
          </w:tcPr>
          <w:p w14:paraId="4631E0B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等离子体火炬</w:t>
            </w:r>
          </w:p>
        </w:tc>
        <w:tc>
          <w:tcPr>
            <w:tcW w:w="1356" w:type="pct"/>
            <w:vAlign w:val="center"/>
          </w:tcPr>
          <w:p w14:paraId="69A5F8A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数量：1</w:t>
            </w:r>
            <w:r>
              <w:rPr>
                <w:rFonts w:hint="eastAsia" w:ascii="宋体" w:hAnsi="宋体" w:eastAsia="宋体" w:cs="宋体"/>
                <w:b/>
                <w:color w:val="auto"/>
                <w:sz w:val="24"/>
                <w:szCs w:val="24"/>
                <w:highlight w:val="none"/>
                <w:lang w:val="en-US" w:eastAsia="zh-CN"/>
              </w:rPr>
              <w:t>套</w:t>
            </w:r>
          </w:p>
        </w:tc>
      </w:tr>
      <w:tr w14:paraId="76B1B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2" w:type="pct"/>
            <w:gridSpan w:val="3"/>
            <w:vAlign w:val="center"/>
          </w:tcPr>
          <w:p w14:paraId="6BD040C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主要功能要求</w:t>
            </w:r>
          </w:p>
        </w:tc>
        <w:tc>
          <w:tcPr>
            <w:tcW w:w="3307" w:type="pct"/>
            <w:gridSpan w:val="2"/>
            <w:vAlign w:val="center"/>
          </w:tcPr>
          <w:p w14:paraId="7E173F1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等离子体火炬系统提供全电一体炉内所需要的成分可控、温度可控的气氛和能量，使炉内处于满足被处理物料所需的气氛和温度，并根据需要实时调整</w:t>
            </w:r>
            <w:r>
              <w:rPr>
                <w:rFonts w:hint="eastAsia" w:ascii="宋体" w:hAnsi="宋体" w:eastAsia="宋体" w:cs="宋体"/>
                <w:color w:val="auto"/>
                <w:sz w:val="24"/>
                <w:szCs w:val="24"/>
                <w:highlight w:val="none"/>
                <w:lang w:eastAsia="zh-CN"/>
              </w:rPr>
              <w:t>。</w:t>
            </w:r>
          </w:p>
        </w:tc>
      </w:tr>
      <w:tr w14:paraId="3495D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92" w:type="pct"/>
            <w:gridSpan w:val="3"/>
            <w:vAlign w:val="center"/>
          </w:tcPr>
          <w:p w14:paraId="6BBDBBAE">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应遵循的相关国家标准、行业标准等标准、规范</w:t>
            </w:r>
          </w:p>
        </w:tc>
        <w:tc>
          <w:tcPr>
            <w:tcW w:w="3307" w:type="pct"/>
            <w:gridSpan w:val="2"/>
            <w:vAlign w:val="center"/>
          </w:tcPr>
          <w:p w14:paraId="010C6D0E">
            <w:pPr>
              <w:keepNext w:val="0"/>
              <w:keepLines w:val="0"/>
              <w:suppressLineNumbers w:val="0"/>
              <w:spacing w:before="0" w:beforeAutospacing="0" w:after="0" w:afterAutospacing="0" w:line="300" w:lineRule="exact"/>
              <w:ind w:left="0" w:right="0"/>
              <w:jc w:val="left"/>
              <w:outlineLvl w:val="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☑无  □有，要求：</w:t>
            </w:r>
            <w:r>
              <w:rPr>
                <w:rFonts w:hint="eastAsia" w:ascii="宋体" w:hAnsi="宋体" w:eastAsia="宋体" w:cs="宋体"/>
                <w:color w:val="auto"/>
                <w:sz w:val="24"/>
                <w:szCs w:val="24"/>
                <w:highlight w:val="none"/>
                <w:u w:val="single"/>
              </w:rPr>
              <w:t xml:space="preserve">      </w:t>
            </w:r>
          </w:p>
        </w:tc>
      </w:tr>
      <w:tr w14:paraId="4E8ED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584795F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lang w:val="en-US" w:eastAsia="zh-CN"/>
              </w:rPr>
              <w:t>2.</w:t>
            </w:r>
            <w:r>
              <w:rPr>
                <w:rFonts w:hint="eastAsia" w:ascii="宋体" w:hAnsi="宋体" w:eastAsia="宋体" w:cs="宋体"/>
                <w:b/>
                <w:color w:val="auto"/>
                <w:sz w:val="24"/>
                <w:szCs w:val="24"/>
                <w:highlight w:val="none"/>
                <w:u w:val="single"/>
              </w:rPr>
              <w:t>等离子体火炬</w:t>
            </w:r>
            <w:r>
              <w:rPr>
                <w:rFonts w:hint="eastAsia" w:ascii="宋体" w:hAnsi="宋体" w:eastAsia="宋体" w:cs="宋体"/>
                <w:b w:val="0"/>
                <w:bCs/>
                <w:color w:val="auto"/>
                <w:sz w:val="24"/>
                <w:szCs w:val="24"/>
                <w:highlight w:val="none"/>
              </w:rPr>
              <w:t>技术指标</w:t>
            </w:r>
          </w:p>
        </w:tc>
      </w:tr>
      <w:tr w14:paraId="0E7F8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23DBC9C">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58" w:type="pct"/>
            <w:vAlign w:val="center"/>
          </w:tcPr>
          <w:p w14:paraId="49A676A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指标项</w:t>
            </w:r>
          </w:p>
        </w:tc>
        <w:tc>
          <w:tcPr>
            <w:tcW w:w="610" w:type="pct"/>
            <w:vAlign w:val="center"/>
          </w:tcPr>
          <w:p w14:paraId="6A14BF0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重要性</w:t>
            </w:r>
          </w:p>
        </w:tc>
        <w:tc>
          <w:tcPr>
            <w:tcW w:w="1950" w:type="pct"/>
            <w:vAlign w:val="center"/>
          </w:tcPr>
          <w:p w14:paraId="092DA57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指标要求</w:t>
            </w:r>
          </w:p>
        </w:tc>
        <w:tc>
          <w:tcPr>
            <w:tcW w:w="1356" w:type="pct"/>
            <w:vAlign w:val="center"/>
          </w:tcPr>
          <w:p w14:paraId="38BB0A7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需提供证明材料要求</w:t>
            </w:r>
          </w:p>
        </w:tc>
      </w:tr>
      <w:tr w14:paraId="58B9E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335171D8">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58" w:type="pct"/>
            <w:vAlign w:val="center"/>
          </w:tcPr>
          <w:p w14:paraId="296EB26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等离子体炬</w:t>
            </w:r>
          </w:p>
        </w:tc>
        <w:tc>
          <w:tcPr>
            <w:tcW w:w="610" w:type="pct"/>
            <w:vAlign w:val="center"/>
          </w:tcPr>
          <w:p w14:paraId="24E4E113">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555377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重要指标</w:t>
            </w:r>
          </w:p>
        </w:tc>
        <w:tc>
          <w:tcPr>
            <w:tcW w:w="1950" w:type="pct"/>
            <w:vAlign w:val="center"/>
          </w:tcPr>
          <w:p w14:paraId="161DE2EB">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单只等离子体炬的额定输出功率≥7Kw，等离子体炬数量≥3套，热效率</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highlight w:val="none"/>
              </w:rPr>
              <w:t>80%；适应空气、氮气、CO</w:t>
            </w:r>
            <w:r>
              <w:rPr>
                <w:rFonts w:hint="eastAsia" w:ascii="宋体" w:hAnsi="宋体" w:eastAsia="宋体" w:cs="宋体"/>
                <w:color w:val="auto"/>
                <w:sz w:val="24"/>
                <w:szCs w:val="24"/>
                <w:highlight w:val="none"/>
                <w:vertAlign w:val="subscript"/>
              </w:rPr>
              <w:t>2</w:t>
            </w:r>
            <w:r>
              <w:rPr>
                <w:rFonts w:hint="eastAsia" w:ascii="宋体" w:hAnsi="宋体" w:eastAsia="宋体" w:cs="宋体"/>
                <w:bCs/>
                <w:color w:val="auto"/>
                <w:sz w:val="24"/>
                <w:szCs w:val="24"/>
                <w:highlight w:val="none"/>
              </w:rPr>
              <w:t>、碳氢气等多种气氛；可实现小批量自动制备球形粉体等功能。</w:t>
            </w:r>
          </w:p>
        </w:tc>
        <w:tc>
          <w:tcPr>
            <w:tcW w:w="1356" w:type="pct"/>
            <w:vAlign w:val="center"/>
          </w:tcPr>
          <w:p w14:paraId="0BC88E71">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  ☑有，要求：</w:t>
            </w:r>
          </w:p>
          <w:p w14:paraId="52AA970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p>
        </w:tc>
      </w:tr>
      <w:tr w14:paraId="3845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1220BB3">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58" w:type="pct"/>
            <w:vAlign w:val="center"/>
          </w:tcPr>
          <w:p w14:paraId="3F67818B">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电源系统</w:t>
            </w:r>
          </w:p>
        </w:tc>
        <w:tc>
          <w:tcPr>
            <w:tcW w:w="610" w:type="pct"/>
            <w:vAlign w:val="center"/>
          </w:tcPr>
          <w:p w14:paraId="4646891C">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323B02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重要指标</w:t>
            </w:r>
          </w:p>
        </w:tc>
        <w:tc>
          <w:tcPr>
            <w:tcW w:w="1950" w:type="pct"/>
            <w:vAlign w:val="center"/>
          </w:tcPr>
          <w:p w14:paraId="59452A7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效率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90%，功率因数</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0.95；三相电不平衡度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5%；环境适应温度范围支持5~35℃，连续运行时间</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24h。</w:t>
            </w:r>
          </w:p>
        </w:tc>
        <w:tc>
          <w:tcPr>
            <w:tcW w:w="1356" w:type="pct"/>
            <w:vAlign w:val="center"/>
          </w:tcPr>
          <w:p w14:paraId="28956836">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  ☑有，要求：</w:t>
            </w:r>
          </w:p>
          <w:p w14:paraId="3A91A8F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p>
        </w:tc>
      </w:tr>
      <w:tr w14:paraId="4040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3417EB5">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58" w:type="pct"/>
            <w:vAlign w:val="center"/>
          </w:tcPr>
          <w:p w14:paraId="62A6D26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控制系统</w:t>
            </w:r>
          </w:p>
        </w:tc>
        <w:tc>
          <w:tcPr>
            <w:tcW w:w="610" w:type="pct"/>
            <w:vAlign w:val="center"/>
          </w:tcPr>
          <w:p w14:paraId="66F400C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4E27B6E">
            <w:pPr>
              <w:keepNext w:val="0"/>
              <w:keepLines w:val="0"/>
              <w:widowControl/>
              <w:suppressLineNumbers w:val="0"/>
              <w:spacing w:before="0" w:beforeAutospacing="0" w:after="0" w:afterAutospacing="0" w:line="3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重要指标</w:t>
            </w:r>
          </w:p>
        </w:tc>
        <w:tc>
          <w:tcPr>
            <w:tcW w:w="1950" w:type="pct"/>
            <w:vAlign w:val="center"/>
          </w:tcPr>
          <w:p w14:paraId="6FA605C5">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系统内所有温度、流量、压力、功率等参数的自动采集和显示；数据可以导出成标准数据文件，</w:t>
            </w:r>
            <w:r>
              <w:rPr>
                <w:rFonts w:hint="eastAsia" w:ascii="宋体" w:hAnsi="宋体" w:eastAsia="宋体" w:cs="宋体"/>
                <w:bCs/>
                <w:color w:val="auto"/>
                <w:sz w:val="24"/>
                <w:szCs w:val="24"/>
                <w:highlight w:val="none"/>
              </w:rPr>
              <w:t>包括 Excel、txt、Word、PNG、JPG</w:t>
            </w:r>
            <w:r>
              <w:rPr>
                <w:rFonts w:hint="eastAsia" w:ascii="宋体" w:hAnsi="宋体" w:eastAsia="宋体" w:cs="宋体"/>
                <w:bCs/>
                <w:color w:val="auto"/>
                <w:sz w:val="24"/>
                <w:szCs w:val="24"/>
                <w:highlight w:val="none"/>
                <w:lang w:val="en-US" w:eastAsia="zh-CN"/>
              </w:rPr>
              <w:t>等文件格式</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rPr>
              <w:t>以便于进一步的数据分析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系统配备完善的保护和连锁，保证系统安全；实现自动化。</w:t>
            </w:r>
          </w:p>
        </w:tc>
        <w:tc>
          <w:tcPr>
            <w:tcW w:w="1356" w:type="pct"/>
            <w:vAlign w:val="center"/>
          </w:tcPr>
          <w:p w14:paraId="0B31E702">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bookmarkStart w:id="68" w:name="OLE_LINK2"/>
            <w:r>
              <w:rPr>
                <w:rFonts w:hint="eastAsia" w:ascii="宋体" w:hAnsi="宋体" w:eastAsia="宋体" w:cs="宋体"/>
                <w:color w:val="auto"/>
                <w:sz w:val="24"/>
                <w:szCs w:val="24"/>
                <w:highlight w:val="none"/>
              </w:rPr>
              <w:t>□无  ☑有，要求：</w:t>
            </w:r>
          </w:p>
          <w:p w14:paraId="4F385C7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bookmarkEnd w:id="68"/>
          </w:p>
        </w:tc>
      </w:tr>
      <w:tr w14:paraId="735B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80DDD14">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58" w:type="pct"/>
            <w:vAlign w:val="center"/>
          </w:tcPr>
          <w:p w14:paraId="46E7522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中控系统</w:t>
            </w:r>
          </w:p>
        </w:tc>
        <w:tc>
          <w:tcPr>
            <w:tcW w:w="610" w:type="pct"/>
            <w:vAlign w:val="center"/>
          </w:tcPr>
          <w:p w14:paraId="4552B46D">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346C495">
            <w:pPr>
              <w:keepNext w:val="0"/>
              <w:keepLines w:val="0"/>
              <w:widowControl/>
              <w:suppressLineNumbers w:val="0"/>
              <w:spacing w:before="0" w:beforeAutospacing="0" w:after="0" w:afterAutospacing="0" w:line="3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重要指标</w:t>
            </w:r>
          </w:p>
        </w:tc>
        <w:tc>
          <w:tcPr>
            <w:tcW w:w="1950" w:type="pct"/>
            <w:vAlign w:val="center"/>
          </w:tcPr>
          <w:p w14:paraId="3CF066F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配置不少于6块LED拼接屏及计算机控制系统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，并包含组态软件，实现设备状态的稳定显示与输出，单个LED屏幕输出画面不小于52寸；配备高性能工作站</w:t>
            </w:r>
            <w:r>
              <w:rPr>
                <w:rFonts w:hint="eastAsia" w:ascii="宋体" w:hAnsi="宋体" w:eastAsia="宋体" w:cs="宋体"/>
                <w:color w:val="auto"/>
                <w:sz w:val="24"/>
                <w:szCs w:val="24"/>
                <w:highlight w:val="none"/>
                <w:lang w:val="en-US" w:eastAsia="zh-CN"/>
              </w:rPr>
              <w:t>1套</w:t>
            </w:r>
            <w:r>
              <w:rPr>
                <w:rFonts w:hint="eastAsia" w:ascii="宋体" w:hAnsi="宋体" w:eastAsia="宋体" w:cs="宋体"/>
                <w:color w:val="auto"/>
                <w:sz w:val="24"/>
                <w:szCs w:val="24"/>
                <w:highlight w:val="none"/>
              </w:rPr>
              <w:t>（满足反应热动力学模拟算力需求，CPU ≥32核64线程，内存≥64GB，企业级固态硬盘≥ 4T，GPU显存≥8G）。</w:t>
            </w:r>
          </w:p>
        </w:tc>
        <w:tc>
          <w:tcPr>
            <w:tcW w:w="1356" w:type="pct"/>
            <w:vAlign w:val="center"/>
          </w:tcPr>
          <w:p w14:paraId="239A385E">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  ☑有，要求：</w:t>
            </w:r>
          </w:p>
          <w:p w14:paraId="6DABD019">
            <w:pPr>
              <w:keepNext w:val="0"/>
              <w:keepLines w:val="0"/>
              <w:widowControl/>
              <w:suppressLineNumbers w:val="0"/>
              <w:spacing w:before="0" w:beforeAutospacing="0" w:after="0" w:afterAutospacing="0" w:line="3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制造商官方网站截图或产品白皮书或</w:t>
            </w:r>
            <w:r>
              <w:rPr>
                <w:rFonts w:hint="eastAsia" w:ascii="宋体" w:hAnsi="宋体" w:cs="宋体"/>
                <w:bCs/>
                <w:color w:val="auto"/>
                <w:sz w:val="24"/>
                <w:szCs w:val="24"/>
                <w:highlight w:val="none"/>
                <w:lang w:eastAsia="zh-CN"/>
              </w:rPr>
              <w:t>第三方检测机构</w:t>
            </w:r>
            <w:r>
              <w:rPr>
                <w:rFonts w:hint="eastAsia" w:ascii="宋体" w:hAnsi="宋体" w:eastAsia="宋体" w:cs="宋体"/>
                <w:bCs/>
                <w:color w:val="auto"/>
                <w:sz w:val="24"/>
                <w:szCs w:val="24"/>
                <w:highlight w:val="none"/>
              </w:rPr>
              <w:t>提供的检验报告或</w:t>
            </w:r>
            <w:r>
              <w:rPr>
                <w:rFonts w:hint="eastAsia" w:ascii="宋体" w:hAnsi="宋体" w:cs="宋体"/>
                <w:bCs/>
                <w:color w:val="auto"/>
                <w:sz w:val="24"/>
                <w:szCs w:val="24"/>
                <w:highlight w:val="none"/>
                <w:lang w:val="en-US" w:eastAsia="zh-CN"/>
              </w:rPr>
              <w:t>投标人提供加盖公章的承诺函</w:t>
            </w:r>
            <w:r>
              <w:rPr>
                <w:rFonts w:hint="eastAsia" w:ascii="宋体" w:hAnsi="宋体" w:eastAsia="宋体" w:cs="宋体"/>
                <w:bCs/>
                <w:color w:val="auto"/>
                <w:sz w:val="24"/>
                <w:szCs w:val="24"/>
                <w:highlight w:val="none"/>
              </w:rPr>
              <w:t>或其他相关证明材料。</w:t>
            </w:r>
          </w:p>
        </w:tc>
      </w:tr>
      <w:tr w14:paraId="39FCB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09FBABA4">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58" w:type="pct"/>
            <w:vAlign w:val="center"/>
          </w:tcPr>
          <w:p w14:paraId="16F47B90">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配电系统</w:t>
            </w:r>
          </w:p>
        </w:tc>
        <w:tc>
          <w:tcPr>
            <w:tcW w:w="610" w:type="pct"/>
            <w:vAlign w:val="center"/>
          </w:tcPr>
          <w:p w14:paraId="3C34F3A4">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c>
          <w:tcPr>
            <w:tcW w:w="1950" w:type="pct"/>
            <w:vAlign w:val="center"/>
          </w:tcPr>
          <w:p w14:paraId="5673BA7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进线电源不低于380V，不少于3相5线，总功率≥160kW。</w:t>
            </w:r>
          </w:p>
        </w:tc>
        <w:tc>
          <w:tcPr>
            <w:tcW w:w="1356" w:type="pct"/>
            <w:vAlign w:val="center"/>
          </w:tcPr>
          <w:p w14:paraId="6512D51F">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无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有，要求：</w:t>
            </w:r>
          </w:p>
        </w:tc>
      </w:tr>
      <w:bookmarkEnd w:id="67"/>
    </w:tbl>
    <w:p w14:paraId="2882107C">
      <w:pPr>
        <w:keepNext w:val="0"/>
        <w:keepLines w:val="0"/>
        <w:pageBreakBefore w:val="0"/>
        <w:widowControl w:val="0"/>
        <w:numPr>
          <w:ilvl w:val="0"/>
          <w:numId w:val="0"/>
        </w:numPr>
        <w:tabs>
          <w:tab w:val="center" w:pos="4153"/>
          <w:tab w:val="right" w:pos="8306"/>
        </w:tabs>
        <w:kinsoku/>
        <w:wordWrap w:val="0"/>
        <w:overflowPunct/>
        <w:topLinePunct w:val="0"/>
        <w:autoSpaceDE/>
        <w:autoSpaceDN/>
        <w:bidi w:val="0"/>
        <w:adjustRightInd w:val="0"/>
        <w:snapToGrid w:val="0"/>
        <w:spacing w:before="157" w:beforeLines="50" w:line="480" w:lineRule="exact"/>
        <w:ind w:left="0" w:leftChars="0" w:firstLine="482" w:firstLineChars="200"/>
        <w:textAlignment w:val="baseline"/>
        <w:outlineLvl w:val="1"/>
        <w:rPr>
          <w:rFonts w:hint="eastAsia" w:ascii="宋体" w:hAnsi="宋体" w:eastAsia="宋体" w:cs="宋体"/>
          <w:b/>
          <w:color w:val="auto"/>
          <w:sz w:val="24"/>
          <w:szCs w:val="24"/>
          <w:highlight w:val="none"/>
        </w:rPr>
      </w:pPr>
      <w:bookmarkStart w:id="69" w:name="_Toc26478"/>
      <w:r>
        <w:rPr>
          <w:rFonts w:hint="eastAsia" w:ascii="宋体" w:hAnsi="宋体" w:eastAsia="宋体" w:cs="宋体"/>
          <w:b/>
          <w:color w:val="auto"/>
          <w:kern w:val="2"/>
          <w:sz w:val="24"/>
          <w:szCs w:val="24"/>
          <w:highlight w:val="none"/>
          <w:lang w:val="en-US" w:eastAsia="zh-CN" w:bidi="ar-SA"/>
        </w:rPr>
        <w:t>三、</w:t>
      </w:r>
      <w:r>
        <w:rPr>
          <w:rFonts w:hint="eastAsia" w:ascii="宋体" w:hAnsi="宋体" w:eastAsia="宋体" w:cs="宋体"/>
          <w:b/>
          <w:color w:val="auto"/>
          <w:sz w:val="24"/>
          <w:szCs w:val="24"/>
          <w:highlight w:val="none"/>
        </w:rPr>
        <w:t>商务要求</w:t>
      </w:r>
      <w:bookmarkEnd w:id="69"/>
    </w:p>
    <w:p w14:paraId="1B7B6E0C">
      <w:pPr>
        <w:keepNext w:val="0"/>
        <w:keepLines w:val="0"/>
        <w:pageBreakBefore w:val="0"/>
        <w:widowControl w:val="0"/>
        <w:numPr>
          <w:ilvl w:val="0"/>
          <w:numId w:val="0"/>
        </w:numPr>
        <w:tabs>
          <w:tab w:val="center" w:pos="709"/>
          <w:tab w:val="right" w:pos="8306"/>
        </w:tabs>
        <w:kinsoku/>
        <w:wordWrap/>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w:t>
      </w:r>
      <w:r>
        <w:rPr>
          <w:rFonts w:hint="eastAsia" w:ascii="宋体" w:hAnsi="宋体" w:eastAsia="宋体" w:cs="宋体"/>
          <w:color w:val="auto"/>
          <w:sz w:val="24"/>
          <w:szCs w:val="24"/>
          <w:highlight w:val="none"/>
        </w:rPr>
        <w:t>报价要求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投标报价为竣工验收交付价，包含货物及配件的购置和安装、调试、运输、质保期售后服务。</w:t>
      </w:r>
    </w:p>
    <w:p w14:paraId="4E0FDD8C">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(二)</w:t>
      </w:r>
      <w:r>
        <w:rPr>
          <w:rFonts w:hint="eastAsia" w:ascii="宋体" w:hAnsi="宋体" w:eastAsia="宋体" w:cs="宋体"/>
          <w:color w:val="auto"/>
          <w:sz w:val="24"/>
          <w:szCs w:val="24"/>
          <w:highlight w:val="none"/>
        </w:rPr>
        <w:t>交货方式、交货地点、交货期、质保期</w:t>
      </w:r>
    </w:p>
    <w:p w14:paraId="1B67B36D">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包装与运输：中标人所出售的全部货物均应按标准保护措施进行包装，这类包装应适应于远距离运输、防潮、防震、防锈和防野蛮装卸等要求，以确保货物安全无损地运抵指定现场。（若适用，需满足《关于印发〈商品包装政府采购需求标准（试行）〉、〈快递包装政府采购需求标准（试行）〉的通知》（财办库〔2020〕123号））</w:t>
      </w:r>
    </w:p>
    <w:p w14:paraId="719C0C7D">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2、交货地点：武汉理工大学内硅酸盐科学与先进建材全国重点实验室</w:t>
      </w:r>
    </w:p>
    <w:p w14:paraId="3629163B">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snapToGrid w:val="0"/>
          <w:color w:val="auto"/>
          <w:kern w:val="0"/>
          <w:sz w:val="24"/>
          <w:szCs w:val="24"/>
          <w:highlight w:val="none"/>
          <w:lang w:val="zh-CN"/>
        </w:rPr>
        <w:t>★</w:t>
      </w:r>
      <w:r>
        <w:rPr>
          <w:rFonts w:hint="eastAsia" w:ascii="宋体" w:hAnsi="宋体" w:eastAsia="宋体" w:cs="宋体"/>
          <w:b/>
          <w:bCs/>
          <w:color w:val="auto"/>
          <w:sz w:val="24"/>
          <w:szCs w:val="24"/>
          <w:highlight w:val="none"/>
          <w:lang w:val="en-US" w:eastAsia="zh-CN"/>
        </w:rPr>
        <w:t>交货期：合同签订后3个月内交货</w:t>
      </w:r>
    </w:p>
    <w:p w14:paraId="3FE8E838">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snapToGrid w:val="0"/>
          <w:color w:val="auto"/>
          <w:kern w:val="0"/>
          <w:sz w:val="24"/>
          <w:szCs w:val="24"/>
          <w:highlight w:val="none"/>
          <w:lang w:val="zh-CN"/>
        </w:rPr>
        <w:t>★</w:t>
      </w:r>
      <w:r>
        <w:rPr>
          <w:rFonts w:hint="eastAsia" w:ascii="宋体" w:hAnsi="宋体" w:eastAsia="宋体" w:cs="宋体"/>
          <w:b/>
          <w:bCs/>
          <w:color w:val="auto"/>
          <w:sz w:val="24"/>
          <w:szCs w:val="24"/>
          <w:highlight w:val="none"/>
          <w:lang w:val="en-US" w:eastAsia="zh-CN"/>
        </w:rPr>
        <w:t>质保期：自验收合格之日起2年</w:t>
      </w:r>
    </w:p>
    <w:p w14:paraId="6F57E822">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(三)</w:t>
      </w:r>
      <w:r>
        <w:rPr>
          <w:rFonts w:hint="eastAsia" w:ascii="宋体" w:hAnsi="宋体" w:eastAsia="宋体" w:cs="宋体"/>
          <w:color w:val="auto"/>
          <w:sz w:val="24"/>
          <w:szCs w:val="24"/>
          <w:highlight w:val="none"/>
        </w:rPr>
        <w:t>验收标准和方法</w:t>
      </w:r>
      <w:r>
        <w:rPr>
          <w:rFonts w:hint="eastAsia" w:ascii="宋体" w:hAnsi="宋体" w:eastAsia="宋体" w:cs="宋体"/>
          <w:color w:val="auto"/>
          <w:sz w:val="24"/>
          <w:szCs w:val="24"/>
          <w:highlight w:val="none"/>
          <w:lang w:eastAsia="zh-CN"/>
        </w:rPr>
        <w:t>：采购人收货后根据货物的技术规格要求和质量标准，对货物进行检查验收。验收应符合国家的相关产品质量标准、安全标准、环保标准以及特定行业的技术规范。如果发现数量不足或有质量、技术等问题，中标人应负责按照招标人的要求采取补足、更换或退货等处理措施，并承担由此发生的一切损失和费用。验收合格后，采购人收取发票并签署验收意见。</w:t>
      </w:r>
    </w:p>
    <w:p w14:paraId="04D1F557">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(四)</w:t>
      </w:r>
      <w:r>
        <w:rPr>
          <w:rFonts w:hint="eastAsia" w:ascii="宋体" w:hAnsi="宋体" w:eastAsia="宋体" w:cs="宋体"/>
          <w:color w:val="auto"/>
          <w:sz w:val="24"/>
          <w:szCs w:val="24"/>
          <w:highlight w:val="none"/>
        </w:rPr>
        <w:t>培训要求</w:t>
      </w:r>
      <w:r>
        <w:rPr>
          <w:rFonts w:hint="eastAsia" w:ascii="宋体" w:hAnsi="宋体" w:eastAsia="宋体" w:cs="宋体"/>
          <w:color w:val="auto"/>
          <w:sz w:val="24"/>
          <w:szCs w:val="24"/>
          <w:highlight w:val="none"/>
          <w:lang w:eastAsia="zh-CN"/>
        </w:rPr>
        <w:t>：采购人有权根据实际使用需求，要求成交供应商提供培训服务，培训方式、时长及具体内容由双方在合同签订后协商确定。</w:t>
      </w:r>
    </w:p>
    <w:p w14:paraId="17D32035">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(五)</w:t>
      </w:r>
      <w:r>
        <w:rPr>
          <w:rFonts w:hint="eastAsia" w:ascii="宋体" w:hAnsi="宋体" w:eastAsia="宋体" w:cs="宋体"/>
          <w:color w:val="auto"/>
          <w:sz w:val="24"/>
          <w:szCs w:val="24"/>
          <w:highlight w:val="none"/>
        </w:rPr>
        <w:t>售后服务、升级更新、备品备件等要求</w:t>
      </w:r>
      <w:r>
        <w:rPr>
          <w:rFonts w:hint="eastAsia" w:ascii="宋体" w:hAnsi="宋体" w:eastAsia="宋体" w:cs="宋体"/>
          <w:color w:val="auto"/>
          <w:sz w:val="24"/>
          <w:szCs w:val="24"/>
          <w:highlight w:val="none"/>
          <w:lang w:eastAsia="zh-CN"/>
        </w:rPr>
        <w:t>：</w:t>
      </w:r>
    </w:p>
    <w:p w14:paraId="6D58A0C6">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硬件二年保修、所有软件二年保修升级、电话报修后8小时响应服务、24小时内排除故障。质保期内，在非人为因素情况下，一切维修换件保养费用和备品备件均由中标人提供。质保期满后，中标人提供终身技术支持、维修服务，按照成本收取售后费用。</w:t>
      </w:r>
    </w:p>
    <w:p w14:paraId="2D1A67B4">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(六)</w:t>
      </w:r>
      <w:r>
        <w:rPr>
          <w:rFonts w:hint="eastAsia" w:ascii="宋体" w:hAnsi="宋体" w:eastAsia="宋体" w:cs="宋体"/>
          <w:color w:val="auto"/>
          <w:sz w:val="24"/>
          <w:szCs w:val="24"/>
          <w:highlight w:val="none"/>
        </w:rPr>
        <w:t>付款方式</w:t>
      </w:r>
      <w:r>
        <w:rPr>
          <w:rFonts w:hint="eastAsia" w:ascii="宋体" w:hAnsi="宋体" w:eastAsia="宋体" w:cs="宋体"/>
          <w:color w:val="auto"/>
          <w:sz w:val="24"/>
          <w:szCs w:val="24"/>
          <w:highlight w:val="none"/>
          <w:lang w:eastAsia="zh-CN"/>
        </w:rPr>
        <w:t>：</w:t>
      </w:r>
    </w:p>
    <w:p w14:paraId="65258B84">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2" w:firstLineChars="200"/>
        <w:jc w:val="both"/>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1．若学校财务部门无资金支付要求，则按下列原则支付。</w:t>
      </w:r>
    </w:p>
    <w:p w14:paraId="17F4317B">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合同签订后，招标人向中标人预付合同金额30%款项，设备发货前，招标人向中标人支付合同金额20%款项，设备安装、调试并经招标人验收合格后，招标人向中标人支付合同金额50%款项。</w:t>
      </w:r>
    </w:p>
    <w:p w14:paraId="276B7E91">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2" w:firstLineChars="200"/>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2．学校财务部门有资金支付要求的，按要求执行。</w:t>
      </w:r>
    </w:p>
    <w:p w14:paraId="735336D8">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其他需要说明的事项</w:t>
      </w:r>
    </w:p>
    <w:p w14:paraId="5FB96850">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履约相关要求：</w:t>
      </w:r>
    </w:p>
    <w:p w14:paraId="41FAF455">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需针对本项目提供相关质量管控措施（质量承诺函、质量管理制度、质量保证措施等），安装调试方案（安装调试步骤及措施等），售后方案（售后承诺函、服务标准和应急维修时间安排、质保期满后的承诺、其它服务承诺等），以及投标人认为需提供的相关内容。</w:t>
      </w:r>
    </w:p>
    <w:p w14:paraId="6EC34E1F">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不需要履约保证金</w:t>
      </w:r>
    </w:p>
    <w:p w14:paraId="31A34BAB">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FE"/>
      </w:r>
      <w:r>
        <w:rPr>
          <w:rFonts w:hint="eastAsia" w:ascii="宋体" w:hAnsi="宋体" w:eastAsia="宋体" w:cs="宋体"/>
          <w:color w:val="auto"/>
          <w:sz w:val="24"/>
          <w:szCs w:val="24"/>
          <w:highlight w:val="none"/>
          <w:lang w:val="en-US" w:eastAsia="zh-CN"/>
        </w:rPr>
        <w:t>需要履约保证金</w:t>
      </w:r>
    </w:p>
    <w:p w14:paraId="2B31A0DA">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履约保证金金额：合同总金额的的5%</w:t>
      </w:r>
      <w:r>
        <w:rPr>
          <w:rFonts w:hint="eastAsia" w:ascii="宋体" w:hAnsi="宋体" w:cs="宋体"/>
          <w:color w:val="auto"/>
          <w:sz w:val="24"/>
          <w:szCs w:val="24"/>
          <w:highlight w:val="none"/>
          <w:lang w:val="en-US" w:eastAsia="zh-CN"/>
        </w:rPr>
        <w:t>。</w:t>
      </w:r>
    </w:p>
    <w:p w14:paraId="6103EB0D">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履约保证金形式：支票、汇票、本票或者金融机构、担保机构出具的保函等非现金形式。</w:t>
      </w:r>
    </w:p>
    <w:p w14:paraId="6F4F0551">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82" w:firstLineChars="200"/>
        <w:jc w:val="both"/>
        <w:textAlignment w:val="baseline"/>
        <w:rPr>
          <w:rFonts w:hint="eastAsia" w:ascii="宋体" w:hAnsi="宋体" w:eastAsia="宋体" w:cs="宋体"/>
          <w:color w:val="auto"/>
          <w:sz w:val="24"/>
          <w:szCs w:val="24"/>
          <w:highlight w:val="none"/>
          <w:lang w:val="en-US" w:eastAsia="zh-CN"/>
        </w:rPr>
      </w:pPr>
      <w:r>
        <w:rPr>
          <w:rFonts w:hint="eastAsia" w:ascii="黑体" w:hAnsi="黑体" w:eastAsia="黑体"/>
          <w:b/>
          <w:color w:val="auto"/>
          <w:sz w:val="24"/>
          <w:szCs w:val="24"/>
          <w:highlight w:val="none"/>
        </w:rPr>
        <w:t>说明：以上重要性标注为“</w:t>
      </w:r>
      <w:r>
        <w:rPr>
          <w:rFonts w:hint="eastAsia" w:ascii="黑体" w:hAnsi="黑体" w:eastAsia="黑体"/>
          <w:bCs/>
          <w:color w:val="auto"/>
          <w:sz w:val="24"/>
          <w:szCs w:val="24"/>
          <w:highlight w:val="none"/>
        </w:rPr>
        <w:t>★</w:t>
      </w:r>
      <w:r>
        <w:rPr>
          <w:rFonts w:hint="eastAsia" w:ascii="黑体" w:hAnsi="黑体" w:eastAsia="黑体"/>
          <w:b/>
          <w:color w:val="auto"/>
          <w:sz w:val="24"/>
          <w:szCs w:val="24"/>
          <w:highlight w:val="none"/>
        </w:rPr>
        <w:t>”</w:t>
      </w:r>
      <w:r>
        <w:rPr>
          <w:rFonts w:hint="eastAsia" w:ascii="黑体" w:hAnsi="黑体" w:eastAsia="黑体"/>
          <w:bCs/>
          <w:color w:val="auto"/>
          <w:sz w:val="24"/>
          <w:szCs w:val="24"/>
          <w:highlight w:val="none"/>
        </w:rPr>
        <w:t>的</w:t>
      </w:r>
      <w:r>
        <w:rPr>
          <w:rFonts w:hint="eastAsia" w:ascii="黑体" w:hAnsi="黑体" w:eastAsia="黑体"/>
          <w:b/>
          <w:color w:val="auto"/>
          <w:sz w:val="24"/>
          <w:szCs w:val="24"/>
          <w:highlight w:val="none"/>
        </w:rPr>
        <w:t>商务要求为实质性要求，所有要求必须逐条响应（满足或优于要求），不满足该指标项将导致无效响应（提供承诺函格式自拟或在</w:t>
      </w:r>
      <w:r>
        <w:rPr>
          <w:rFonts w:hint="eastAsia" w:ascii="黑体" w:hAnsi="黑体" w:eastAsia="黑体"/>
          <w:b/>
          <w:color w:val="auto"/>
          <w:sz w:val="24"/>
          <w:szCs w:val="24"/>
          <w:highlight w:val="none"/>
          <w:lang w:eastAsia="zh-CN"/>
        </w:rPr>
        <w:t>《技术、服务及商务要求响应、偏离说明表》</w:t>
      </w:r>
      <w:r>
        <w:rPr>
          <w:rFonts w:hint="eastAsia" w:ascii="黑体" w:hAnsi="黑体" w:eastAsia="黑体"/>
          <w:b/>
          <w:color w:val="auto"/>
          <w:sz w:val="24"/>
          <w:szCs w:val="24"/>
          <w:highlight w:val="none"/>
        </w:rPr>
        <w:t>中响应）。</w:t>
      </w:r>
    </w:p>
    <w:p w14:paraId="46C23CD4">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20" w:firstLineChars="200"/>
        <w:jc w:val="both"/>
        <w:textAlignment w:val="baseline"/>
        <w:rPr>
          <w:rFonts w:hint="default" w:ascii="宋体" w:hAnsi="宋体" w:eastAsia="宋体" w:cs="宋体"/>
          <w:color w:val="auto"/>
          <w:sz w:val="21"/>
          <w:szCs w:val="21"/>
          <w:highlight w:val="none"/>
          <w:lang w:val="en-US" w:eastAsia="zh-CN"/>
        </w:rPr>
        <w:sectPr>
          <w:pgSz w:w="11906" w:h="16838"/>
          <w:pgMar w:top="1134" w:right="1134" w:bottom="1134" w:left="1134" w:header="851" w:footer="992" w:gutter="0"/>
          <w:pgNumType w:fmt="decimal"/>
          <w:cols w:space="0" w:num="1"/>
          <w:docGrid w:type="lines" w:linePitch="312" w:charSpace="0"/>
        </w:sectPr>
      </w:pPr>
    </w:p>
    <w:p w14:paraId="6921F4D3">
      <w:pPr>
        <w:pageBreakBefore w:val="0"/>
        <w:widowControl w:val="0"/>
        <w:kinsoku/>
        <w:wordWrap w:val="0"/>
        <w:overflowPunct/>
        <w:bidi w:val="0"/>
        <w:spacing w:line="276" w:lineRule="auto"/>
        <w:jc w:val="center"/>
        <w:outlineLvl w:val="0"/>
        <w:rPr>
          <w:rFonts w:hint="eastAsia" w:ascii="宋体" w:hAnsi="宋体" w:eastAsia="宋体" w:cs="宋体"/>
          <w:color w:val="auto"/>
          <w:sz w:val="28"/>
          <w:szCs w:val="28"/>
          <w:highlight w:val="none"/>
        </w:rPr>
      </w:pPr>
      <w:bookmarkStart w:id="70" w:name="_Toc28096"/>
      <w:r>
        <w:rPr>
          <w:rFonts w:hint="eastAsia" w:ascii="宋体" w:hAnsi="宋体" w:eastAsia="宋体" w:cs="宋体"/>
          <w:color w:val="auto"/>
          <w:sz w:val="28"/>
          <w:szCs w:val="28"/>
          <w:highlight w:val="none"/>
        </w:rPr>
        <w:t>第四章资格审查方法及标准</w:t>
      </w:r>
      <w:bookmarkEnd w:id="70"/>
    </w:p>
    <w:p w14:paraId="67B36AA6">
      <w:pPr>
        <w:pageBreakBefore w:val="0"/>
        <w:widowControl w:val="0"/>
        <w:kinsoku/>
        <w:wordWrap w:val="0"/>
        <w:overflowPunct/>
        <w:bidi w:val="0"/>
        <w:spacing w:line="276"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根据《中华人民共和国政府采购法》、《中华人民共和国政府采购法实施条例》、《政府采购货物和服务招标投标管理办法》（财政部令第87号）等相关法律法规确定以下资格审查方法及标准。</w:t>
      </w:r>
    </w:p>
    <w:p w14:paraId="307CE361">
      <w:pPr>
        <w:keepNext/>
        <w:keepLines/>
        <w:pageBreakBefore w:val="0"/>
        <w:widowControl w:val="0"/>
        <w:numPr>
          <w:ilvl w:val="0"/>
          <w:numId w:val="38"/>
        </w:numPr>
        <w:kinsoku/>
        <w:wordWrap w:val="0"/>
        <w:overflowPunct/>
        <w:bidi w:val="0"/>
        <w:spacing w:line="276" w:lineRule="auto"/>
        <w:ind w:left="616" w:hanging="616"/>
        <w:jc w:val="left"/>
        <w:outlineLvl w:val="1"/>
        <w:rPr>
          <w:rFonts w:hint="eastAsia" w:ascii="宋体" w:hAnsi="宋体" w:eastAsia="宋体" w:cs="宋体"/>
          <w:b/>
          <w:color w:val="auto"/>
          <w:kern w:val="0"/>
          <w:szCs w:val="21"/>
          <w:highlight w:val="none"/>
          <w:lang w:val="zh-CN"/>
        </w:rPr>
      </w:pPr>
      <w:bookmarkStart w:id="71" w:name="_Toc494561958"/>
      <w:bookmarkStart w:id="72" w:name="_Toc7754"/>
      <w:r>
        <w:rPr>
          <w:rFonts w:hint="eastAsia" w:ascii="宋体" w:hAnsi="宋体" w:eastAsia="宋体" w:cs="宋体"/>
          <w:b/>
          <w:color w:val="auto"/>
          <w:kern w:val="0"/>
          <w:szCs w:val="21"/>
          <w:highlight w:val="none"/>
          <w:lang w:val="zh-CN"/>
        </w:rPr>
        <w:t>资格审查方法</w:t>
      </w:r>
      <w:bookmarkEnd w:id="71"/>
      <w:bookmarkEnd w:id="72"/>
    </w:p>
    <w:p w14:paraId="3947AFAD">
      <w:pPr>
        <w:pageBreakBefore w:val="0"/>
        <w:widowControl w:val="0"/>
        <w:kinsoku/>
        <w:wordWrap w:val="0"/>
        <w:overflowPunct/>
        <w:bidi w:val="0"/>
        <w:spacing w:line="276"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开标结束后，</w:t>
      </w:r>
      <w:r>
        <w:rPr>
          <w:rFonts w:hint="eastAsia" w:ascii="宋体" w:hAnsi="宋体" w:eastAsia="宋体" w:cs="宋体"/>
          <w:color w:val="auto"/>
          <w:highlight w:val="none"/>
          <w:shd w:val="clear" w:color="auto" w:fill="FFFFFF"/>
        </w:rPr>
        <w:t>采购人与采购代理机构依法对投标人的资格进行审查</w:t>
      </w:r>
      <w:r>
        <w:rPr>
          <w:rFonts w:hint="eastAsia" w:ascii="宋体" w:hAnsi="宋体" w:eastAsia="宋体" w:cs="宋体"/>
          <w:bCs/>
          <w:color w:val="auto"/>
          <w:szCs w:val="21"/>
          <w:highlight w:val="none"/>
          <w:lang w:val="zh-CN"/>
        </w:rPr>
        <w:t>，具体评审因素详见《资格审查表》。</w:t>
      </w:r>
    </w:p>
    <w:p w14:paraId="21C91F46">
      <w:pPr>
        <w:keepNext/>
        <w:keepLines/>
        <w:pageBreakBefore w:val="0"/>
        <w:widowControl w:val="0"/>
        <w:numPr>
          <w:ilvl w:val="0"/>
          <w:numId w:val="38"/>
        </w:numPr>
        <w:kinsoku/>
        <w:wordWrap w:val="0"/>
        <w:overflowPunct/>
        <w:bidi w:val="0"/>
        <w:spacing w:line="276" w:lineRule="auto"/>
        <w:ind w:left="616" w:hanging="616"/>
        <w:jc w:val="left"/>
        <w:outlineLvl w:val="1"/>
        <w:rPr>
          <w:rFonts w:hint="eastAsia" w:ascii="宋体" w:hAnsi="宋体" w:eastAsia="宋体" w:cs="宋体"/>
          <w:b/>
          <w:color w:val="auto"/>
          <w:kern w:val="0"/>
          <w:szCs w:val="21"/>
          <w:highlight w:val="none"/>
          <w:lang w:val="zh-CN"/>
        </w:rPr>
      </w:pPr>
      <w:bookmarkStart w:id="73" w:name="_Toc494561959"/>
      <w:bookmarkStart w:id="74" w:name="_Toc22998"/>
      <w:r>
        <w:rPr>
          <w:rFonts w:hint="eastAsia" w:ascii="宋体" w:hAnsi="宋体" w:eastAsia="宋体" w:cs="宋体"/>
          <w:b/>
          <w:color w:val="auto"/>
          <w:kern w:val="0"/>
          <w:szCs w:val="21"/>
          <w:highlight w:val="none"/>
          <w:lang w:val="zh-CN"/>
        </w:rPr>
        <w:t>资格审查</w:t>
      </w:r>
      <w:bookmarkEnd w:id="73"/>
      <w:r>
        <w:rPr>
          <w:rFonts w:hint="eastAsia" w:ascii="宋体" w:hAnsi="宋体" w:eastAsia="宋体" w:cs="宋体"/>
          <w:b/>
          <w:color w:val="auto"/>
          <w:kern w:val="0"/>
          <w:szCs w:val="21"/>
          <w:highlight w:val="none"/>
          <w:lang w:val="zh-CN"/>
        </w:rPr>
        <w:t>表</w:t>
      </w:r>
      <w:bookmarkEnd w:id="74"/>
    </w:p>
    <w:tbl>
      <w:tblPr>
        <w:tblStyle w:val="26"/>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7B39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00BB89E5">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jc w:val="center"/>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序号</w:t>
            </w:r>
          </w:p>
        </w:tc>
        <w:tc>
          <w:tcPr>
            <w:tcW w:w="3686" w:type="dxa"/>
            <w:gridSpan w:val="2"/>
            <w:vAlign w:val="center"/>
          </w:tcPr>
          <w:p w14:paraId="1AF85129">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资格要求</w:t>
            </w:r>
          </w:p>
        </w:tc>
        <w:tc>
          <w:tcPr>
            <w:tcW w:w="5518" w:type="dxa"/>
            <w:vAlign w:val="center"/>
          </w:tcPr>
          <w:p w14:paraId="6A39DA0B">
            <w:pPr>
              <w:keepNext w:val="0"/>
              <w:keepLines w:val="0"/>
              <w:pageBreakBefore w:val="0"/>
              <w:widowControl w:val="0"/>
              <w:suppressLineNumbers w:val="0"/>
              <w:tabs>
                <w:tab w:val="left" w:pos="616"/>
              </w:tabs>
              <w:kinsoku/>
              <w:wordWrap w:val="0"/>
              <w:overflowPunct/>
              <w:bidi w:val="0"/>
              <w:spacing w:before="0" w:beforeAutospacing="0" w:after="0" w:afterAutospacing="0"/>
              <w:ind w:left="0" w:right="0"/>
              <w:jc w:val="center"/>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需提供的资料</w:t>
            </w:r>
          </w:p>
        </w:tc>
      </w:tr>
      <w:tr w14:paraId="66865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6EE7692B">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w:t>
            </w:r>
          </w:p>
        </w:tc>
        <w:tc>
          <w:tcPr>
            <w:tcW w:w="851" w:type="dxa"/>
            <w:vMerge w:val="restart"/>
            <w:vAlign w:val="center"/>
          </w:tcPr>
          <w:p w14:paraId="225694E2">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符合《中华人民共和国政府采购法》第二十二条的规定</w:t>
            </w:r>
          </w:p>
        </w:tc>
        <w:tc>
          <w:tcPr>
            <w:tcW w:w="2835" w:type="dxa"/>
            <w:vAlign w:val="center"/>
          </w:tcPr>
          <w:p w14:paraId="55DD8234">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1.1具有独立承担民事责任的能力；</w:t>
            </w:r>
          </w:p>
        </w:tc>
        <w:tc>
          <w:tcPr>
            <w:tcW w:w="5518" w:type="dxa"/>
            <w:vAlign w:val="center"/>
          </w:tcPr>
          <w:p w14:paraId="47BADF0F">
            <w:pPr>
              <w:keepNext w:val="0"/>
              <w:keepLines w:val="0"/>
              <w:pageBreakBefore w:val="0"/>
              <w:widowControl w:val="0"/>
              <w:numPr>
                <w:ilvl w:val="0"/>
                <w:numId w:val="39"/>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企业（包括合伙企业）提供有效“企业法人营业执照”或“营业执照”；</w:t>
            </w:r>
          </w:p>
          <w:p w14:paraId="1F0F6C0E">
            <w:pPr>
              <w:keepNext w:val="0"/>
              <w:keepLines w:val="0"/>
              <w:pageBreakBefore w:val="0"/>
              <w:widowControl w:val="0"/>
              <w:numPr>
                <w:ilvl w:val="0"/>
                <w:numId w:val="39"/>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事业单位提供有效的“事业单位法人证书”；</w:t>
            </w:r>
          </w:p>
          <w:p w14:paraId="2EC8E904">
            <w:pPr>
              <w:keepNext w:val="0"/>
              <w:keepLines w:val="0"/>
              <w:pageBreakBefore w:val="0"/>
              <w:widowControl w:val="0"/>
              <w:numPr>
                <w:ilvl w:val="0"/>
                <w:numId w:val="39"/>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非企业专业服务机构提供有效的“执业许可证”等证明文件；</w:t>
            </w:r>
          </w:p>
          <w:p w14:paraId="5EB3B9AA">
            <w:pPr>
              <w:keepNext w:val="0"/>
              <w:keepLines w:val="0"/>
              <w:pageBreakBefore w:val="0"/>
              <w:widowControl w:val="0"/>
              <w:numPr>
                <w:ilvl w:val="0"/>
                <w:numId w:val="39"/>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个体工商户提供有效的“个体工商户营业执照”；</w:t>
            </w:r>
          </w:p>
          <w:p w14:paraId="7AF6D452">
            <w:pPr>
              <w:keepNext w:val="0"/>
              <w:keepLines w:val="0"/>
              <w:pageBreakBefore w:val="0"/>
              <w:widowControl w:val="0"/>
              <w:numPr>
                <w:ilvl w:val="0"/>
                <w:numId w:val="39"/>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自然人提供有效的自然人身份证明。</w:t>
            </w:r>
          </w:p>
        </w:tc>
      </w:tr>
      <w:tr w14:paraId="1121D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6AF6689">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color w:val="auto"/>
                <w:kern w:val="0"/>
                <w:szCs w:val="21"/>
                <w:highlight w:val="none"/>
                <w:lang w:val="zh-CN"/>
              </w:rPr>
            </w:pPr>
          </w:p>
        </w:tc>
        <w:tc>
          <w:tcPr>
            <w:tcW w:w="851" w:type="dxa"/>
            <w:vMerge w:val="continue"/>
            <w:vAlign w:val="center"/>
          </w:tcPr>
          <w:p w14:paraId="08A6D8C3">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color w:val="auto"/>
                <w:kern w:val="0"/>
                <w:szCs w:val="21"/>
                <w:highlight w:val="none"/>
                <w:lang w:val="zh-CN"/>
              </w:rPr>
            </w:pPr>
          </w:p>
        </w:tc>
        <w:tc>
          <w:tcPr>
            <w:tcW w:w="2835" w:type="dxa"/>
            <w:vAlign w:val="center"/>
          </w:tcPr>
          <w:p w14:paraId="29AA9F50">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1.2具有良好的商业信誉和健全的财务会计制度；</w:t>
            </w:r>
          </w:p>
        </w:tc>
        <w:tc>
          <w:tcPr>
            <w:tcW w:w="5518" w:type="dxa"/>
            <w:vAlign w:val="center"/>
          </w:tcPr>
          <w:p w14:paraId="5EDA4BB1">
            <w:pPr>
              <w:keepNext w:val="0"/>
              <w:keepLines w:val="0"/>
              <w:pageBreakBefore w:val="0"/>
              <w:widowControl w:val="0"/>
              <w:numPr>
                <w:ilvl w:val="0"/>
                <w:numId w:val="40"/>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是法人的，应提供上一年度经第三方审计的财务报告（完整的财务报告，包括“三/四表一注”，即资产负债表、利润表、现金流量表、所有者权益变动表（如有）及其附注）；或其基本开户银行出具的资信证明；</w:t>
            </w:r>
          </w:p>
          <w:p w14:paraId="462C2C0F">
            <w:pPr>
              <w:keepNext w:val="0"/>
              <w:keepLines w:val="0"/>
              <w:pageBreakBefore w:val="0"/>
              <w:widowControl w:val="0"/>
              <w:numPr>
                <w:ilvl w:val="0"/>
                <w:numId w:val="40"/>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其他组织和自然人没有经第三方审计的财务报告的，可以提供银行出具的资信证明；</w:t>
            </w:r>
          </w:p>
          <w:p w14:paraId="4A4BBC25">
            <w:pPr>
              <w:keepNext w:val="0"/>
              <w:keepLines w:val="0"/>
              <w:pageBreakBefore w:val="0"/>
              <w:widowControl w:val="0"/>
              <w:numPr>
                <w:ilvl w:val="0"/>
                <w:numId w:val="40"/>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投标人没有经第三方审计的财务报告或资信证明时，也可以提供财政部门认可的政府采购专业担保机构出具的投标担保函</w:t>
            </w: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rPr>
              <w:t>或提供具有良好的商业信誉和健全的财务会计制度的承诺。</w:t>
            </w:r>
          </w:p>
        </w:tc>
      </w:tr>
      <w:tr w14:paraId="40933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07D5086D">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b/>
                <w:color w:val="auto"/>
                <w:kern w:val="0"/>
                <w:szCs w:val="21"/>
                <w:highlight w:val="none"/>
                <w:lang w:val="zh-CN"/>
              </w:rPr>
            </w:pPr>
          </w:p>
        </w:tc>
        <w:tc>
          <w:tcPr>
            <w:tcW w:w="851" w:type="dxa"/>
            <w:vMerge w:val="continue"/>
            <w:vAlign w:val="center"/>
          </w:tcPr>
          <w:p w14:paraId="5C22A9EA">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b/>
                <w:color w:val="auto"/>
                <w:kern w:val="0"/>
                <w:szCs w:val="21"/>
                <w:highlight w:val="none"/>
                <w:lang w:val="zh-CN"/>
              </w:rPr>
            </w:pPr>
          </w:p>
        </w:tc>
        <w:tc>
          <w:tcPr>
            <w:tcW w:w="2835" w:type="dxa"/>
            <w:vAlign w:val="center"/>
          </w:tcPr>
          <w:p w14:paraId="1CE23F55">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1.3具有履行合同所必需的设备和专业技术能力；</w:t>
            </w:r>
          </w:p>
        </w:tc>
        <w:tc>
          <w:tcPr>
            <w:tcW w:w="5518" w:type="dxa"/>
            <w:vAlign w:val="center"/>
          </w:tcPr>
          <w:p w14:paraId="4C1578BA">
            <w:pPr>
              <w:keepNext w:val="0"/>
              <w:keepLines w:val="0"/>
              <w:pageBreakBefore w:val="0"/>
              <w:widowControl w:val="0"/>
              <w:numPr>
                <w:ilvl w:val="0"/>
                <w:numId w:val="41"/>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zh-CN"/>
              </w:rPr>
              <w:t>提</w:t>
            </w:r>
            <w:r>
              <w:rPr>
                <w:rFonts w:hint="eastAsia" w:ascii="宋体" w:hAnsi="宋体" w:eastAsia="宋体" w:cs="宋体"/>
                <w:color w:val="auto"/>
                <w:kern w:val="0"/>
                <w:szCs w:val="21"/>
                <w:highlight w:val="none"/>
              </w:rPr>
              <w:t>供具备足够数量的设施设备的证明材料和</w:t>
            </w:r>
            <w:r>
              <w:rPr>
                <w:rFonts w:hint="eastAsia" w:ascii="宋体" w:hAnsi="宋体" w:eastAsia="宋体" w:cs="宋体"/>
                <w:color w:val="auto"/>
                <w:kern w:val="0"/>
                <w:szCs w:val="21"/>
                <w:highlight w:val="none"/>
                <w:lang w:val="zh-CN"/>
              </w:rPr>
              <w:t>具备足够数量的技术人员的证明材料</w:t>
            </w:r>
            <w:r>
              <w:rPr>
                <w:rFonts w:hint="eastAsia" w:ascii="宋体" w:hAnsi="宋体" w:eastAsia="宋体" w:cs="宋体"/>
                <w:color w:val="auto"/>
                <w:kern w:val="0"/>
                <w:szCs w:val="21"/>
                <w:highlight w:val="none"/>
              </w:rPr>
              <w:t>；</w:t>
            </w:r>
          </w:p>
          <w:p w14:paraId="2C8CC712">
            <w:pPr>
              <w:keepNext w:val="0"/>
              <w:keepLines w:val="0"/>
              <w:pageBreakBefore w:val="0"/>
              <w:widowControl w:val="0"/>
              <w:numPr>
                <w:ilvl w:val="0"/>
                <w:numId w:val="41"/>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或提供</w:t>
            </w:r>
            <w:r>
              <w:rPr>
                <w:rFonts w:hint="eastAsia" w:ascii="宋体" w:hAnsi="宋体" w:eastAsia="宋体" w:cs="宋体"/>
                <w:color w:val="auto"/>
                <w:kern w:val="0"/>
                <w:szCs w:val="21"/>
                <w:highlight w:val="none"/>
              </w:rPr>
              <w:t>具有履行合同所必需的设备和专业技术能力的</w:t>
            </w:r>
            <w:r>
              <w:rPr>
                <w:rFonts w:hint="eastAsia" w:ascii="宋体" w:hAnsi="宋体" w:eastAsia="宋体" w:cs="宋体"/>
                <w:color w:val="auto"/>
                <w:kern w:val="0"/>
                <w:szCs w:val="21"/>
                <w:highlight w:val="none"/>
                <w:lang w:val="zh-CN"/>
              </w:rPr>
              <w:t>承诺。</w:t>
            </w:r>
          </w:p>
        </w:tc>
      </w:tr>
      <w:tr w14:paraId="60393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5987FAA1">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b/>
                <w:color w:val="auto"/>
                <w:kern w:val="0"/>
                <w:szCs w:val="21"/>
                <w:highlight w:val="none"/>
                <w:lang w:val="zh-CN"/>
              </w:rPr>
            </w:pPr>
          </w:p>
        </w:tc>
        <w:tc>
          <w:tcPr>
            <w:tcW w:w="851" w:type="dxa"/>
            <w:vMerge w:val="continue"/>
            <w:vAlign w:val="center"/>
          </w:tcPr>
          <w:p w14:paraId="23846BA5">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b/>
                <w:color w:val="auto"/>
                <w:kern w:val="0"/>
                <w:szCs w:val="21"/>
                <w:highlight w:val="none"/>
                <w:lang w:val="zh-CN"/>
              </w:rPr>
            </w:pPr>
          </w:p>
        </w:tc>
        <w:tc>
          <w:tcPr>
            <w:tcW w:w="2835" w:type="dxa"/>
            <w:vAlign w:val="center"/>
          </w:tcPr>
          <w:p w14:paraId="1C6BF86D">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1.4有依法缴纳税收和社会保障资金的良好记录；</w:t>
            </w:r>
          </w:p>
        </w:tc>
        <w:tc>
          <w:tcPr>
            <w:tcW w:w="5518" w:type="dxa"/>
            <w:vAlign w:val="center"/>
          </w:tcPr>
          <w:p w14:paraId="3FEDBF66">
            <w:pPr>
              <w:keepNext w:val="0"/>
              <w:keepLines w:val="0"/>
              <w:pageBreakBefore w:val="0"/>
              <w:widowControl w:val="0"/>
              <w:numPr>
                <w:ilvl w:val="0"/>
                <w:numId w:val="42"/>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zh-CN"/>
              </w:rPr>
              <w:t>提供投标人近6个月内任意1个月依法缴纳</w:t>
            </w:r>
            <w:r>
              <w:rPr>
                <w:rFonts w:hint="eastAsia" w:ascii="宋体" w:hAnsi="宋体" w:eastAsia="宋体" w:cs="宋体"/>
                <w:color w:val="auto"/>
                <w:kern w:val="0"/>
                <w:szCs w:val="21"/>
                <w:highlight w:val="none"/>
              </w:rPr>
              <w:t>税收的凭据（完税证、缴款书、银行代扣（代缴）转账凭证等均可）；</w:t>
            </w:r>
            <w:r>
              <w:rPr>
                <w:rFonts w:hint="eastAsia" w:ascii="宋体" w:hAnsi="宋体" w:eastAsia="宋体" w:cs="宋体"/>
                <w:b/>
                <w:bCs/>
                <w:color w:val="auto"/>
                <w:kern w:val="0"/>
                <w:szCs w:val="21"/>
                <w:highlight w:val="none"/>
              </w:rPr>
              <w:t>且需</w:t>
            </w:r>
            <w:r>
              <w:rPr>
                <w:rFonts w:hint="eastAsia" w:ascii="宋体" w:hAnsi="宋体" w:eastAsia="宋体" w:cs="宋体"/>
                <w:color w:val="auto"/>
                <w:kern w:val="0"/>
                <w:szCs w:val="21"/>
                <w:highlight w:val="none"/>
              </w:rPr>
              <w:t>提供投标人</w:t>
            </w:r>
            <w:r>
              <w:rPr>
                <w:rFonts w:hint="eastAsia" w:ascii="宋体" w:hAnsi="宋体" w:eastAsia="宋体" w:cs="宋体"/>
                <w:color w:val="auto"/>
                <w:kern w:val="0"/>
                <w:szCs w:val="21"/>
                <w:highlight w:val="none"/>
                <w:lang w:val="zh-CN"/>
              </w:rPr>
              <w:t>近6个月内任意1个月</w:t>
            </w:r>
            <w:r>
              <w:rPr>
                <w:rFonts w:hint="eastAsia" w:ascii="宋体" w:hAnsi="宋体" w:eastAsia="宋体" w:cs="宋体"/>
                <w:color w:val="auto"/>
                <w:kern w:val="0"/>
                <w:szCs w:val="21"/>
                <w:highlight w:val="none"/>
              </w:rPr>
              <w:t>依法缴纳社会保障资金的凭据（专用收据、银行代扣（代缴）转账凭证或社会保险交纳清单等均可）；</w:t>
            </w:r>
          </w:p>
          <w:p w14:paraId="53EFBA08">
            <w:pPr>
              <w:keepNext w:val="0"/>
              <w:keepLines w:val="0"/>
              <w:pageBreakBefore w:val="0"/>
              <w:widowControl w:val="0"/>
              <w:numPr>
                <w:ilvl w:val="0"/>
                <w:numId w:val="42"/>
              </w:numPr>
              <w:suppressLineNumbers w:val="0"/>
              <w:kinsoku/>
              <w:wordWrap w:val="0"/>
              <w:overflowPunct/>
              <w:bidi w:val="0"/>
              <w:spacing w:before="0" w:beforeAutospacing="0" w:after="0" w:afterAutospacing="0"/>
              <w:ind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依法免税或不需要缴纳社会保障资金的投标人，应提供相应文件证明其依法</w:t>
            </w:r>
            <w:r>
              <w:rPr>
                <w:rFonts w:hint="eastAsia" w:ascii="宋体" w:hAnsi="宋体" w:eastAsia="宋体" w:cs="宋体"/>
                <w:color w:val="auto"/>
                <w:kern w:val="0"/>
                <w:szCs w:val="21"/>
                <w:highlight w:val="none"/>
                <w:lang w:val="zh-CN"/>
              </w:rPr>
              <w:t>免税或不需要交纳社会保障资金。</w:t>
            </w:r>
          </w:p>
          <w:p w14:paraId="1E9FC134">
            <w:pPr>
              <w:keepNext w:val="0"/>
              <w:keepLines w:val="0"/>
              <w:pageBreakBefore w:val="0"/>
              <w:widowControl w:val="0"/>
              <w:numPr>
                <w:ilvl w:val="0"/>
                <w:numId w:val="42"/>
              </w:numPr>
              <w:suppressLineNumbers w:val="0"/>
              <w:kinsoku/>
              <w:wordWrap w:val="0"/>
              <w:overflowPunct/>
              <w:bidi w:val="0"/>
              <w:spacing w:before="0" w:beforeAutospacing="0" w:after="0" w:afterAutospacing="0"/>
              <w:ind w:right="0"/>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rPr>
              <w:t>或提供有依法缴纳税收和社会保障资金的良好记录的承诺</w:t>
            </w:r>
            <w:r>
              <w:rPr>
                <w:rFonts w:hint="eastAsia" w:ascii="宋体" w:hAnsi="宋体" w:eastAsia="宋体" w:cs="宋体"/>
                <w:color w:val="auto"/>
                <w:kern w:val="0"/>
                <w:szCs w:val="21"/>
                <w:highlight w:val="none"/>
                <w:lang w:val="zh-CN"/>
              </w:rPr>
              <w:t>。</w:t>
            </w:r>
          </w:p>
        </w:tc>
      </w:tr>
      <w:tr w14:paraId="0A3C1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49AA1671">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b/>
                <w:color w:val="auto"/>
                <w:kern w:val="0"/>
                <w:szCs w:val="21"/>
                <w:highlight w:val="none"/>
                <w:lang w:val="zh-CN"/>
              </w:rPr>
            </w:pPr>
          </w:p>
        </w:tc>
        <w:tc>
          <w:tcPr>
            <w:tcW w:w="851" w:type="dxa"/>
            <w:vMerge w:val="continue"/>
            <w:vAlign w:val="center"/>
          </w:tcPr>
          <w:p w14:paraId="47657271">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b/>
                <w:color w:val="auto"/>
                <w:kern w:val="0"/>
                <w:szCs w:val="21"/>
                <w:highlight w:val="none"/>
                <w:lang w:val="zh-CN"/>
              </w:rPr>
            </w:pPr>
          </w:p>
        </w:tc>
        <w:tc>
          <w:tcPr>
            <w:tcW w:w="2835" w:type="dxa"/>
            <w:vAlign w:val="center"/>
          </w:tcPr>
          <w:p w14:paraId="3F705D48">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1.5参加政府采购活动前三年内，在经营活动中没有重大违法记录；</w:t>
            </w:r>
          </w:p>
        </w:tc>
        <w:tc>
          <w:tcPr>
            <w:tcW w:w="5518" w:type="dxa"/>
            <w:vAlign w:val="center"/>
          </w:tcPr>
          <w:p w14:paraId="327595FB">
            <w:pPr>
              <w:keepNext w:val="0"/>
              <w:keepLines w:val="0"/>
              <w:pageBreakBefore w:val="0"/>
              <w:widowControl w:val="0"/>
              <w:suppressLineNumbers w:val="0"/>
              <w:tabs>
                <w:tab w:val="left" w:pos="616"/>
              </w:tabs>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提供无重大违法记录声明函。</w:t>
            </w:r>
          </w:p>
        </w:tc>
      </w:tr>
      <w:tr w14:paraId="5F84C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41CB852">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b/>
                <w:color w:val="auto"/>
                <w:kern w:val="0"/>
                <w:szCs w:val="21"/>
                <w:highlight w:val="none"/>
              </w:rPr>
            </w:pPr>
          </w:p>
        </w:tc>
        <w:tc>
          <w:tcPr>
            <w:tcW w:w="851" w:type="dxa"/>
            <w:vMerge w:val="continue"/>
            <w:vAlign w:val="center"/>
          </w:tcPr>
          <w:p w14:paraId="473BDD33">
            <w:pPr>
              <w:keepNext w:val="0"/>
              <w:keepLines w:val="0"/>
              <w:pageBreakBefore w:val="0"/>
              <w:widowControl w:val="0"/>
              <w:suppressLineNumbers w:val="0"/>
              <w:tabs>
                <w:tab w:val="left" w:pos="616"/>
              </w:tabs>
              <w:kinsoku/>
              <w:wordWrap w:val="0"/>
              <w:overflowPunct/>
              <w:bidi w:val="0"/>
              <w:spacing w:before="0" w:beforeAutospacing="0" w:after="0" w:afterAutospacing="0" w:line="276" w:lineRule="auto"/>
              <w:ind w:left="0" w:right="0"/>
              <w:rPr>
                <w:rFonts w:hint="eastAsia" w:ascii="宋体" w:hAnsi="宋体" w:eastAsia="宋体" w:cs="宋体"/>
                <w:b/>
                <w:color w:val="auto"/>
                <w:kern w:val="0"/>
                <w:szCs w:val="21"/>
                <w:highlight w:val="none"/>
              </w:rPr>
            </w:pPr>
          </w:p>
        </w:tc>
        <w:tc>
          <w:tcPr>
            <w:tcW w:w="2835" w:type="dxa"/>
            <w:vAlign w:val="center"/>
          </w:tcPr>
          <w:p w14:paraId="292F376F">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1.6法律、行政法规规定的其他条件。</w:t>
            </w:r>
          </w:p>
        </w:tc>
        <w:tc>
          <w:tcPr>
            <w:tcW w:w="5518" w:type="dxa"/>
            <w:vAlign w:val="center"/>
          </w:tcPr>
          <w:p w14:paraId="1B10521B">
            <w:pPr>
              <w:keepNext w:val="0"/>
              <w:keepLines w:val="0"/>
              <w:pageBreakBefore w:val="0"/>
              <w:widowControl w:val="0"/>
              <w:suppressLineNumbers w:val="0"/>
              <w:tabs>
                <w:tab w:val="left" w:pos="616"/>
              </w:tabs>
              <w:kinsoku/>
              <w:wordWrap w:val="0"/>
              <w:overflowPunct/>
              <w:bidi w:val="0"/>
              <w:spacing w:before="0" w:beforeAutospacing="0" w:after="0" w:afterAutospacing="0"/>
              <w:ind w:left="0"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国家对生产和销售相关产品或提供相关服务有专门法律、行政法规规定的，则必须提供取得国家有关主管部门行政许可的证明材料（如无相关规定则无需提供）。</w:t>
            </w:r>
          </w:p>
        </w:tc>
      </w:tr>
      <w:tr w14:paraId="5470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45575F7">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210" w:right="0" w:hanging="210" w:hangingChars="1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3686" w:type="dxa"/>
            <w:gridSpan w:val="2"/>
            <w:vAlign w:val="center"/>
          </w:tcPr>
          <w:p w14:paraId="18FAC3FA">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2ED38994">
            <w:pPr>
              <w:pStyle w:val="24"/>
              <w:keepNext w:val="0"/>
              <w:keepLines w:val="0"/>
              <w:pageBreakBefore w:val="0"/>
              <w:widowControl w:val="0"/>
              <w:suppressLineNumbers w:val="0"/>
              <w:kinsoku/>
              <w:wordWrap w:val="0"/>
              <w:overflowPunct/>
              <w:bidi w:val="0"/>
              <w:spacing w:before="0" w:beforeAutospacing="0" w:afterAutospacing="0"/>
              <w:ind w:left="0" w:right="0" w:firstLine="0"/>
              <w:rPr>
                <w:rFonts w:hint="eastAsia" w:ascii="宋体" w:hAnsi="宋体" w:eastAsia="宋体" w:cs="宋体"/>
                <w:color w:val="auto"/>
                <w:szCs w:val="21"/>
                <w:highlight w:val="none"/>
                <w:lang w:val="zh-CN"/>
              </w:rPr>
            </w:pPr>
            <w:r>
              <w:rPr>
                <w:rFonts w:hint="eastAsia" w:ascii="宋体" w:hAnsi="宋体" w:eastAsia="宋体" w:cs="宋体"/>
                <w:color w:val="auto"/>
                <w:highlight w:val="none"/>
              </w:rPr>
              <w:t>由投标人自行提供，</w:t>
            </w:r>
            <w:r>
              <w:rPr>
                <w:rFonts w:hint="eastAsia" w:ascii="宋体" w:hAnsi="宋体" w:eastAsia="宋体" w:cs="宋体"/>
                <w:color w:val="auto"/>
                <w:kern w:val="0"/>
                <w:szCs w:val="21"/>
                <w:highlight w:val="none"/>
              </w:rPr>
              <w:t>以</w:t>
            </w:r>
            <w:r>
              <w:rPr>
                <w:rFonts w:hint="eastAsia" w:ascii="宋体" w:hAnsi="宋体" w:eastAsia="宋体" w:cs="宋体"/>
                <w:color w:val="auto"/>
                <w:kern w:val="0"/>
                <w:szCs w:val="21"/>
                <w:highlight w:val="none"/>
                <w:lang w:val="zh-CN"/>
              </w:rPr>
              <w:t>采购代理机构</w:t>
            </w:r>
            <w:r>
              <w:rPr>
                <w:rFonts w:hint="eastAsia" w:ascii="宋体" w:hAnsi="宋体" w:eastAsia="宋体" w:cs="宋体"/>
                <w:color w:val="auto"/>
                <w:kern w:val="0"/>
                <w:szCs w:val="21"/>
                <w:highlight w:val="none"/>
              </w:rPr>
              <w:t>评审现场时</w:t>
            </w:r>
            <w:r>
              <w:rPr>
                <w:rFonts w:hint="eastAsia" w:ascii="宋体" w:hAnsi="宋体" w:eastAsia="宋体" w:cs="宋体"/>
                <w:color w:val="auto"/>
                <w:kern w:val="0"/>
                <w:szCs w:val="21"/>
                <w:highlight w:val="none"/>
                <w:lang w:val="zh-CN"/>
              </w:rPr>
              <w:t>查询</w:t>
            </w:r>
            <w:r>
              <w:rPr>
                <w:rFonts w:hint="eastAsia" w:ascii="宋体" w:hAnsi="宋体" w:eastAsia="宋体" w:cs="宋体"/>
                <w:color w:val="auto"/>
                <w:kern w:val="0"/>
                <w:szCs w:val="21"/>
                <w:highlight w:val="none"/>
              </w:rPr>
              <w:t>为准</w:t>
            </w:r>
            <w:r>
              <w:rPr>
                <w:rFonts w:hint="eastAsia" w:ascii="宋体" w:hAnsi="宋体" w:eastAsia="宋体" w:cs="宋体"/>
                <w:color w:val="auto"/>
                <w:kern w:val="0"/>
                <w:szCs w:val="21"/>
                <w:highlight w:val="none"/>
                <w:lang w:val="zh-CN"/>
              </w:rPr>
              <w:t>。</w:t>
            </w:r>
          </w:p>
        </w:tc>
      </w:tr>
      <w:tr w14:paraId="44D50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7EC04A1D">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210" w:right="0" w:hanging="210" w:hangingChars="1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3686" w:type="dxa"/>
            <w:gridSpan w:val="2"/>
            <w:vAlign w:val="center"/>
          </w:tcPr>
          <w:p w14:paraId="438D76AF">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096DC71E">
            <w:pPr>
              <w:keepNext w:val="0"/>
              <w:keepLines w:val="0"/>
              <w:pageBreakBefore w:val="0"/>
              <w:widowControl w:val="0"/>
              <w:suppressLineNumbers w:val="0"/>
              <w:tabs>
                <w:tab w:val="left" w:pos="616"/>
              </w:tabs>
              <w:kinsoku/>
              <w:wordWrap w:val="0"/>
              <w:overflowPunct/>
              <w:bidi w:val="0"/>
              <w:spacing w:before="0" w:beforeAutospacing="0" w:after="0" w:afterAutospacing="0"/>
              <w:ind w:left="0"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由投标人自行提供。</w:t>
            </w:r>
          </w:p>
        </w:tc>
      </w:tr>
      <w:tr w14:paraId="3CD5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5B14608F">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3686" w:type="dxa"/>
            <w:gridSpan w:val="2"/>
            <w:vAlign w:val="center"/>
          </w:tcPr>
          <w:p w14:paraId="51650FAA">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符合招标文件第一章第二条对投标人或投标货物的其他特定资格要求。</w:t>
            </w:r>
          </w:p>
        </w:tc>
        <w:tc>
          <w:tcPr>
            <w:tcW w:w="5518" w:type="dxa"/>
            <w:vAlign w:val="center"/>
          </w:tcPr>
          <w:p w14:paraId="4938CCBB">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按招标文件要求提供（如需）。</w:t>
            </w:r>
          </w:p>
        </w:tc>
      </w:tr>
      <w:tr w14:paraId="2905C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7024779">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3686" w:type="dxa"/>
            <w:gridSpan w:val="2"/>
            <w:vAlign w:val="center"/>
          </w:tcPr>
          <w:p w14:paraId="1825CDAC">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符合招标文件第一章第二条关于落实政府采购政策资格要求。</w:t>
            </w:r>
          </w:p>
        </w:tc>
        <w:tc>
          <w:tcPr>
            <w:tcW w:w="5518" w:type="dxa"/>
            <w:vAlign w:val="center"/>
          </w:tcPr>
          <w:p w14:paraId="7CEECFE0">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lang w:val="zh-CN"/>
              </w:rPr>
            </w:pPr>
            <w:r>
              <w:rPr>
                <w:rFonts w:hint="eastAsia" w:ascii="宋体" w:hAnsi="宋体" w:eastAsia="宋体" w:cs="宋体"/>
                <w:b/>
                <w:bCs/>
                <w:color w:val="auto"/>
                <w:kern w:val="0"/>
                <w:szCs w:val="21"/>
                <w:highlight w:val="none"/>
                <w:lang w:val="zh-CN"/>
              </w:rPr>
              <w:t>专门面向中小企业项目</w:t>
            </w:r>
            <w:r>
              <w:rPr>
                <w:rFonts w:hint="eastAsia" w:ascii="宋体" w:hAnsi="宋体" w:cs="宋体"/>
                <w:b/>
                <w:bCs/>
                <w:color w:val="auto"/>
                <w:kern w:val="0"/>
                <w:szCs w:val="21"/>
                <w:highlight w:val="none"/>
                <w:lang w:val="zh-CN"/>
              </w:rPr>
              <w:t>。</w:t>
            </w:r>
          </w:p>
          <w:p w14:paraId="0E723AAC">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lang w:val="zh-CN"/>
              </w:rPr>
            </w:pPr>
            <w:r>
              <w:rPr>
                <w:rFonts w:hint="eastAsia" w:ascii="宋体" w:hAnsi="宋体" w:eastAsia="宋体" w:cs="宋体"/>
                <w:b/>
                <w:bCs/>
                <w:color w:val="auto"/>
                <w:kern w:val="0"/>
                <w:szCs w:val="21"/>
                <w:highlight w:val="none"/>
                <w:lang w:val="zh-CN"/>
              </w:rPr>
              <w:t>证明材料:</w:t>
            </w:r>
            <w:r>
              <w:rPr>
                <w:rFonts w:hint="eastAsia" w:ascii="宋体" w:hAnsi="宋体"/>
                <w:b/>
                <w:bCs/>
                <w:color w:val="auto"/>
                <w:kern w:val="0"/>
                <w:szCs w:val="21"/>
                <w:highlight w:val="none"/>
                <w:lang w:val="zh-CN"/>
              </w:rPr>
              <w:t>需提供中小企业声明函。</w:t>
            </w:r>
          </w:p>
        </w:tc>
      </w:tr>
      <w:tr w14:paraId="0E90C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01CCD5C">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3686" w:type="dxa"/>
            <w:gridSpan w:val="2"/>
            <w:vAlign w:val="center"/>
          </w:tcPr>
          <w:p w14:paraId="518BAAC3">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符合招标文件对联合体的规定。</w:t>
            </w:r>
          </w:p>
        </w:tc>
        <w:tc>
          <w:tcPr>
            <w:tcW w:w="5518" w:type="dxa"/>
            <w:vAlign w:val="center"/>
          </w:tcPr>
          <w:p w14:paraId="61CB10FF">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w:t>
            </w:r>
          </w:p>
        </w:tc>
      </w:tr>
    </w:tbl>
    <w:p w14:paraId="62E4761B">
      <w:pPr>
        <w:pageBreakBefore w:val="0"/>
        <w:widowControl w:val="0"/>
        <w:kinsoku/>
        <w:wordWrap w:val="0"/>
        <w:overflowPunct/>
        <w:bidi w:val="0"/>
        <w:rPr>
          <w:rFonts w:hint="eastAsia" w:ascii="宋体" w:hAnsi="宋体" w:eastAsia="宋体" w:cs="宋体"/>
          <w:color w:val="auto"/>
          <w:highlight w:val="none"/>
        </w:rPr>
      </w:pPr>
    </w:p>
    <w:p w14:paraId="5954267C">
      <w:pPr>
        <w:keepNext/>
        <w:keepLines/>
        <w:pageBreakBefore w:val="0"/>
        <w:widowControl w:val="0"/>
        <w:numPr>
          <w:ilvl w:val="0"/>
          <w:numId w:val="38"/>
        </w:numPr>
        <w:kinsoku/>
        <w:wordWrap w:val="0"/>
        <w:overflowPunct/>
        <w:bidi w:val="0"/>
        <w:spacing w:line="276" w:lineRule="auto"/>
        <w:ind w:left="616" w:hanging="616"/>
        <w:jc w:val="left"/>
        <w:outlineLvl w:val="1"/>
        <w:rPr>
          <w:rFonts w:hint="eastAsia" w:ascii="宋体" w:hAnsi="宋体" w:eastAsia="宋体" w:cs="宋体"/>
          <w:b/>
          <w:color w:val="auto"/>
          <w:szCs w:val="21"/>
          <w:highlight w:val="none"/>
          <w:lang w:val="zh-CN"/>
        </w:rPr>
      </w:pPr>
      <w:bookmarkStart w:id="75" w:name="_Toc14502"/>
      <w:r>
        <w:rPr>
          <w:rFonts w:hint="eastAsia" w:ascii="宋体" w:hAnsi="宋体" w:eastAsia="宋体" w:cs="宋体"/>
          <w:b/>
          <w:color w:val="auto"/>
          <w:kern w:val="0"/>
          <w:szCs w:val="21"/>
          <w:highlight w:val="none"/>
          <w:lang w:val="zh-CN"/>
        </w:rPr>
        <w:t>确定资格审查合格投标人</w:t>
      </w:r>
      <w:bookmarkEnd w:id="75"/>
    </w:p>
    <w:p w14:paraId="606EF7ED">
      <w:pPr>
        <w:pageBreakBefore w:val="0"/>
        <w:widowControl w:val="0"/>
        <w:numPr>
          <w:ilvl w:val="0"/>
          <w:numId w:val="43"/>
        </w:numPr>
        <w:kinsoku/>
        <w:wordWrap w:val="0"/>
        <w:overflowPunct/>
        <w:bidi w:val="0"/>
        <w:adjustRightInd w:val="0"/>
        <w:snapToGrid w:val="0"/>
        <w:spacing w:line="276" w:lineRule="auto"/>
        <w:ind w:left="756" w:hanging="504"/>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资格审查小组依据对各投标人资格证明文件的审查结果，确定资格审查合格的投标人，并形成书面的资格审查报告。</w:t>
      </w:r>
    </w:p>
    <w:p w14:paraId="3F9477F6">
      <w:pPr>
        <w:pageBreakBefore w:val="0"/>
        <w:widowControl w:val="0"/>
        <w:numPr>
          <w:ilvl w:val="0"/>
          <w:numId w:val="43"/>
        </w:numPr>
        <w:kinsoku/>
        <w:wordWrap w:val="0"/>
        <w:overflowPunct/>
        <w:bidi w:val="0"/>
        <w:adjustRightInd w:val="0"/>
        <w:snapToGrid w:val="0"/>
        <w:spacing w:line="276" w:lineRule="auto"/>
        <w:ind w:left="756" w:hanging="504"/>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资格审查合格投标人不足3家的，不进行评标。</w:t>
      </w:r>
    </w:p>
    <w:p w14:paraId="4106576B">
      <w:pPr>
        <w:pageBreakBefore w:val="0"/>
        <w:widowControl w:val="0"/>
        <w:numPr>
          <w:ilvl w:val="0"/>
          <w:numId w:val="43"/>
        </w:numPr>
        <w:kinsoku/>
        <w:wordWrap w:val="0"/>
        <w:overflowPunct/>
        <w:bidi w:val="0"/>
        <w:adjustRightInd w:val="0"/>
        <w:snapToGrid w:val="0"/>
        <w:spacing w:line="276" w:lineRule="auto"/>
        <w:ind w:left="756" w:hanging="504"/>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资格审查未通过的投标人可在项目结果公告质疑有效期内按公告中的联系方式获知本人的资格审查情况。</w:t>
      </w:r>
    </w:p>
    <w:p w14:paraId="3C76EA20">
      <w:pPr>
        <w:pageBreakBefore w:val="0"/>
        <w:widowControl w:val="0"/>
        <w:numPr>
          <w:ilvl w:val="0"/>
          <w:numId w:val="43"/>
        </w:numPr>
        <w:kinsoku/>
        <w:wordWrap w:val="0"/>
        <w:overflowPunct/>
        <w:bidi w:val="0"/>
        <w:adjustRightInd w:val="0"/>
        <w:snapToGrid w:val="0"/>
        <w:spacing w:line="276" w:lineRule="auto"/>
        <w:ind w:left="756" w:hanging="504"/>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采购人已进行资格预审的，不再进行资格审查。未通过资格预审的投标人采购代理机构</w:t>
      </w:r>
      <w:r>
        <w:rPr>
          <w:rFonts w:hint="eastAsia" w:ascii="宋体" w:hAnsi="宋体" w:eastAsia="宋体" w:cs="宋体"/>
          <w:b/>
          <w:color w:val="auto"/>
          <w:szCs w:val="21"/>
          <w:highlight w:val="none"/>
          <w:lang w:val="zh-CN"/>
        </w:rPr>
        <w:t>拒绝</w:t>
      </w:r>
      <w:r>
        <w:rPr>
          <w:rFonts w:hint="eastAsia" w:ascii="宋体" w:hAnsi="宋体" w:eastAsia="宋体" w:cs="宋体"/>
          <w:color w:val="auto"/>
          <w:szCs w:val="21"/>
          <w:highlight w:val="none"/>
          <w:lang w:val="zh-CN"/>
        </w:rPr>
        <w:t>其投标。</w:t>
      </w:r>
    </w:p>
    <w:p w14:paraId="5C4429E5">
      <w:pPr>
        <w:pageBreakBefore w:val="0"/>
        <w:widowControl w:val="0"/>
        <w:tabs>
          <w:tab w:val="left" w:pos="616"/>
        </w:tabs>
        <w:kinsoku/>
        <w:wordWrap w:val="0"/>
        <w:overflowPunct/>
        <w:bidi w:val="0"/>
        <w:spacing w:line="276" w:lineRule="auto"/>
        <w:ind w:left="252"/>
        <w:rPr>
          <w:rFonts w:hint="eastAsia" w:ascii="宋体" w:hAnsi="宋体" w:eastAsia="宋体" w:cs="宋体"/>
          <w:b/>
          <w:color w:val="auto"/>
          <w:szCs w:val="21"/>
          <w:highlight w:val="none"/>
          <w:lang w:val="zh-CN"/>
        </w:rPr>
      </w:pPr>
    </w:p>
    <w:p w14:paraId="070196C8">
      <w:pPr>
        <w:pageBreakBefore w:val="0"/>
        <w:widowControl w:val="0"/>
        <w:kinsoku/>
        <w:wordWrap w:val="0"/>
        <w:overflowPunct/>
        <w:bidi w:val="0"/>
        <w:spacing w:line="276" w:lineRule="auto"/>
        <w:jc w:val="center"/>
        <w:outlineLvl w:val="0"/>
        <w:rPr>
          <w:rFonts w:hint="eastAsia" w:ascii="宋体" w:hAnsi="宋体" w:eastAsia="宋体" w:cs="宋体"/>
          <w:color w:val="auto"/>
          <w:sz w:val="28"/>
          <w:szCs w:val="28"/>
          <w:highlight w:val="none"/>
        </w:rPr>
      </w:pPr>
      <w:r>
        <w:rPr>
          <w:rFonts w:hint="eastAsia" w:ascii="宋体" w:hAnsi="宋体" w:eastAsia="宋体" w:cs="宋体"/>
          <w:color w:val="auto"/>
          <w:kern w:val="0"/>
          <w:szCs w:val="21"/>
          <w:highlight w:val="none"/>
        </w:rPr>
        <w:br w:type="page"/>
      </w:r>
      <w:bookmarkStart w:id="76" w:name="_Toc15627"/>
      <w:r>
        <w:rPr>
          <w:rFonts w:hint="eastAsia" w:ascii="宋体" w:hAnsi="宋体" w:eastAsia="宋体" w:cs="宋体"/>
          <w:color w:val="auto"/>
          <w:sz w:val="28"/>
          <w:szCs w:val="28"/>
          <w:highlight w:val="none"/>
        </w:rPr>
        <w:t>第五章评标方法、程序及标准</w:t>
      </w:r>
      <w:bookmarkEnd w:id="76"/>
    </w:p>
    <w:p w14:paraId="6240CFA5">
      <w:pPr>
        <w:pageBreakBefore w:val="0"/>
        <w:widowControl w:val="0"/>
        <w:kinsoku/>
        <w:wordWrap w:val="0"/>
        <w:overflowPunct/>
        <w:bidi w:val="0"/>
        <w:spacing w:line="276" w:lineRule="auto"/>
        <w:ind w:firstLine="420" w:firstLineChars="20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根据《中华人民共和国政府采购法》、《中华人民共和国政府采购法实施条例》、《政府采购货物和服务招标投标管理办法》（财政部令第87号）等相关法律法规确定以下评标办法、程序及标准。</w:t>
      </w:r>
    </w:p>
    <w:p w14:paraId="3A37FF78">
      <w:pPr>
        <w:keepNext/>
        <w:keepLines/>
        <w:pageBreakBefore w:val="0"/>
        <w:widowControl w:val="0"/>
        <w:numPr>
          <w:ilvl w:val="0"/>
          <w:numId w:val="44"/>
        </w:numPr>
        <w:kinsoku/>
        <w:wordWrap w:val="0"/>
        <w:overflowPunct/>
        <w:bidi w:val="0"/>
        <w:spacing w:line="276" w:lineRule="auto"/>
        <w:ind w:left="616" w:hanging="616"/>
        <w:jc w:val="left"/>
        <w:outlineLvl w:val="1"/>
        <w:rPr>
          <w:rFonts w:hint="eastAsia" w:ascii="宋体" w:hAnsi="宋体" w:eastAsia="宋体" w:cs="宋体"/>
          <w:b/>
          <w:color w:val="auto"/>
          <w:kern w:val="0"/>
          <w:szCs w:val="21"/>
          <w:highlight w:val="none"/>
          <w:lang w:val="zh-CN"/>
        </w:rPr>
      </w:pPr>
      <w:bookmarkStart w:id="77" w:name="_Toc278891605"/>
      <w:bookmarkStart w:id="78" w:name="_Toc272247708"/>
      <w:bookmarkStart w:id="79" w:name="_Toc3532"/>
      <w:bookmarkStart w:id="80" w:name="_Toc494561961"/>
      <w:r>
        <w:rPr>
          <w:rFonts w:hint="eastAsia" w:ascii="宋体" w:hAnsi="宋体" w:eastAsia="宋体" w:cs="宋体"/>
          <w:b/>
          <w:color w:val="auto"/>
          <w:kern w:val="0"/>
          <w:szCs w:val="21"/>
          <w:highlight w:val="none"/>
          <w:lang w:val="zh-CN"/>
        </w:rPr>
        <w:t>评标</w:t>
      </w:r>
      <w:bookmarkEnd w:id="77"/>
      <w:bookmarkEnd w:id="78"/>
      <w:r>
        <w:rPr>
          <w:rFonts w:hint="eastAsia" w:ascii="宋体" w:hAnsi="宋体" w:eastAsia="宋体" w:cs="宋体"/>
          <w:b/>
          <w:color w:val="auto"/>
          <w:kern w:val="0"/>
          <w:szCs w:val="21"/>
          <w:highlight w:val="none"/>
          <w:lang w:val="zh-CN"/>
        </w:rPr>
        <w:t>方法</w:t>
      </w:r>
      <w:bookmarkEnd w:id="79"/>
      <w:bookmarkEnd w:id="80"/>
    </w:p>
    <w:p w14:paraId="350037D1">
      <w:pPr>
        <w:pageBreakBefore w:val="0"/>
        <w:widowControl w:val="0"/>
        <w:kinsoku/>
        <w:wordWrap w:val="0"/>
        <w:overflowPunct/>
        <w:bidi w:val="0"/>
        <w:spacing w:line="276" w:lineRule="auto"/>
        <w:ind w:firstLine="420" w:firstLineChars="20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本项目评标采用综合评分法。综合评分法是指投标文件满足招标文件全部实质性要求，且按照评审因素的量化指标评审得分最高的投标人为中标候选人的评标方法。</w:t>
      </w:r>
    </w:p>
    <w:p w14:paraId="608E2E7D">
      <w:pPr>
        <w:keepNext/>
        <w:keepLines/>
        <w:pageBreakBefore w:val="0"/>
        <w:widowControl w:val="0"/>
        <w:numPr>
          <w:ilvl w:val="0"/>
          <w:numId w:val="44"/>
        </w:numPr>
        <w:kinsoku/>
        <w:wordWrap w:val="0"/>
        <w:overflowPunct/>
        <w:bidi w:val="0"/>
        <w:spacing w:line="276" w:lineRule="auto"/>
        <w:ind w:left="616" w:hanging="616"/>
        <w:jc w:val="left"/>
        <w:outlineLvl w:val="1"/>
        <w:rPr>
          <w:rFonts w:hint="eastAsia" w:ascii="宋体" w:hAnsi="宋体" w:eastAsia="宋体" w:cs="宋体"/>
          <w:b/>
          <w:color w:val="auto"/>
          <w:kern w:val="0"/>
          <w:szCs w:val="21"/>
          <w:highlight w:val="none"/>
          <w:lang w:val="zh-CN"/>
        </w:rPr>
      </w:pPr>
      <w:bookmarkStart w:id="81" w:name="_Toc278891606"/>
      <w:bookmarkStart w:id="82" w:name="_Toc272247709"/>
      <w:bookmarkStart w:id="83" w:name="_Toc494561962"/>
      <w:bookmarkStart w:id="84" w:name="_Toc106"/>
      <w:r>
        <w:rPr>
          <w:rFonts w:hint="eastAsia" w:ascii="宋体" w:hAnsi="宋体" w:eastAsia="宋体" w:cs="宋体"/>
          <w:b/>
          <w:color w:val="auto"/>
          <w:kern w:val="0"/>
          <w:szCs w:val="21"/>
          <w:highlight w:val="none"/>
          <w:lang w:val="zh-CN"/>
        </w:rPr>
        <w:t>评标程序</w:t>
      </w:r>
      <w:bookmarkEnd w:id="81"/>
      <w:bookmarkEnd w:id="82"/>
      <w:r>
        <w:rPr>
          <w:rFonts w:hint="eastAsia" w:ascii="宋体" w:hAnsi="宋体" w:eastAsia="宋体" w:cs="宋体"/>
          <w:b/>
          <w:color w:val="auto"/>
          <w:kern w:val="0"/>
          <w:szCs w:val="21"/>
          <w:highlight w:val="none"/>
          <w:lang w:val="zh-CN"/>
        </w:rPr>
        <w:t>及标准</w:t>
      </w:r>
      <w:bookmarkEnd w:id="83"/>
      <w:bookmarkEnd w:id="84"/>
    </w:p>
    <w:p w14:paraId="06F442C7">
      <w:pPr>
        <w:pageBreakBefore w:val="0"/>
        <w:widowControl w:val="0"/>
        <w:kinsoku/>
        <w:wordWrap w:val="0"/>
        <w:overflowPunct/>
        <w:bidi w:val="0"/>
        <w:spacing w:line="276" w:lineRule="auto"/>
        <w:ind w:firstLine="420" w:firstLineChars="20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评标委员会按以下工作程序进行评标：</w:t>
      </w:r>
      <w:r>
        <w:rPr>
          <w:rFonts w:hint="eastAsia" w:ascii="宋体" w:hAnsi="宋体" w:eastAsia="宋体" w:cs="宋体"/>
          <w:color w:val="auto"/>
          <w:szCs w:val="21"/>
          <w:highlight w:val="none"/>
          <w:lang w:val="zh-CN"/>
        </w:rPr>
        <w:t>符合性审查、澄清有关问题、综合比较和评价、确定中标候选人名单。</w:t>
      </w:r>
    </w:p>
    <w:p w14:paraId="67A1563A">
      <w:pPr>
        <w:pageBreakBefore w:val="0"/>
        <w:widowControl w:val="0"/>
        <w:numPr>
          <w:ilvl w:val="0"/>
          <w:numId w:val="45"/>
        </w:numPr>
        <w:kinsoku/>
        <w:wordWrap w:val="0"/>
        <w:overflowPunct/>
        <w:bidi w:val="0"/>
        <w:spacing w:line="276" w:lineRule="auto"/>
        <w:ind w:left="1064" w:leftChars="154" w:hanging="741" w:hangingChars="353"/>
        <w:rPr>
          <w:rFonts w:hint="eastAsia" w:ascii="宋体" w:hAnsi="宋体" w:eastAsia="宋体" w:cs="宋体"/>
          <w:strike/>
          <w:color w:val="auto"/>
          <w:szCs w:val="21"/>
          <w:highlight w:val="none"/>
          <w:lang w:val="zh-CN"/>
        </w:rPr>
      </w:pPr>
      <w:r>
        <w:rPr>
          <w:rFonts w:hint="eastAsia" w:ascii="宋体" w:hAnsi="宋体" w:eastAsia="宋体" w:cs="宋体"/>
          <w:b/>
          <w:color w:val="auto"/>
          <w:szCs w:val="21"/>
          <w:highlight w:val="none"/>
          <w:lang w:val="zh-CN"/>
        </w:rPr>
        <w:t>符合性审查</w:t>
      </w:r>
    </w:p>
    <w:p w14:paraId="60344C74">
      <w:pPr>
        <w:pageBreakBefore w:val="0"/>
        <w:widowControl w:val="0"/>
        <w:kinsoku/>
        <w:wordWrap w:val="0"/>
        <w:overflowPunct/>
        <w:bidi w:val="0"/>
        <w:spacing w:line="276" w:lineRule="auto"/>
        <w:ind w:firstLine="420" w:firstLineChars="20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3E567DEC">
      <w:pPr>
        <w:pageBreakBefore w:val="0"/>
        <w:widowControl w:val="0"/>
        <w:kinsoku/>
        <w:wordWrap w:val="0"/>
        <w:overflowPunct/>
        <w:bidi w:val="0"/>
        <w:spacing w:line="276" w:lineRule="auto"/>
        <w:ind w:firstLine="411" w:firstLineChars="196"/>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符合性审查表</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3332"/>
        <w:gridCol w:w="5630"/>
      </w:tblGrid>
      <w:tr w14:paraId="45C39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016B60C2">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710" w:type="pct"/>
            <w:vAlign w:val="center"/>
          </w:tcPr>
          <w:p w14:paraId="688F9EA6">
            <w:pPr>
              <w:keepNext w:val="0"/>
              <w:keepLines w:val="0"/>
              <w:pageBreakBefore w:val="0"/>
              <w:widowControl w:val="0"/>
              <w:suppressLineNumbers w:val="0"/>
              <w:kinsoku/>
              <w:wordWrap w:val="0"/>
              <w:overflowPunct/>
              <w:bidi w:val="0"/>
              <w:snapToGrid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643D2414">
            <w:pPr>
              <w:keepNext w:val="0"/>
              <w:keepLines w:val="0"/>
              <w:pageBreakBefore w:val="0"/>
              <w:widowControl w:val="0"/>
              <w:suppressLineNumbers w:val="0"/>
              <w:kinsoku/>
              <w:wordWrap w:val="0"/>
              <w:overflowPunct/>
              <w:bidi w:val="0"/>
              <w:snapToGrid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评审标准</w:t>
            </w:r>
          </w:p>
        </w:tc>
      </w:tr>
      <w:tr w14:paraId="7871A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71EE96FA">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3F09EBF8">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4DCA403E">
            <w:pPr>
              <w:keepNext w:val="0"/>
              <w:keepLines w:val="0"/>
              <w:pageBreakBefore w:val="0"/>
              <w:widowControl w:val="0"/>
              <w:suppressLineNumbers w:val="0"/>
              <w:kinsoku/>
              <w:wordWrap w:val="0"/>
              <w:overflowPunct/>
              <w:bidi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按招标文件要求签署、盖章；</w:t>
            </w:r>
          </w:p>
        </w:tc>
      </w:tr>
      <w:tr w14:paraId="3888D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1FB7160A">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31416869">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7A03E4F8">
            <w:pPr>
              <w:keepNext w:val="0"/>
              <w:keepLines w:val="0"/>
              <w:pageBreakBefore w:val="0"/>
              <w:widowControl w:val="0"/>
              <w:suppressLineNumbers w:val="0"/>
              <w:kinsoku/>
              <w:wordWrap w:val="0"/>
              <w:overflowPunct/>
              <w:bidi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报价未超限价，不存在缺项、漏项；没有出现两个及以上不同报价或投标方案；</w:t>
            </w:r>
          </w:p>
        </w:tc>
      </w:tr>
      <w:tr w14:paraId="2F0C4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362F2D2E">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0F33E309">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按要求缴纳保证金；</w:t>
            </w:r>
          </w:p>
        </w:tc>
        <w:tc>
          <w:tcPr>
            <w:tcW w:w="2889" w:type="pct"/>
            <w:tcBorders>
              <w:top w:val="single" w:color="auto" w:sz="4" w:space="0"/>
              <w:left w:val="single" w:color="auto" w:sz="4" w:space="0"/>
              <w:bottom w:val="single" w:color="auto" w:sz="4" w:space="0"/>
              <w:right w:val="single" w:color="auto" w:sz="4" w:space="0"/>
            </w:tcBorders>
            <w:vAlign w:val="center"/>
          </w:tcPr>
          <w:p w14:paraId="1782DFCF">
            <w:pPr>
              <w:keepNext w:val="0"/>
              <w:keepLines w:val="0"/>
              <w:pageBreakBefore w:val="0"/>
              <w:widowControl w:val="0"/>
              <w:suppressLineNumbers w:val="0"/>
              <w:kinsoku/>
              <w:wordWrap w:val="0"/>
              <w:overflowPunct/>
              <w:bidi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按要求缴纳保证金；</w:t>
            </w:r>
          </w:p>
        </w:tc>
      </w:tr>
      <w:tr w14:paraId="3648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7AAA8427">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468BFFEF">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u w:val="none"/>
              </w:rPr>
              <w:t>交货期、质保期满足招标文件规定；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673619F3">
            <w:pPr>
              <w:keepNext w:val="0"/>
              <w:keepLines w:val="0"/>
              <w:pageBreakBefore w:val="0"/>
              <w:widowControl w:val="0"/>
              <w:suppressLineNumbers w:val="0"/>
              <w:kinsoku/>
              <w:wordWrap w:val="0"/>
              <w:overflowPunct/>
              <w:bidi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u w:val="none"/>
              </w:rPr>
              <w:t>交货期、质保期满足招标文件规定；</w:t>
            </w:r>
          </w:p>
        </w:tc>
      </w:tr>
      <w:tr w14:paraId="792C8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1E2F6198">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2FEFBDE9">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6F20A6F0">
            <w:pPr>
              <w:keepNext w:val="0"/>
              <w:keepLines w:val="0"/>
              <w:pageBreakBefore w:val="0"/>
              <w:widowControl w:val="0"/>
              <w:suppressLineNumbers w:val="0"/>
              <w:kinsoku/>
              <w:wordWrap w:val="0"/>
              <w:overflowPunct/>
              <w:bidi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投标有效期满足招标文件规定；</w:t>
            </w:r>
          </w:p>
        </w:tc>
      </w:tr>
      <w:tr w14:paraId="1122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16E59FC2">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29818F65">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0D4DC717">
            <w:pPr>
              <w:keepNext w:val="0"/>
              <w:keepLines w:val="0"/>
              <w:pageBreakBefore w:val="0"/>
              <w:widowControl w:val="0"/>
              <w:suppressLineNumbers w:val="0"/>
              <w:kinsoku/>
              <w:wordWrap w:val="0"/>
              <w:overflowPunct/>
              <w:bidi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投标文件中未附有采购人不能接受条件；</w:t>
            </w:r>
          </w:p>
        </w:tc>
      </w:tr>
      <w:tr w14:paraId="462A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612128D6">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328374A4">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778C20EF">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满足招标文件技术、服务、商务等</w:t>
            </w:r>
            <w:r>
              <w:rPr>
                <w:rFonts w:hint="eastAsia" w:ascii="宋体" w:hAnsi="宋体" w:cs="宋体"/>
                <w:color w:val="auto"/>
                <w:szCs w:val="21"/>
                <w:highlight w:val="none"/>
                <w:lang w:val="en-US" w:eastAsia="zh-CN"/>
              </w:rPr>
              <w:t>标记</w:t>
            </w:r>
            <w:r>
              <w:rPr>
                <w:rFonts w:hint="eastAsia" w:ascii="宋体" w:hAnsi="宋体" w:eastAsia="宋体" w:cs="宋体"/>
                <w:color w:val="auto"/>
                <w:szCs w:val="21"/>
                <w:highlight w:val="none"/>
              </w:rPr>
              <w:t>★条款</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rPr>
              <w:t>实质性要求；</w:t>
            </w:r>
          </w:p>
        </w:tc>
      </w:tr>
      <w:tr w14:paraId="03CE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415EF513">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4746674B">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2BB58A2A">
            <w:pPr>
              <w:keepNext w:val="0"/>
              <w:keepLines w:val="0"/>
              <w:pageBreakBefore w:val="0"/>
              <w:widowControl w:val="0"/>
              <w:suppressLineNumbers w:val="0"/>
              <w:kinsoku/>
              <w:wordWrap w:val="0"/>
              <w:overflowPunct/>
              <w:bidi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投标人没有下列任一情形：</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（1）不同投标人的投标文件由同一单位或者个人编制；</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（2）不同投标人委托同一单位或者个人办理投标事宜；</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（3）不同投标人的投标文件载明的项目管理成员或者联系人员为同一人；</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（4）不同投标人的投标文件异常一致或者报价呈规律性差异；</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（5）不同投标人的投标文件相互混装；</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（6）不同投标人的保证金从同一单位或者个人的账户转出。</w:t>
            </w:r>
          </w:p>
        </w:tc>
      </w:tr>
      <w:tr w14:paraId="001F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vAlign w:val="center"/>
          </w:tcPr>
          <w:p w14:paraId="1A307C25">
            <w:pPr>
              <w:keepNext w:val="0"/>
              <w:keepLines w:val="0"/>
              <w:pageBreakBefore w:val="0"/>
              <w:widowControl w:val="0"/>
              <w:numPr>
                <w:ilvl w:val="0"/>
                <w:numId w:val="46"/>
              </w:numPr>
              <w:suppressLineNumbers w:val="0"/>
              <w:kinsoku/>
              <w:wordWrap w:val="0"/>
              <w:overflowPunct/>
              <w:bidi w:val="0"/>
              <w:spacing w:before="0" w:beforeAutospacing="0" w:after="0" w:afterAutospacing="0"/>
              <w:ind w:right="0"/>
              <w:contextualSpacing/>
              <w:jc w:val="center"/>
              <w:rPr>
                <w:rFonts w:hint="eastAsia" w:ascii="宋体" w:hAnsi="宋体" w:eastAsia="宋体" w:cs="宋体"/>
                <w:color w:val="auto"/>
                <w:szCs w:val="21"/>
                <w:highlight w:val="none"/>
              </w:rPr>
            </w:pPr>
          </w:p>
        </w:tc>
        <w:tc>
          <w:tcPr>
            <w:tcW w:w="1710" w:type="pct"/>
            <w:vAlign w:val="center"/>
          </w:tcPr>
          <w:p w14:paraId="0D5B5BCE">
            <w:pPr>
              <w:keepNext w:val="0"/>
              <w:keepLines w:val="0"/>
              <w:pageBreakBefore w:val="0"/>
              <w:widowControl w:val="0"/>
              <w:suppressLineNumbers w:val="0"/>
              <w:kinsoku/>
              <w:wordWrap w:val="0"/>
              <w:overflowPunct/>
              <w:bidi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无其他无效投标情形</w:t>
            </w:r>
            <w:r>
              <w:rPr>
                <w:rFonts w:hint="eastAsia" w:ascii="宋体" w:hAnsi="宋体" w:eastAsia="宋体" w:cs="宋体"/>
                <w:color w:val="auto"/>
                <w:szCs w:val="21"/>
                <w:highlight w:val="none"/>
              </w:rPr>
              <w:t>；</w:t>
            </w:r>
          </w:p>
        </w:tc>
        <w:tc>
          <w:tcPr>
            <w:tcW w:w="2889" w:type="pct"/>
            <w:tcBorders>
              <w:top w:val="single" w:color="auto" w:sz="4" w:space="0"/>
              <w:left w:val="single" w:color="auto" w:sz="4" w:space="0"/>
              <w:bottom w:val="single" w:color="auto" w:sz="4" w:space="0"/>
              <w:right w:val="single" w:color="auto" w:sz="4" w:space="0"/>
            </w:tcBorders>
            <w:vAlign w:val="center"/>
          </w:tcPr>
          <w:p w14:paraId="3A24C692">
            <w:pPr>
              <w:keepNext w:val="0"/>
              <w:keepLines w:val="0"/>
              <w:pageBreakBefore w:val="0"/>
              <w:widowControl w:val="0"/>
              <w:suppressLineNumbers w:val="0"/>
              <w:kinsoku/>
              <w:wordWrap w:val="0"/>
              <w:overflowPunct/>
              <w:bidi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没有法律、法规和招标文件规定的其他无效投标情形</w:t>
            </w:r>
            <w:r>
              <w:rPr>
                <w:rFonts w:hint="eastAsia" w:ascii="宋体" w:hAnsi="宋体" w:eastAsia="宋体" w:cs="宋体"/>
                <w:color w:val="auto"/>
                <w:szCs w:val="21"/>
                <w:highlight w:val="none"/>
              </w:rPr>
              <w:t>；</w:t>
            </w:r>
          </w:p>
        </w:tc>
      </w:tr>
    </w:tbl>
    <w:p w14:paraId="1FE1A25E">
      <w:pPr>
        <w:pageBreakBefore w:val="0"/>
        <w:widowControl w:val="0"/>
        <w:tabs>
          <w:tab w:val="center" w:pos="4153"/>
          <w:tab w:val="right" w:pos="8306"/>
        </w:tabs>
        <w:kinsoku/>
        <w:wordWrap w:val="0"/>
        <w:overflowPunct/>
        <w:bidi w:val="0"/>
        <w:snapToGrid w:val="0"/>
        <w:rPr>
          <w:rFonts w:hint="eastAsia" w:ascii="宋体" w:hAnsi="宋体" w:eastAsia="宋体" w:cs="宋体"/>
          <w:color w:val="auto"/>
          <w:szCs w:val="21"/>
          <w:highlight w:val="none"/>
        </w:rPr>
      </w:pPr>
    </w:p>
    <w:p w14:paraId="2532A44A">
      <w:pPr>
        <w:pageBreakBefore w:val="0"/>
        <w:widowControl w:val="0"/>
        <w:tabs>
          <w:tab w:val="center" w:pos="4153"/>
          <w:tab w:val="right" w:pos="8306"/>
        </w:tabs>
        <w:kinsoku/>
        <w:wordWrap w:val="0"/>
        <w:overflowPunct/>
        <w:bidi w:val="0"/>
        <w:snapToGrid w:val="0"/>
        <w:rPr>
          <w:rFonts w:hint="eastAsia" w:ascii="宋体" w:hAnsi="宋体" w:eastAsia="宋体" w:cs="宋体"/>
          <w:color w:val="auto"/>
          <w:szCs w:val="18"/>
          <w:highlight w:val="none"/>
        </w:rPr>
      </w:pPr>
      <w:r>
        <w:rPr>
          <w:rFonts w:hint="eastAsia" w:ascii="宋体" w:hAnsi="宋体" w:eastAsia="宋体" w:cs="宋体"/>
          <w:color w:val="auto"/>
          <w:szCs w:val="21"/>
          <w:highlight w:val="none"/>
        </w:rPr>
        <w:t>说明：</w:t>
      </w:r>
    </w:p>
    <w:p w14:paraId="15189519">
      <w:pPr>
        <w:pageBreakBefore w:val="0"/>
        <w:widowControl w:val="0"/>
        <w:kinsoku/>
        <w:wordWrap w:val="0"/>
        <w:overflowPunct/>
        <w:bidi w:val="0"/>
        <w:adjustRightInd w:val="0"/>
        <w:ind w:left="249"/>
        <w:rPr>
          <w:rFonts w:hint="eastAsia" w:ascii="宋体" w:hAnsi="宋体" w:eastAsia="宋体" w:cs="宋体"/>
          <w:color w:val="auto"/>
          <w:szCs w:val="21"/>
          <w:highlight w:val="none"/>
          <w:lang w:val="zh-CN"/>
        </w:rPr>
      </w:pPr>
      <w:r>
        <w:rPr>
          <w:rFonts w:hint="eastAsia" w:ascii="宋体" w:hAnsi="宋体" w:eastAsia="宋体" w:cs="宋体"/>
          <w:color w:val="auto"/>
          <w:highlight w:val="none"/>
        </w:rPr>
        <w:t>1、</w:t>
      </w:r>
      <w:r>
        <w:rPr>
          <w:rFonts w:hint="eastAsia" w:ascii="宋体" w:hAnsi="宋体" w:eastAsia="宋体" w:cs="宋体"/>
          <w:color w:val="auto"/>
          <w:szCs w:val="21"/>
          <w:highlight w:val="none"/>
          <w:lang w:val="zh-CN"/>
        </w:rPr>
        <w:t>投标文件中有任意一条不满足上表要求的将导致其投标无效，不进入下一项评审。</w:t>
      </w:r>
    </w:p>
    <w:p w14:paraId="159E839C">
      <w:pPr>
        <w:pageBreakBefore w:val="0"/>
        <w:widowControl w:val="0"/>
        <w:kinsoku/>
        <w:wordWrap w:val="0"/>
        <w:overflowPunct/>
        <w:bidi w:val="0"/>
        <w:spacing w:line="276" w:lineRule="auto"/>
        <w:ind w:firstLine="283" w:firstLineChars="135"/>
        <w:jc w:val="left"/>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2、符合性审查合格投标人不足3家的，不进行下一步评审。</w:t>
      </w:r>
    </w:p>
    <w:p w14:paraId="01FAB06A">
      <w:pPr>
        <w:pageBreakBefore w:val="0"/>
        <w:widowControl w:val="0"/>
        <w:numPr>
          <w:ilvl w:val="0"/>
          <w:numId w:val="45"/>
        </w:numPr>
        <w:kinsoku/>
        <w:wordWrap w:val="0"/>
        <w:overflowPunct/>
        <w:bidi w:val="0"/>
        <w:spacing w:line="276" w:lineRule="auto"/>
        <w:ind w:left="1064" w:leftChars="154" w:hanging="741" w:hangingChars="353"/>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澄清</w:t>
      </w:r>
    </w:p>
    <w:p w14:paraId="4B5F5FF4">
      <w:pPr>
        <w:pageBreakBefore w:val="0"/>
        <w:widowControl w:val="0"/>
        <w:numPr>
          <w:ilvl w:val="0"/>
          <w:numId w:val="47"/>
        </w:numPr>
        <w:tabs>
          <w:tab w:val="left" w:pos="616"/>
        </w:tabs>
        <w:kinsoku/>
        <w:wordWrap w:val="0"/>
        <w:overflowPunct/>
        <w:bidi w:val="0"/>
        <w:spacing w:line="276" w:lineRule="auto"/>
        <w:ind w:left="10" w:leftChars="5" w:firstLine="207" w:firstLineChars="99"/>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评审期间，对于投标文件中含义不明确、同类问题表述不一致或者有明显文字和计算错误的内容，评标委员会应当以书面形式要求投标人作出必要的澄清、说明或者补正。</w:t>
      </w:r>
    </w:p>
    <w:p w14:paraId="6C65EBE3">
      <w:pPr>
        <w:pageBreakBefore w:val="0"/>
        <w:widowControl w:val="0"/>
        <w:numPr>
          <w:ilvl w:val="0"/>
          <w:numId w:val="47"/>
        </w:numPr>
        <w:tabs>
          <w:tab w:val="left" w:pos="616"/>
        </w:tabs>
        <w:kinsoku/>
        <w:wordWrap w:val="0"/>
        <w:overflowPunct/>
        <w:bidi w:val="0"/>
        <w:spacing w:line="276" w:lineRule="auto"/>
        <w:ind w:left="10" w:leftChars="5" w:firstLine="207" w:firstLineChars="99"/>
        <w:rPr>
          <w:rFonts w:hint="eastAsia" w:ascii="宋体" w:hAnsi="宋体" w:eastAsia="宋体" w:cs="宋体"/>
          <w:bCs/>
          <w:strike/>
          <w:color w:val="auto"/>
          <w:szCs w:val="21"/>
          <w:highlight w:val="none"/>
          <w:lang w:val="zh-CN"/>
        </w:rPr>
      </w:pPr>
      <w:r>
        <w:rPr>
          <w:rFonts w:hint="eastAsia" w:ascii="宋体" w:hAnsi="宋体" w:eastAsia="宋体" w:cs="宋体"/>
          <w:bCs/>
          <w:color w:val="auto"/>
          <w:szCs w:val="21"/>
          <w:highlight w:val="none"/>
          <w:lang w:val="zh-CN"/>
        </w:rPr>
        <w:t>投标人应按照评标委员会要求的澄清内容在规定时间内做出澄清。</w:t>
      </w:r>
      <w:r>
        <w:rPr>
          <w:rFonts w:hint="eastAsia" w:ascii="宋体" w:hAnsi="宋体" w:eastAsia="宋体" w:cs="宋体"/>
          <w:color w:val="auto"/>
          <w:szCs w:val="21"/>
          <w:highlight w:val="none"/>
          <w:lang w:val="zh-CN"/>
        </w:rPr>
        <w:t>投标文件报价出现前后不一致的，按照本节第3</w:t>
      </w:r>
      <w:r>
        <w:rPr>
          <w:rFonts w:hint="eastAsia" w:ascii="宋体" w:hAnsi="宋体" w:eastAsia="宋体" w:cs="宋体"/>
          <w:bCs/>
          <w:color w:val="auto"/>
          <w:szCs w:val="21"/>
          <w:highlight w:val="none"/>
          <w:lang w:val="zh-CN"/>
        </w:rPr>
        <w:t>条规定进行修正，</w:t>
      </w:r>
      <w:r>
        <w:rPr>
          <w:rFonts w:hint="eastAsia" w:ascii="宋体" w:hAnsi="宋体" w:eastAsia="宋体" w:cs="宋体"/>
          <w:color w:val="auto"/>
          <w:kern w:val="0"/>
          <w:szCs w:val="21"/>
          <w:highlight w:val="none"/>
          <w:lang w:val="zh-CN"/>
        </w:rPr>
        <w:t>投标人的澄清、说明或者补正不得超出投标文件的范围或者改变投标文件的实质性内容。</w:t>
      </w:r>
    </w:p>
    <w:p w14:paraId="775FB7DD">
      <w:pPr>
        <w:pageBreakBefore w:val="0"/>
        <w:widowControl w:val="0"/>
        <w:numPr>
          <w:ilvl w:val="0"/>
          <w:numId w:val="47"/>
        </w:numPr>
        <w:tabs>
          <w:tab w:val="left" w:pos="616"/>
        </w:tabs>
        <w:kinsoku/>
        <w:wordWrap w:val="0"/>
        <w:overflowPunct/>
        <w:bidi w:val="0"/>
        <w:spacing w:line="276" w:lineRule="auto"/>
        <w:ind w:left="10" w:leftChars="5" w:firstLine="207" w:firstLineChars="99"/>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投标文件报价出现前后不一致的，按照下列规定修正：</w:t>
      </w:r>
    </w:p>
    <w:p w14:paraId="68E88B53">
      <w:pPr>
        <w:pageBreakBefore w:val="0"/>
        <w:widowControl w:val="0"/>
        <w:numPr>
          <w:ilvl w:val="0"/>
          <w:numId w:val="48"/>
        </w:numPr>
        <w:kinsoku/>
        <w:wordWrap w:val="0"/>
        <w:overflowPunct/>
        <w:bidi w:val="0"/>
        <w:adjustRightInd w:val="0"/>
        <w:spacing w:line="276" w:lineRule="auto"/>
        <w:ind w:left="742" w:hanging="49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投标文件中报价一览表内容与投标文件中相应内容不一致的，以报价一览表为准。</w:t>
      </w:r>
    </w:p>
    <w:p w14:paraId="2AE168EF">
      <w:pPr>
        <w:pageBreakBefore w:val="0"/>
        <w:widowControl w:val="0"/>
        <w:numPr>
          <w:ilvl w:val="0"/>
          <w:numId w:val="48"/>
        </w:numPr>
        <w:kinsoku/>
        <w:wordWrap w:val="0"/>
        <w:overflowPunct/>
        <w:bidi w:val="0"/>
        <w:adjustRightInd w:val="0"/>
        <w:spacing w:line="276" w:lineRule="auto"/>
        <w:ind w:left="742" w:hanging="49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大写金额和小写金额不一致的，以大写金额为准。</w:t>
      </w:r>
    </w:p>
    <w:p w14:paraId="4FDBB4A7">
      <w:pPr>
        <w:pageBreakBefore w:val="0"/>
        <w:widowControl w:val="0"/>
        <w:numPr>
          <w:ilvl w:val="0"/>
          <w:numId w:val="48"/>
        </w:numPr>
        <w:kinsoku/>
        <w:wordWrap w:val="0"/>
        <w:overflowPunct/>
        <w:bidi w:val="0"/>
        <w:adjustRightInd w:val="0"/>
        <w:spacing w:line="276" w:lineRule="auto"/>
        <w:ind w:left="742" w:hanging="49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单价金额小数点或者百分比有明显错位的，以报价一览表的总价为准，并修改单价。</w:t>
      </w:r>
    </w:p>
    <w:p w14:paraId="538EAF81">
      <w:pPr>
        <w:pageBreakBefore w:val="0"/>
        <w:widowControl w:val="0"/>
        <w:numPr>
          <w:ilvl w:val="0"/>
          <w:numId w:val="48"/>
        </w:numPr>
        <w:kinsoku/>
        <w:wordWrap w:val="0"/>
        <w:overflowPunct/>
        <w:bidi w:val="0"/>
        <w:adjustRightInd w:val="0"/>
        <w:spacing w:line="276" w:lineRule="auto"/>
        <w:ind w:left="742" w:hanging="49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总价金额与按单价汇总金额不一致的，以单价金额计算结果为准。</w:t>
      </w:r>
    </w:p>
    <w:p w14:paraId="33C57774">
      <w:pPr>
        <w:pageBreakBefore w:val="0"/>
        <w:widowControl w:val="0"/>
        <w:numPr>
          <w:ilvl w:val="0"/>
          <w:numId w:val="48"/>
        </w:numPr>
        <w:kinsoku/>
        <w:wordWrap w:val="0"/>
        <w:overflowPunct/>
        <w:bidi w:val="0"/>
        <w:adjustRightInd w:val="0"/>
        <w:spacing w:line="276" w:lineRule="auto"/>
        <w:ind w:left="742" w:hanging="49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同时出现两种以上不一致的，按照前款规定的顺序修正。</w:t>
      </w:r>
    </w:p>
    <w:p w14:paraId="09080A5D">
      <w:pPr>
        <w:pageBreakBefore w:val="0"/>
        <w:widowControl w:val="0"/>
        <w:numPr>
          <w:ilvl w:val="0"/>
          <w:numId w:val="48"/>
        </w:numPr>
        <w:kinsoku/>
        <w:wordWrap w:val="0"/>
        <w:overflowPunct/>
        <w:bidi w:val="0"/>
        <w:adjustRightInd w:val="0"/>
        <w:spacing w:line="276" w:lineRule="auto"/>
        <w:ind w:left="742" w:hanging="49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修正后的报价按照本节第4条规定经投标人确认后产生约束力，投标人不确认的，按照</w:t>
      </w:r>
      <w:r>
        <w:rPr>
          <w:rFonts w:hint="eastAsia" w:ascii="宋体" w:hAnsi="宋体" w:eastAsia="宋体" w:cs="宋体"/>
          <w:b/>
          <w:color w:val="auto"/>
          <w:szCs w:val="21"/>
          <w:highlight w:val="none"/>
          <w:lang w:val="zh-CN"/>
        </w:rPr>
        <w:t>无效投标处理</w:t>
      </w:r>
      <w:r>
        <w:rPr>
          <w:rFonts w:hint="eastAsia" w:ascii="宋体" w:hAnsi="宋体" w:eastAsia="宋体" w:cs="宋体"/>
          <w:color w:val="auto"/>
          <w:szCs w:val="21"/>
          <w:highlight w:val="none"/>
          <w:lang w:val="zh-CN"/>
        </w:rPr>
        <w:t>。</w:t>
      </w:r>
    </w:p>
    <w:p w14:paraId="569DAE0B">
      <w:pPr>
        <w:pageBreakBefore w:val="0"/>
        <w:widowControl w:val="0"/>
        <w:numPr>
          <w:ilvl w:val="0"/>
          <w:numId w:val="47"/>
        </w:numPr>
        <w:tabs>
          <w:tab w:val="left" w:pos="616"/>
        </w:tabs>
        <w:kinsoku/>
        <w:wordWrap w:val="0"/>
        <w:overflowPunct/>
        <w:bidi w:val="0"/>
        <w:spacing w:line="276" w:lineRule="auto"/>
        <w:ind w:left="10" w:leftChars="5" w:firstLine="207" w:firstLineChars="9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投标人的</w:t>
      </w:r>
      <w:r>
        <w:rPr>
          <w:rFonts w:hint="eastAsia" w:ascii="宋体" w:hAnsi="宋体" w:eastAsia="宋体" w:cs="宋体"/>
          <w:color w:val="auto"/>
          <w:kern w:val="0"/>
          <w:szCs w:val="21"/>
          <w:highlight w:val="none"/>
          <w:lang w:val="zh-CN"/>
        </w:rPr>
        <w:t>澄清、说明或者补正</w:t>
      </w:r>
      <w:r>
        <w:rPr>
          <w:rFonts w:hint="eastAsia" w:ascii="宋体" w:hAnsi="宋体" w:eastAsia="宋体" w:cs="宋体"/>
          <w:color w:val="auto"/>
          <w:szCs w:val="21"/>
          <w:highlight w:val="none"/>
          <w:lang w:val="zh-CN"/>
        </w:rPr>
        <w:t>是其投标文件的有效组成部分。</w:t>
      </w:r>
      <w:r>
        <w:rPr>
          <w:rFonts w:hint="eastAsia" w:ascii="宋体" w:hAnsi="宋体" w:eastAsia="宋体" w:cs="宋体"/>
          <w:color w:val="auto"/>
          <w:kern w:val="0"/>
          <w:szCs w:val="21"/>
          <w:highlight w:val="none"/>
          <w:lang w:val="zh-CN"/>
        </w:rPr>
        <w:t>投标人的澄清、说明或者补正应当采用书面形式，并加盖公章，或者由法定代表人或其授权的代表</w:t>
      </w:r>
      <w:r>
        <w:rPr>
          <w:rFonts w:hint="eastAsia" w:ascii="宋体" w:hAnsi="宋体" w:eastAsia="宋体" w:cs="宋体"/>
          <w:bCs/>
          <w:color w:val="auto"/>
          <w:szCs w:val="21"/>
          <w:highlight w:val="none"/>
        </w:rPr>
        <w:t>签名</w:t>
      </w:r>
      <w:r>
        <w:rPr>
          <w:rFonts w:hint="eastAsia" w:ascii="宋体" w:hAnsi="宋体" w:eastAsia="宋体" w:cs="宋体"/>
          <w:color w:val="auto"/>
          <w:kern w:val="0"/>
          <w:szCs w:val="21"/>
          <w:highlight w:val="none"/>
          <w:lang w:val="zh-CN"/>
        </w:rPr>
        <w:t>。</w:t>
      </w:r>
    </w:p>
    <w:p w14:paraId="250B9B0B">
      <w:pPr>
        <w:pageBreakBefore w:val="0"/>
        <w:widowControl w:val="0"/>
        <w:numPr>
          <w:ilvl w:val="0"/>
          <w:numId w:val="45"/>
        </w:numPr>
        <w:kinsoku/>
        <w:wordWrap w:val="0"/>
        <w:overflowPunct/>
        <w:bidi w:val="0"/>
        <w:spacing w:line="276" w:lineRule="auto"/>
        <w:ind w:left="1064" w:leftChars="154" w:hanging="741" w:hangingChars="353"/>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综合比较与评价</w:t>
      </w:r>
    </w:p>
    <w:p w14:paraId="398AD473">
      <w:pPr>
        <w:pageBreakBefore w:val="0"/>
        <w:widowControl w:val="0"/>
        <w:numPr>
          <w:ilvl w:val="0"/>
          <w:numId w:val="49"/>
        </w:numPr>
        <w:tabs>
          <w:tab w:val="left" w:pos="616"/>
        </w:tabs>
        <w:kinsoku/>
        <w:wordWrap w:val="0"/>
        <w:overflowPunct/>
        <w:bidi w:val="0"/>
        <w:spacing w:line="276" w:lineRule="auto"/>
        <w:ind w:left="10" w:leftChars="5" w:firstLine="207" w:firstLineChars="99"/>
        <w:rPr>
          <w:rFonts w:hint="eastAsia" w:ascii="宋体" w:hAnsi="宋体" w:eastAsia="宋体" w:cs="宋体"/>
          <w:bCs/>
          <w:color w:val="auto"/>
          <w:szCs w:val="21"/>
          <w:highlight w:val="none"/>
          <w:lang w:val="zh-CN"/>
        </w:rPr>
      </w:pPr>
      <w:r>
        <w:rPr>
          <w:rFonts w:hint="eastAsia" w:ascii="宋体" w:hAnsi="宋体" w:eastAsia="宋体" w:cs="宋体"/>
          <w:b/>
          <w:bCs/>
          <w:color w:val="auto"/>
          <w:szCs w:val="21"/>
          <w:highlight w:val="none"/>
          <w:lang w:val="zh-CN"/>
        </w:rPr>
        <w:t>技术、服务和商务评议</w:t>
      </w:r>
    </w:p>
    <w:p w14:paraId="1508CBD5">
      <w:pPr>
        <w:pageBreakBefore w:val="0"/>
        <w:widowControl w:val="0"/>
        <w:kinsoku/>
        <w:wordWrap w:val="0"/>
        <w:overflowPunct/>
        <w:bidi w:val="0"/>
        <w:spacing w:line="276" w:lineRule="auto"/>
        <w:ind w:firstLine="420" w:firstLineChars="20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评标委员会应当按照本章中规定的评审因素及评分标准</w:t>
      </w:r>
      <w:r>
        <w:rPr>
          <w:rFonts w:hint="eastAsia" w:ascii="宋体" w:hAnsi="宋体" w:eastAsia="宋体" w:cs="宋体"/>
          <w:bCs/>
          <w:color w:val="auto"/>
          <w:szCs w:val="21"/>
          <w:highlight w:val="none"/>
          <w:lang w:val="zh-CN"/>
        </w:rPr>
        <w:t>，对符合性审查合格的投标文件进行技术、服务和商务评估，综合比较与评价。</w:t>
      </w:r>
    </w:p>
    <w:p w14:paraId="57BD8118">
      <w:pPr>
        <w:pageBreakBefore w:val="0"/>
        <w:widowControl w:val="0"/>
        <w:numPr>
          <w:ilvl w:val="0"/>
          <w:numId w:val="49"/>
        </w:numPr>
        <w:tabs>
          <w:tab w:val="left" w:pos="616"/>
        </w:tabs>
        <w:kinsoku/>
        <w:wordWrap w:val="0"/>
        <w:overflowPunct/>
        <w:bidi w:val="0"/>
        <w:spacing w:line="276" w:lineRule="auto"/>
        <w:ind w:left="10" w:leftChars="5" w:firstLine="207" w:firstLineChars="99"/>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价格评议</w:t>
      </w:r>
    </w:p>
    <w:p w14:paraId="571CD44A">
      <w:pPr>
        <w:pageBreakBefore w:val="0"/>
        <w:widowControl w:val="0"/>
        <w:kinsoku/>
        <w:wordWrap w:val="0"/>
        <w:overflowPunct/>
        <w:bidi w:val="0"/>
        <w:spacing w:line="276"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评标委员会对符合性审查合格的投标文件进行价格评议，报价分采用低价优先法计算，即满足招标文件要求且投标价格（落实政府采购政策进行价格调整的，以调整后的价格计算）最低的投标报价为评标基准价，其报价分为满分。其他投标人的报价分值计算详见本章“评审因素及评分标准”中的具体计算方式。</w:t>
      </w:r>
    </w:p>
    <w:p w14:paraId="7E76CB3E">
      <w:pPr>
        <w:pageBreakBefore w:val="0"/>
        <w:widowControl w:val="0"/>
        <w:numPr>
          <w:ilvl w:val="0"/>
          <w:numId w:val="0"/>
        </w:numPr>
        <w:kinsoku/>
        <w:wordWrap w:val="0"/>
        <w:overflowPunct/>
        <w:bidi w:val="0"/>
        <w:adjustRightInd w:val="0"/>
        <w:spacing w:line="276" w:lineRule="auto"/>
        <w:ind w:left="742" w:leftChars="0" w:hanging="493" w:firstLineChars="0"/>
        <w:rPr>
          <w:rFonts w:hint="eastAsia" w:ascii="宋体" w:hAnsi="宋体" w:eastAsia="宋体" w:cs="宋体"/>
          <w:bCs/>
          <w:color w:val="auto"/>
          <w:szCs w:val="21"/>
          <w:highlight w:val="none"/>
          <w:lang w:val="zh-CN"/>
        </w:rPr>
      </w:pPr>
      <w:r>
        <w:rPr>
          <w:rFonts w:hint="eastAsia" w:ascii="宋体" w:hAnsi="宋体" w:eastAsia="宋体" w:cs="宋体"/>
          <w:b w:val="0"/>
          <w:bCs/>
          <w:strike w:val="0"/>
          <w:dstrike w:val="0"/>
          <w:color w:val="auto"/>
          <w:kern w:val="2"/>
          <w:sz w:val="21"/>
          <w:szCs w:val="21"/>
          <w:highlight w:val="none"/>
          <w:u w:val="none"/>
          <w:lang w:val="zh-CN" w:eastAsia="zh-CN" w:bidi="ar-SA"/>
        </w:rPr>
        <w:t>2.1</w:t>
      </w:r>
      <w:r>
        <w:rPr>
          <w:rFonts w:hint="eastAsia" w:ascii="宋体" w:hAnsi="宋体" w:eastAsia="宋体" w:cs="宋体"/>
          <w:b/>
          <w:color w:val="auto"/>
          <w:szCs w:val="21"/>
          <w:highlight w:val="none"/>
          <w:lang w:val="zh-CN"/>
        </w:rPr>
        <w:t>报价合理性：</w:t>
      </w:r>
    </w:p>
    <w:p w14:paraId="3701A774">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审查情形</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eastAsia="zh-CN"/>
        </w:rPr>
        <w:t>按照&lt;&lt;关于推动解决政府采购异常低价问题的通知&gt;&gt;(财库[2026]2号)规定，自2026年2月1日起。政府采购评审中出现下列情形之一的，评审委员会应当启动异常低价投标(响应)审查程序</w:t>
      </w:r>
      <w:r>
        <w:rPr>
          <w:rFonts w:hint="eastAsia" w:ascii="宋体" w:hAnsi="宋体" w:cs="宋体"/>
          <w:bCs/>
          <w:color w:val="auto"/>
          <w:szCs w:val="21"/>
          <w:highlight w:val="none"/>
          <w:lang w:val="en-US" w:eastAsia="zh-CN"/>
        </w:rPr>
        <w:t>：</w:t>
      </w:r>
    </w:p>
    <w:p w14:paraId="5EC96F0E">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（1）投标（响应）报价低于全部通过符合性审查投标人投标（响应）报价平均值50%的，即投标（响应）报价&lt;全部通过符合性审查投标人投标（响应）报价平均值×50%;</w:t>
      </w:r>
    </w:p>
    <w:p w14:paraId="74FCC3ED">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（2）投标（响应）报价低于通过符合性审查的次低报价投标人投标（响应）报价50%的，即投标（响应）报价&lt;通过符合性审查的次低报价投标人投标（响应）报价×50%;</w:t>
      </w:r>
    </w:p>
    <w:p w14:paraId="0754FC61">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（3）投标（响应）报价低于采购项目最高限价45%的，即投标（响应）报价&lt;采购项目最高限价×45%;</w:t>
      </w:r>
    </w:p>
    <w:p w14:paraId="205D6624">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（4）评审委员会基于专业判断，认为投标人报价过低，有可能影响产品质量或者不能诚信履约的其他情形。</w:t>
      </w:r>
    </w:p>
    <w:p w14:paraId="2B56411E">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资料要求</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eastAsia="zh-CN"/>
        </w:rPr>
        <w:t>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4DE65273">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审查要求</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1EB696A">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评审组织</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0FA76B5">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en-US" w:eastAsia="zh-CN"/>
        </w:rPr>
        <w:t>记录及归档</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381839EC">
      <w:pPr>
        <w:pageBreakBefore w:val="0"/>
        <w:widowControl w:val="0"/>
        <w:numPr>
          <w:ilvl w:val="0"/>
          <w:numId w:val="0"/>
        </w:numPr>
        <w:kinsoku/>
        <w:wordWrap w:val="0"/>
        <w:overflowPunct/>
        <w:bidi w:val="0"/>
        <w:adjustRightInd w:val="0"/>
        <w:spacing w:line="276" w:lineRule="auto"/>
        <w:ind w:left="742" w:leftChars="0" w:hanging="493" w:firstLineChars="0"/>
        <w:rPr>
          <w:rFonts w:hint="eastAsia" w:ascii="宋体" w:hAnsi="宋体" w:eastAsia="宋体" w:cs="宋体"/>
          <w:b/>
          <w:color w:val="auto"/>
          <w:szCs w:val="21"/>
          <w:highlight w:val="none"/>
          <w:lang w:val="zh-CN"/>
        </w:rPr>
      </w:pPr>
      <w:r>
        <w:rPr>
          <w:rFonts w:hint="eastAsia" w:ascii="宋体" w:hAnsi="宋体" w:eastAsia="宋体" w:cs="宋体"/>
          <w:b w:val="0"/>
          <w:strike w:val="0"/>
          <w:dstrike w:val="0"/>
          <w:color w:val="auto"/>
          <w:kern w:val="2"/>
          <w:sz w:val="21"/>
          <w:szCs w:val="21"/>
          <w:highlight w:val="none"/>
          <w:u w:val="none"/>
          <w:lang w:val="zh-CN" w:eastAsia="zh-CN" w:bidi="ar-SA"/>
        </w:rPr>
        <w:t>2.2</w:t>
      </w:r>
      <w:r>
        <w:rPr>
          <w:rFonts w:hint="eastAsia" w:ascii="宋体" w:hAnsi="宋体" w:eastAsia="宋体" w:cs="宋体"/>
          <w:b/>
          <w:color w:val="auto"/>
          <w:szCs w:val="21"/>
          <w:highlight w:val="none"/>
          <w:lang w:val="zh-CN"/>
        </w:rPr>
        <w:t>小型和微型企业、监狱企业、残疾人福利性单位价格扣除：</w:t>
      </w:r>
    </w:p>
    <w:p w14:paraId="238B601A">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3946F044">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2)非专门面向中小企业的服务类采购项目，投标人是小型和微型企业的价格给予10%的扣除，用扣除后的价格参与评审。</w:t>
      </w:r>
    </w:p>
    <w:p w14:paraId="0BAF6D8B">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32D5E071">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524CE2FD">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5)监狱企业、残疾人福利性单位视同小型、微型企业，享受预留份额、评审中价格扣除等政府采购促进中小企业发展的政府采购政策，残疾人福利性单位属于小型、微型企业的，不重复享受政策。</w:t>
      </w:r>
    </w:p>
    <w:p w14:paraId="67477269">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6)小型和微型企业应出具《中小企业声明函》；残疾人福利性单位提供《残疾人福利性单位声明函》；监狱企业应提供由省级监狱局、戒毒局（含新疆生产兵团）出具的监狱企业的证明文件。</w:t>
      </w:r>
    </w:p>
    <w:p w14:paraId="5F18AABA">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4F1F26A6">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8)服务由中小企业承接，即提供服务的人员为中小企业按照《中华人民共和国劳动合同法》订立劳动合同的从业人员，享受中小企业扶持政策。</w:t>
      </w:r>
    </w:p>
    <w:p w14:paraId="6A8AA8CA">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9)专门面向中小企业采购的项目或者采购标包，不再执行价格评审优惠的扶持政策。</w:t>
      </w:r>
    </w:p>
    <w:p w14:paraId="13EC432B">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10)中标人享受本办法规定的中小企业扶持政策的，采购人、采购代理机构应当随中标、成交结果公开中标人的《中小企业声明函》。</w:t>
      </w:r>
    </w:p>
    <w:p w14:paraId="3AFE86AE">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2.</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lang w:val="zh-CN"/>
        </w:rPr>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应按要求出具所投相关产品《关于符合本国产品标准的声明函》（样式见第七章投标文件格式附件，以下简称《声明函》）或财政部会同有关部门规定的有关证明文件。出具符合要求的《声明函》或有关证明文件的，可享受上述价格优惠。对于仅有本国产品参与竞争的政府采购项目，本国产品不享受价格扣除评审优惠。投标人同时满足中小企业扶持政策与政府采购中实施本国产品标准及相关政策的，可同时享受价格扣除。相关价格评审扣除优惠，均在投标人原始报价基础上计算，用扣除后的价格参与评审。</w:t>
      </w:r>
    </w:p>
    <w:p w14:paraId="29C8633E">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2.</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lang w:val="zh-CN"/>
        </w:rPr>
        <w:t>关于本国产品、非本国产品的认定标准，按《国务院办公厅关于在政府采购中实施本国产品标准及相关政策的通知》（国办发〔2025〕34号）中的规定为准。</w:t>
      </w:r>
    </w:p>
    <w:p w14:paraId="1730B494">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2.</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lang w:val="zh-CN"/>
        </w:rPr>
        <w:t>投标人对其提供的产品出具《关于符合本国产品标准的声明函》或财政部会同有关部门规定的有关证明文件，是其产品享受政府采购对本国产品支持政策的先决条件。中标人享受《国务院办公厅关于在政府采购中实施本国产品标准及相关政策的通知》规定的支持本国产品政策的，采购人、采购代理机构应当随中标、成交结果公开中标人的《关于符合本国产品标准的声明函》或财政部会同有关部门规定的有关证明文件。</w:t>
      </w:r>
    </w:p>
    <w:p w14:paraId="04A51196">
      <w:pPr>
        <w:pageBreakBefore w:val="0"/>
        <w:widowControl w:val="0"/>
        <w:numPr>
          <w:ilvl w:val="0"/>
          <w:numId w:val="0"/>
        </w:numPr>
        <w:kinsoku/>
        <w:wordWrap w:val="0"/>
        <w:overflowPunct/>
        <w:bidi w:val="0"/>
        <w:adjustRightInd w:val="0"/>
        <w:spacing w:line="276" w:lineRule="auto"/>
        <w:ind w:left="742" w:leftChars="0" w:hanging="493" w:firstLineChars="0"/>
        <w:rPr>
          <w:rFonts w:hint="eastAsia" w:ascii="宋体" w:hAnsi="宋体" w:eastAsia="宋体" w:cs="宋体"/>
          <w:b/>
          <w:color w:val="auto"/>
          <w:szCs w:val="21"/>
          <w:highlight w:val="none"/>
          <w:lang w:val="zh-CN"/>
        </w:rPr>
      </w:pPr>
      <w:r>
        <w:rPr>
          <w:rFonts w:hint="eastAsia" w:ascii="宋体" w:hAnsi="宋体" w:eastAsia="宋体" w:cs="宋体"/>
          <w:b w:val="0"/>
          <w:strike w:val="0"/>
          <w:dstrike w:val="0"/>
          <w:color w:val="auto"/>
          <w:kern w:val="2"/>
          <w:sz w:val="21"/>
          <w:szCs w:val="21"/>
          <w:highlight w:val="none"/>
          <w:u w:val="none"/>
          <w:lang w:val="zh-CN" w:eastAsia="zh-CN" w:bidi="ar-SA"/>
        </w:rPr>
        <w:t>2.</w:t>
      </w:r>
      <w:r>
        <w:rPr>
          <w:rFonts w:hint="eastAsia" w:ascii="宋体" w:hAnsi="宋体" w:cs="宋体"/>
          <w:b w:val="0"/>
          <w:strike w:val="0"/>
          <w:dstrike w:val="0"/>
          <w:color w:val="auto"/>
          <w:kern w:val="2"/>
          <w:sz w:val="21"/>
          <w:szCs w:val="21"/>
          <w:highlight w:val="none"/>
          <w:u w:val="none"/>
          <w:lang w:val="en-US" w:eastAsia="zh-CN" w:bidi="ar-SA"/>
        </w:rPr>
        <w:t>6</w:t>
      </w:r>
      <w:r>
        <w:rPr>
          <w:rFonts w:hint="eastAsia" w:ascii="宋体" w:hAnsi="宋体" w:eastAsia="宋体" w:cs="宋体"/>
          <w:b/>
          <w:color w:val="auto"/>
          <w:szCs w:val="21"/>
          <w:highlight w:val="none"/>
          <w:lang w:val="zh-CN"/>
        </w:rPr>
        <w:t>政府采购节能环保政策</w:t>
      </w:r>
      <w:r>
        <w:rPr>
          <w:rFonts w:hint="eastAsia" w:ascii="宋体" w:hAnsi="宋体" w:cs="宋体"/>
          <w:b/>
          <w:color w:val="auto"/>
          <w:szCs w:val="21"/>
          <w:highlight w:val="none"/>
          <w:lang w:val="zh-CN"/>
        </w:rPr>
        <w:t>：</w:t>
      </w:r>
    </w:p>
    <w:p w14:paraId="464F0B60">
      <w:pPr>
        <w:keepNext w:val="0"/>
        <w:keepLines w:val="0"/>
        <w:pageBreakBefore w:val="0"/>
        <w:widowControl w:val="0"/>
        <w:kinsoku/>
        <w:wordWrap w:val="0"/>
        <w:overflowPunct/>
        <w:topLinePunct w:val="0"/>
        <w:autoSpaceDE/>
        <w:autoSpaceDN/>
        <w:bidi w:val="0"/>
        <w:adjustRightInd/>
        <w:snapToGrid/>
        <w:ind w:left="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同等条件下）或强制采购。</w:t>
      </w:r>
    </w:p>
    <w:p w14:paraId="36460ED7">
      <w:pPr>
        <w:pageBreakBefore w:val="0"/>
        <w:widowControl w:val="0"/>
        <w:numPr>
          <w:ilvl w:val="0"/>
          <w:numId w:val="49"/>
        </w:numPr>
        <w:tabs>
          <w:tab w:val="left" w:pos="616"/>
        </w:tabs>
        <w:kinsoku/>
        <w:wordWrap w:val="0"/>
        <w:overflowPunct/>
        <w:bidi w:val="0"/>
        <w:spacing w:line="276" w:lineRule="auto"/>
        <w:ind w:left="10" w:leftChars="5" w:firstLine="207" w:firstLineChars="99"/>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相同品牌处理原则</w:t>
      </w:r>
    </w:p>
    <w:p w14:paraId="57D81262">
      <w:pPr>
        <w:keepNext w:val="0"/>
        <w:keepLines w:val="0"/>
        <w:pageBreakBefore w:val="0"/>
        <w:widowControl w:val="0"/>
        <w:numPr>
          <w:ilvl w:val="0"/>
          <w:numId w:val="50"/>
        </w:numPr>
        <w:kinsoku/>
        <w:wordWrap w:val="0"/>
        <w:overflowPunct/>
        <w:topLinePunct w:val="0"/>
        <w:autoSpaceDE/>
        <w:autoSpaceDN/>
        <w:bidi w:val="0"/>
        <w:adjustRightInd w:val="0"/>
        <w:snapToGrid/>
        <w:spacing w:line="276" w:lineRule="auto"/>
        <w:ind w:left="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提供相同品牌产品且通过资格审查、符合性审查的不同投标人参加同一合同项下投标的，按一家投标人计算，评审后得分最高的同品牌投标人获得中标候选人推荐资格；评审得分相同的，由采购人确定或者采购人委托评标委员会以投票方式确定一个投标人获得中标候选人推荐资格，其他同品牌投标人不作为中标候选人。</w:t>
      </w:r>
    </w:p>
    <w:p w14:paraId="4E0F9CF8">
      <w:pPr>
        <w:keepNext w:val="0"/>
        <w:keepLines w:val="0"/>
        <w:pageBreakBefore w:val="0"/>
        <w:widowControl w:val="0"/>
        <w:numPr>
          <w:ilvl w:val="0"/>
          <w:numId w:val="50"/>
        </w:numPr>
        <w:kinsoku/>
        <w:wordWrap w:val="0"/>
        <w:overflowPunct/>
        <w:topLinePunct w:val="0"/>
        <w:autoSpaceDE/>
        <w:autoSpaceDN/>
        <w:bidi w:val="0"/>
        <w:adjustRightInd w:val="0"/>
        <w:snapToGrid/>
        <w:spacing w:line="276" w:lineRule="auto"/>
        <w:ind w:left="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非单一产品采购项目，采购人应当根据采购项目技术构成、产品价格比重等合理确定</w:t>
      </w:r>
      <w:r>
        <w:rPr>
          <w:rFonts w:hint="eastAsia" w:ascii="宋体" w:hAnsi="宋体" w:eastAsia="宋体" w:cs="宋体"/>
          <w:b/>
          <w:color w:val="auto"/>
          <w:kern w:val="0"/>
          <w:szCs w:val="21"/>
          <w:highlight w:val="none"/>
          <w:lang w:val="zh-CN"/>
        </w:rPr>
        <w:t>核心产品</w:t>
      </w:r>
      <w:r>
        <w:rPr>
          <w:rFonts w:hint="eastAsia" w:ascii="宋体" w:hAnsi="宋体" w:eastAsia="宋体" w:cs="宋体"/>
          <w:color w:val="auto"/>
          <w:kern w:val="0"/>
          <w:szCs w:val="21"/>
          <w:highlight w:val="none"/>
          <w:lang w:val="zh-CN"/>
        </w:rPr>
        <w:t>，并以</w:t>
      </w:r>
      <w:r>
        <w:rPr>
          <w:rFonts w:hint="eastAsia" w:ascii="宋体" w:hAnsi="宋体" w:eastAsia="宋体" w:cs="宋体"/>
          <w:b/>
          <w:color w:val="auto"/>
          <w:kern w:val="0"/>
          <w:szCs w:val="21"/>
          <w:highlight w:val="none"/>
          <w:lang w:val="zh-CN"/>
        </w:rPr>
        <w:t>“核心产品”</w:t>
      </w:r>
      <w:r>
        <w:rPr>
          <w:rFonts w:hint="eastAsia" w:ascii="宋体" w:hAnsi="宋体" w:eastAsia="宋体" w:cs="宋体"/>
          <w:color w:val="auto"/>
          <w:kern w:val="0"/>
          <w:szCs w:val="21"/>
          <w:highlight w:val="none"/>
          <w:lang w:val="zh-CN"/>
        </w:rPr>
        <w:t>在招标文件中标注。多家投标人提供的核心产品品牌相同的，按前述规定处理。</w:t>
      </w:r>
    </w:p>
    <w:p w14:paraId="41AE7FFB">
      <w:pPr>
        <w:pageBreakBefore w:val="0"/>
        <w:widowControl w:val="0"/>
        <w:numPr>
          <w:ilvl w:val="0"/>
          <w:numId w:val="45"/>
        </w:numPr>
        <w:kinsoku/>
        <w:wordWrap w:val="0"/>
        <w:overflowPunct/>
        <w:bidi w:val="0"/>
        <w:spacing w:line="276" w:lineRule="auto"/>
        <w:ind w:left="1064" w:leftChars="154" w:hanging="741" w:hangingChars="353"/>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计分办法</w:t>
      </w:r>
    </w:p>
    <w:p w14:paraId="77FEA281">
      <w:pPr>
        <w:keepNext w:val="0"/>
        <w:keepLines w:val="0"/>
        <w:pageBreakBefore w:val="0"/>
        <w:widowControl w:val="0"/>
        <w:numPr>
          <w:ilvl w:val="0"/>
          <w:numId w:val="51"/>
        </w:numPr>
        <w:tabs>
          <w:tab w:val="left" w:pos="284"/>
        </w:tabs>
        <w:kinsoku/>
        <w:wordWrap w:val="0"/>
        <w:overflowPunct/>
        <w:topLinePunct w:val="0"/>
        <w:autoSpaceDE/>
        <w:autoSpaceDN/>
        <w:bidi w:val="0"/>
        <w:adjustRightInd/>
        <w:snapToGrid/>
        <w:spacing w:line="276"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eastAsia="宋体" w:cs="宋体"/>
          <w:color w:val="auto"/>
          <w:kern w:val="0"/>
          <w:szCs w:val="21"/>
          <w:highlight w:val="none"/>
        </w:rPr>
        <w:t>采购代理机构对各评委的总分进行复核。各项统计结果保留小数点后两位，小数点后第三位“四舍五入”。</w:t>
      </w:r>
    </w:p>
    <w:p w14:paraId="762AA717">
      <w:pPr>
        <w:keepNext w:val="0"/>
        <w:keepLines w:val="0"/>
        <w:pageBreakBefore w:val="0"/>
        <w:widowControl w:val="0"/>
        <w:numPr>
          <w:ilvl w:val="0"/>
          <w:numId w:val="51"/>
        </w:numPr>
        <w:tabs>
          <w:tab w:val="left" w:pos="284"/>
        </w:tabs>
        <w:kinsoku/>
        <w:wordWrap w:val="0"/>
        <w:overflowPunct/>
        <w:topLinePunct w:val="0"/>
        <w:autoSpaceDE/>
        <w:autoSpaceDN/>
        <w:bidi w:val="0"/>
        <w:adjustRightInd/>
        <w:snapToGrid/>
        <w:spacing w:line="276" w:lineRule="auto"/>
        <w:ind w:left="0" w:leftChars="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color w:val="auto"/>
          <w:kern w:val="0"/>
          <w:szCs w:val="21"/>
          <w:highlight w:val="none"/>
        </w:rPr>
        <w:t>投标人的最终得分</w:t>
      </w:r>
      <w:r>
        <w:rPr>
          <w:rFonts w:hint="eastAsia" w:ascii="宋体" w:hAnsi="宋体" w:eastAsia="宋体" w:cs="宋体"/>
          <w:bCs/>
          <w:color w:val="auto"/>
          <w:szCs w:val="21"/>
          <w:highlight w:val="none"/>
          <w:lang w:val="zh-CN"/>
        </w:rPr>
        <w:t>为各评委所评定分数的算术平均值。</w:t>
      </w:r>
    </w:p>
    <w:p w14:paraId="4D20E9ED">
      <w:pPr>
        <w:keepNext w:val="0"/>
        <w:keepLines w:val="0"/>
        <w:pageBreakBefore w:val="0"/>
        <w:widowControl w:val="0"/>
        <w:numPr>
          <w:ilvl w:val="0"/>
          <w:numId w:val="45"/>
        </w:numPr>
        <w:kinsoku/>
        <w:wordWrap w:val="0"/>
        <w:overflowPunct/>
        <w:topLinePunct w:val="0"/>
        <w:autoSpaceDE/>
        <w:autoSpaceDN/>
        <w:bidi w:val="0"/>
        <w:adjustRightInd/>
        <w:snapToGrid/>
        <w:spacing w:line="276"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推荐中标候选人名单或确定中标人</w:t>
      </w:r>
    </w:p>
    <w:p w14:paraId="77143054">
      <w:pPr>
        <w:keepNext w:val="0"/>
        <w:keepLines w:val="0"/>
        <w:pageBreakBefore w:val="0"/>
        <w:widowControl w:val="0"/>
        <w:numPr>
          <w:ilvl w:val="0"/>
          <w:numId w:val="52"/>
        </w:numPr>
        <w:tabs>
          <w:tab w:val="left" w:pos="284"/>
        </w:tabs>
        <w:kinsoku/>
        <w:wordWrap w:val="0"/>
        <w:overflowPunct/>
        <w:topLinePunct w:val="0"/>
        <w:autoSpaceDE/>
        <w:autoSpaceDN/>
        <w:bidi w:val="0"/>
        <w:adjustRightInd/>
        <w:snapToGrid/>
        <w:spacing w:line="276" w:lineRule="auto"/>
        <w:ind w:left="0" w:leftChars="0" w:firstLine="420" w:firstLineChars="200"/>
        <w:textAlignment w:val="auto"/>
        <w:rPr>
          <w:rFonts w:hint="eastAsia" w:ascii="宋体" w:hAnsi="宋体" w:eastAsia="宋体" w:cs="宋体"/>
          <w:bCs/>
          <w:color w:val="auto"/>
          <w:szCs w:val="21"/>
          <w:highlight w:val="none"/>
          <w:lang w:val="zh-CN"/>
        </w:rPr>
      </w:pPr>
      <w:bookmarkStart w:id="85" w:name="_Toc494561963"/>
      <w:r>
        <w:rPr>
          <w:rFonts w:hint="eastAsia" w:ascii="宋体" w:hAnsi="宋体" w:eastAsia="宋体" w:cs="宋体"/>
          <w:bCs/>
          <w:color w:val="auto"/>
          <w:szCs w:val="21"/>
          <w:highlight w:val="none"/>
          <w:lang w:val="zh-CN"/>
        </w:rPr>
        <w:t>投标人按评审后得分由高到低顺序排列，得分相同的，按投标报价由低到高顺序排列。得分且投标报价相同的并列。</w:t>
      </w:r>
    </w:p>
    <w:p w14:paraId="51F098DA">
      <w:pPr>
        <w:keepNext w:val="0"/>
        <w:keepLines w:val="0"/>
        <w:pageBreakBefore w:val="0"/>
        <w:widowControl w:val="0"/>
        <w:numPr>
          <w:ilvl w:val="0"/>
          <w:numId w:val="52"/>
        </w:numPr>
        <w:tabs>
          <w:tab w:val="left" w:pos="284"/>
        </w:tabs>
        <w:kinsoku/>
        <w:wordWrap w:val="0"/>
        <w:overflowPunct/>
        <w:topLinePunct w:val="0"/>
        <w:autoSpaceDE/>
        <w:autoSpaceDN/>
        <w:bidi w:val="0"/>
        <w:adjustRightInd/>
        <w:snapToGrid/>
        <w:spacing w:line="276" w:lineRule="auto"/>
        <w:ind w:left="0" w:leftChars="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评标委员会依据评审结果推荐得分前三名的进入中标候选人名单，并形成书面评标报告。</w:t>
      </w:r>
    </w:p>
    <w:p w14:paraId="41F28371">
      <w:pPr>
        <w:keepNext w:val="0"/>
        <w:keepLines w:val="0"/>
        <w:pageBreakBefore w:val="0"/>
        <w:widowControl w:val="0"/>
        <w:numPr>
          <w:ilvl w:val="0"/>
          <w:numId w:val="52"/>
        </w:numPr>
        <w:tabs>
          <w:tab w:val="left" w:pos="284"/>
        </w:tabs>
        <w:kinsoku/>
        <w:wordWrap w:val="0"/>
        <w:overflowPunct/>
        <w:topLinePunct w:val="0"/>
        <w:autoSpaceDE/>
        <w:autoSpaceDN/>
        <w:bidi w:val="0"/>
        <w:adjustRightInd/>
        <w:snapToGrid/>
        <w:spacing w:line="276" w:lineRule="auto"/>
        <w:ind w:left="0" w:leftChars="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中标候选人并列的，由采购人确定或者采购人委托评标委员会以投票方式确定中标人。</w:t>
      </w:r>
    </w:p>
    <w:p w14:paraId="65F5B98E">
      <w:pPr>
        <w:keepNext w:val="0"/>
        <w:keepLines w:val="0"/>
        <w:pageBreakBefore w:val="0"/>
        <w:widowControl w:val="0"/>
        <w:numPr>
          <w:ilvl w:val="0"/>
          <w:numId w:val="52"/>
        </w:numPr>
        <w:tabs>
          <w:tab w:val="left" w:pos="284"/>
        </w:tabs>
        <w:kinsoku/>
        <w:wordWrap w:val="0"/>
        <w:overflowPunct/>
        <w:topLinePunct w:val="0"/>
        <w:autoSpaceDE/>
        <w:autoSpaceDN/>
        <w:bidi w:val="0"/>
        <w:adjustRightInd/>
        <w:snapToGrid/>
        <w:spacing w:line="276" w:lineRule="auto"/>
        <w:ind w:left="0" w:leftChars="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rPr>
        <w:t>若投标人同时投多</w:t>
      </w:r>
      <w:r>
        <w:rPr>
          <w:rFonts w:hint="eastAsia" w:ascii="宋体" w:hAnsi="宋体" w:eastAsia="宋体" w:cs="宋体"/>
          <w:color w:val="auto"/>
          <w:szCs w:val="21"/>
          <w:highlight w:val="none"/>
          <w:lang w:val="zh-CN"/>
        </w:rPr>
        <w:t>标包</w:t>
      </w:r>
      <w:r>
        <w:rPr>
          <w:rFonts w:hint="eastAsia" w:ascii="宋体" w:hAnsi="宋体" w:eastAsia="宋体" w:cs="宋体"/>
          <w:color w:val="auto"/>
          <w:szCs w:val="21"/>
          <w:highlight w:val="none"/>
        </w:rPr>
        <w:t>，根据《投标人须知前附表》的规定确定各</w:t>
      </w:r>
      <w:r>
        <w:rPr>
          <w:rFonts w:hint="eastAsia" w:ascii="宋体" w:hAnsi="宋体" w:eastAsia="宋体" w:cs="宋体"/>
          <w:color w:val="auto"/>
          <w:szCs w:val="21"/>
          <w:highlight w:val="none"/>
          <w:lang w:val="zh-CN"/>
        </w:rPr>
        <w:t>标包</w:t>
      </w:r>
      <w:r>
        <w:rPr>
          <w:rFonts w:hint="eastAsia" w:ascii="宋体" w:hAnsi="宋体" w:eastAsia="宋体" w:cs="宋体"/>
          <w:color w:val="auto"/>
          <w:szCs w:val="21"/>
          <w:highlight w:val="none"/>
        </w:rPr>
        <w:t>中标候选人。</w:t>
      </w:r>
    </w:p>
    <w:p w14:paraId="66CA05A6">
      <w:pPr>
        <w:keepNext w:val="0"/>
        <w:keepLines w:val="0"/>
        <w:pageBreakBefore w:val="0"/>
        <w:widowControl w:val="0"/>
        <w:numPr>
          <w:ilvl w:val="0"/>
          <w:numId w:val="52"/>
        </w:numPr>
        <w:tabs>
          <w:tab w:val="left" w:pos="284"/>
        </w:tabs>
        <w:kinsoku/>
        <w:wordWrap w:val="0"/>
        <w:overflowPunct/>
        <w:topLinePunct w:val="0"/>
        <w:autoSpaceDE/>
        <w:autoSpaceDN/>
        <w:bidi w:val="0"/>
        <w:adjustRightInd/>
        <w:snapToGrid/>
        <w:spacing w:line="276" w:lineRule="auto"/>
        <w:ind w:left="0" w:leftChars="0" w:firstLine="420" w:firstLineChars="200"/>
        <w:textAlignment w:val="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评标委员会应当在评标报告上签名，对自己的评审意见承担法律责任。对评标报告有异议的，应当在评标报告上签署不同意见，并说明理由，否则视为同意评标报告。</w:t>
      </w:r>
    </w:p>
    <w:p w14:paraId="32CBFAA1">
      <w:pPr>
        <w:pStyle w:val="24"/>
        <w:pageBreakBefore w:val="0"/>
        <w:widowControl w:val="0"/>
        <w:kinsoku/>
        <w:wordWrap w:val="0"/>
        <w:overflowPunct/>
        <w:bidi w:val="0"/>
        <w:rPr>
          <w:rFonts w:hint="eastAsia" w:ascii="宋体" w:hAnsi="宋体" w:eastAsia="宋体" w:cs="宋体"/>
          <w:color w:val="auto"/>
          <w:highlight w:val="none"/>
          <w:lang w:val="zh-CN"/>
        </w:rPr>
      </w:pPr>
    </w:p>
    <w:p w14:paraId="63834DC1">
      <w:pPr>
        <w:keepNext/>
        <w:keepLines/>
        <w:pageBreakBefore w:val="0"/>
        <w:widowControl w:val="0"/>
        <w:numPr>
          <w:ilvl w:val="0"/>
          <w:numId w:val="44"/>
        </w:numPr>
        <w:kinsoku/>
        <w:wordWrap w:val="0"/>
        <w:overflowPunct/>
        <w:bidi w:val="0"/>
        <w:spacing w:line="276" w:lineRule="auto"/>
        <w:ind w:left="616" w:hanging="616"/>
        <w:jc w:val="left"/>
        <w:outlineLvl w:val="1"/>
        <w:rPr>
          <w:rFonts w:hint="eastAsia" w:ascii="宋体" w:hAnsi="宋体" w:eastAsia="宋体" w:cs="宋体"/>
          <w:color w:val="auto"/>
          <w:kern w:val="0"/>
          <w:szCs w:val="21"/>
          <w:highlight w:val="none"/>
        </w:rPr>
      </w:pPr>
      <w:bookmarkStart w:id="86" w:name="_Toc15840"/>
      <w:r>
        <w:rPr>
          <w:rFonts w:hint="eastAsia" w:ascii="宋体" w:hAnsi="宋体" w:eastAsia="宋体" w:cs="宋体"/>
          <w:b/>
          <w:color w:val="auto"/>
          <w:kern w:val="0"/>
          <w:szCs w:val="21"/>
          <w:highlight w:val="none"/>
          <w:lang w:val="zh-CN"/>
        </w:rPr>
        <w:t>评审因素及评分标准</w:t>
      </w:r>
      <w:bookmarkEnd w:id="85"/>
      <w:bookmarkEnd w:id="86"/>
    </w:p>
    <w:tbl>
      <w:tblPr>
        <w:tblStyle w:val="25"/>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862"/>
        <w:gridCol w:w="564"/>
        <w:gridCol w:w="7253"/>
      </w:tblGrid>
      <w:tr w14:paraId="4DD3A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39" w:type="pct"/>
            <w:gridSpan w:val="2"/>
            <w:vAlign w:val="center"/>
          </w:tcPr>
          <w:p w14:paraId="420C1195">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评审因素</w:t>
            </w:r>
          </w:p>
        </w:tc>
        <w:tc>
          <w:tcPr>
            <w:tcW w:w="293" w:type="pct"/>
            <w:vAlign w:val="center"/>
          </w:tcPr>
          <w:p w14:paraId="61566450">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分值</w:t>
            </w:r>
          </w:p>
        </w:tc>
        <w:tc>
          <w:tcPr>
            <w:tcW w:w="3768" w:type="pct"/>
            <w:vAlign w:val="center"/>
          </w:tcPr>
          <w:p w14:paraId="145AA776">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评分标准</w:t>
            </w:r>
          </w:p>
        </w:tc>
      </w:tr>
      <w:tr w14:paraId="3406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39" w:type="pct"/>
            <w:gridSpan w:val="2"/>
            <w:vAlign w:val="center"/>
          </w:tcPr>
          <w:p w14:paraId="0EEDE9A0">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价格部分</w:t>
            </w:r>
          </w:p>
          <w:p w14:paraId="070AA29C">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（50分）</w:t>
            </w:r>
          </w:p>
        </w:tc>
        <w:tc>
          <w:tcPr>
            <w:tcW w:w="293" w:type="pct"/>
            <w:vAlign w:val="center"/>
          </w:tcPr>
          <w:p w14:paraId="35A5C858">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50分</w:t>
            </w:r>
          </w:p>
        </w:tc>
        <w:tc>
          <w:tcPr>
            <w:tcW w:w="3768" w:type="pct"/>
            <w:vAlign w:val="center"/>
          </w:tcPr>
          <w:p w14:paraId="5402235D">
            <w:pPr>
              <w:keepNext w:val="0"/>
              <w:keepLines w:val="0"/>
              <w:suppressLineNumbers w:val="0"/>
              <w:wordWrap w:val="0"/>
              <w:spacing w:before="0" w:beforeAutospacing="0" w:after="0" w:afterAutospacing="0" w:line="320" w:lineRule="exact"/>
              <w:ind w:left="0" w:right="0"/>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1.综合评分法中的价格分统一采用低价优先法计算，即满足招标文件要求且投标价格最低的投标报价为评标基准价，其价格分为满分。</w:t>
            </w:r>
          </w:p>
          <w:p w14:paraId="2E967BC8">
            <w:pPr>
              <w:keepNext w:val="0"/>
              <w:keepLines w:val="0"/>
              <w:suppressLineNumbers w:val="0"/>
              <w:wordWrap w:val="0"/>
              <w:spacing w:before="0" w:beforeAutospacing="0" w:after="0" w:afterAutospacing="0" w:line="320" w:lineRule="exact"/>
              <w:ind w:left="0" w:right="0"/>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2.其他投标人的价格分统一按照下列公式计算：</w:t>
            </w:r>
          </w:p>
          <w:p w14:paraId="185A540F">
            <w:pPr>
              <w:keepNext w:val="0"/>
              <w:keepLines w:val="0"/>
              <w:suppressLineNumbers w:val="0"/>
              <w:wordWrap w:val="0"/>
              <w:spacing w:before="0" w:beforeAutospacing="0" w:after="0" w:afterAutospacing="0" w:line="320" w:lineRule="exact"/>
              <w:ind w:left="0" w:right="0"/>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投标报价得分=(评标基准价／投标报价)×100×50%。</w:t>
            </w:r>
          </w:p>
          <w:p w14:paraId="7E75C1C4">
            <w:pPr>
              <w:keepNext w:val="0"/>
              <w:keepLines w:val="0"/>
              <w:suppressLineNumbers w:val="0"/>
              <w:spacing w:before="0" w:beforeAutospacing="0" w:after="0" w:afterAutospacing="0" w:line="320" w:lineRule="exact"/>
              <w:ind w:left="0" w:right="0"/>
              <w:jc w:val="left"/>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注：因落实政府采购政策进行价格调整的，以调整后的价格计算评标基准价和投标报价。</w:t>
            </w:r>
          </w:p>
        </w:tc>
      </w:tr>
      <w:tr w14:paraId="1EF24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5F6F4FF3">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商务部分</w:t>
            </w:r>
          </w:p>
          <w:p w14:paraId="299D05BD">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（6分）</w:t>
            </w:r>
          </w:p>
        </w:tc>
        <w:tc>
          <w:tcPr>
            <w:tcW w:w="448" w:type="pct"/>
            <w:vAlign w:val="center"/>
          </w:tcPr>
          <w:p w14:paraId="02CA57E6">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color w:val="auto"/>
                <w:spacing w:val="-6"/>
                <w:szCs w:val="21"/>
                <w:highlight w:val="none"/>
              </w:rPr>
              <w:t>类似业绩</w:t>
            </w:r>
          </w:p>
        </w:tc>
        <w:tc>
          <w:tcPr>
            <w:tcW w:w="293" w:type="pct"/>
            <w:vAlign w:val="center"/>
          </w:tcPr>
          <w:p w14:paraId="04024995">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spacing w:val="-6"/>
                <w:szCs w:val="21"/>
                <w:highlight w:val="none"/>
              </w:rPr>
              <w:t>4分</w:t>
            </w:r>
          </w:p>
        </w:tc>
        <w:tc>
          <w:tcPr>
            <w:tcW w:w="3768" w:type="pct"/>
            <w:vAlign w:val="center"/>
          </w:tcPr>
          <w:p w14:paraId="7A609F6E">
            <w:pPr>
              <w:keepNext w:val="0"/>
              <w:keepLines w:val="0"/>
              <w:suppressLineNumbers w:val="0"/>
              <w:spacing w:before="0" w:beforeAutospacing="0" w:after="0" w:afterAutospacing="0" w:line="320" w:lineRule="exact"/>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近三年（</w:t>
            </w:r>
            <w:r>
              <w:rPr>
                <w:rFonts w:hint="eastAsia" w:ascii="宋体" w:hAnsi="宋体" w:eastAsia="宋体" w:cs="宋体"/>
                <w:color w:val="auto"/>
                <w:kern w:val="21"/>
                <w:szCs w:val="21"/>
                <w:highlight w:val="none"/>
              </w:rPr>
              <w:t>从投标截止之日起往前推算三年</w:t>
            </w:r>
            <w:r>
              <w:rPr>
                <w:rFonts w:hint="eastAsia" w:ascii="宋体" w:hAnsi="宋体" w:eastAsia="宋体" w:cs="宋体"/>
                <w:color w:val="auto"/>
                <w:szCs w:val="21"/>
                <w:highlight w:val="none"/>
              </w:rPr>
              <w:t>，以合同签订时间为准）</w:t>
            </w:r>
            <w:r>
              <w:rPr>
                <w:rFonts w:hint="eastAsia" w:ascii="宋体" w:hAnsi="宋体" w:eastAsia="宋体" w:cs="宋体"/>
                <w:color w:val="auto"/>
                <w:spacing w:val="-6"/>
                <w:szCs w:val="21"/>
                <w:highlight w:val="none"/>
              </w:rPr>
              <w:t>投标人承担过类似项目业绩的【至少包含核心产品】</w:t>
            </w:r>
            <w:r>
              <w:rPr>
                <w:rFonts w:hint="eastAsia" w:ascii="宋体" w:hAnsi="宋体" w:eastAsia="宋体" w:cs="宋体"/>
                <w:color w:val="auto"/>
                <w:szCs w:val="21"/>
                <w:highlight w:val="none"/>
              </w:rPr>
              <w:t>，每提供一个得1分，此项满分4分。</w:t>
            </w:r>
            <w:r>
              <w:rPr>
                <w:rFonts w:hint="eastAsia" w:ascii="宋体" w:hAnsi="宋体" w:eastAsia="宋体" w:cs="宋体"/>
                <w:b/>
                <w:color w:val="auto"/>
                <w:kern w:val="21"/>
                <w:szCs w:val="21"/>
                <w:highlight w:val="none"/>
              </w:rPr>
              <w:t>同一业主单位的不重复计分。</w:t>
            </w:r>
          </w:p>
          <w:p w14:paraId="4E7BC738">
            <w:pPr>
              <w:pStyle w:val="24"/>
              <w:keepNext w:val="0"/>
              <w:keepLines w:val="0"/>
              <w:suppressLineNumbers w:val="0"/>
              <w:spacing w:before="0" w:beforeAutospacing="0" w:afterAutospacing="0" w:line="320" w:lineRule="exact"/>
              <w:ind w:left="0" w:right="0" w:firstLine="0"/>
              <w:rPr>
                <w:rFonts w:hint="default" w:ascii="宋体" w:hAnsi="宋体" w:cs="宋体"/>
                <w:color w:val="auto"/>
                <w:kern w:val="21"/>
                <w:szCs w:val="21"/>
                <w:highlight w:val="none"/>
              </w:rPr>
            </w:pPr>
            <w:r>
              <w:rPr>
                <w:rFonts w:hint="eastAsia" w:ascii="宋体" w:hAnsi="宋体" w:cs="宋体"/>
                <w:color w:val="auto"/>
                <w:szCs w:val="21"/>
                <w:highlight w:val="none"/>
              </w:rPr>
              <w:t>注：须提供合同复印件作为证明材料（所提供的合同可以不牵涉到金额等相关商业机密信息，但必须提供合同采购内容页、合同双方签署页及合同签署双方的完整信息）。</w:t>
            </w:r>
          </w:p>
        </w:tc>
      </w:tr>
      <w:tr w14:paraId="4292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06D2E6F7">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p>
        </w:tc>
        <w:tc>
          <w:tcPr>
            <w:tcW w:w="448" w:type="pct"/>
            <w:vAlign w:val="center"/>
          </w:tcPr>
          <w:p w14:paraId="7F506228">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体系认证</w:t>
            </w:r>
          </w:p>
        </w:tc>
        <w:tc>
          <w:tcPr>
            <w:tcW w:w="293" w:type="pct"/>
            <w:vAlign w:val="center"/>
          </w:tcPr>
          <w:p w14:paraId="26C2295C">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2分</w:t>
            </w:r>
          </w:p>
        </w:tc>
        <w:tc>
          <w:tcPr>
            <w:tcW w:w="3768" w:type="pct"/>
            <w:vAlign w:val="center"/>
          </w:tcPr>
          <w:p w14:paraId="2FD2B27B">
            <w:pPr>
              <w:pStyle w:val="24"/>
              <w:keepNext w:val="0"/>
              <w:keepLines w:val="0"/>
              <w:suppressLineNumbers w:val="0"/>
              <w:spacing w:before="0" w:beforeAutospacing="0" w:afterAutospacing="0" w:line="320" w:lineRule="exact"/>
              <w:ind w:left="0" w:right="0" w:firstLine="0"/>
              <w:rPr>
                <w:rFonts w:hint="default" w:ascii="宋体" w:hAnsi="宋体" w:cs="宋体"/>
                <w:color w:val="auto"/>
                <w:szCs w:val="21"/>
                <w:highlight w:val="none"/>
              </w:rPr>
            </w:pPr>
            <w:r>
              <w:rPr>
                <w:rFonts w:hint="eastAsia" w:ascii="宋体" w:hAnsi="宋体" w:cs="宋体"/>
                <w:color w:val="auto"/>
                <w:szCs w:val="21"/>
                <w:highlight w:val="none"/>
              </w:rPr>
              <w:t>投标人具有质量管理体系认证证书、环境管理体系认证证书，每提供一类证书的得1分，此项满分2分。</w:t>
            </w:r>
          </w:p>
          <w:p w14:paraId="51929144">
            <w:pPr>
              <w:pStyle w:val="24"/>
              <w:keepNext w:val="0"/>
              <w:keepLines w:val="0"/>
              <w:suppressLineNumbers w:val="0"/>
              <w:spacing w:before="0" w:beforeAutospacing="0" w:afterAutospacing="0" w:line="320" w:lineRule="exact"/>
              <w:ind w:left="0" w:right="0" w:firstLine="0"/>
              <w:rPr>
                <w:rFonts w:hint="default" w:ascii="宋体" w:hAnsi="宋体" w:cs="宋体"/>
                <w:color w:val="auto"/>
                <w:szCs w:val="21"/>
                <w:highlight w:val="none"/>
              </w:rPr>
            </w:pPr>
            <w:r>
              <w:rPr>
                <w:rFonts w:hint="eastAsia" w:ascii="宋体" w:hAnsi="宋体" w:cs="宋体"/>
                <w:color w:val="auto"/>
                <w:szCs w:val="21"/>
                <w:highlight w:val="none"/>
              </w:rPr>
              <w:t>注：需提供在有效期内的证书复印件。</w:t>
            </w:r>
          </w:p>
        </w:tc>
      </w:tr>
      <w:tr w14:paraId="2E79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6AF729A0">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技术部分</w:t>
            </w:r>
          </w:p>
          <w:p w14:paraId="6CE7FED5">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（44分）</w:t>
            </w:r>
          </w:p>
        </w:tc>
        <w:tc>
          <w:tcPr>
            <w:tcW w:w="448" w:type="pct"/>
            <w:vAlign w:val="center"/>
          </w:tcPr>
          <w:p w14:paraId="60265736">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技术要求</w:t>
            </w:r>
          </w:p>
        </w:tc>
        <w:tc>
          <w:tcPr>
            <w:tcW w:w="293" w:type="pct"/>
            <w:vAlign w:val="center"/>
          </w:tcPr>
          <w:p w14:paraId="1EC6C00C">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35分</w:t>
            </w:r>
          </w:p>
        </w:tc>
        <w:tc>
          <w:tcPr>
            <w:tcW w:w="3768" w:type="pct"/>
            <w:vAlign w:val="center"/>
          </w:tcPr>
          <w:p w14:paraId="2BA6558B">
            <w:pPr>
              <w:keepNext w:val="0"/>
              <w:keepLines w:val="0"/>
              <w:suppressLineNumbers w:val="0"/>
              <w:spacing w:before="0" w:beforeAutospacing="0" w:after="0" w:afterAutospacing="0" w:line="320" w:lineRule="exact"/>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根据投标人所投产品技术和性能响应情况打分：</w:t>
            </w:r>
          </w:p>
          <w:p w14:paraId="272C72DD">
            <w:pPr>
              <w:keepNext w:val="0"/>
              <w:keepLines w:val="0"/>
              <w:suppressLineNumbers w:val="0"/>
              <w:spacing w:before="0" w:beforeAutospacing="0" w:after="0" w:afterAutospacing="0" w:line="320" w:lineRule="exact"/>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bookmarkStart w:id="87" w:name="OLE_LINK8"/>
            <w:r>
              <w:rPr>
                <w:rFonts w:hint="eastAsia" w:ascii="宋体" w:hAnsi="宋体" w:eastAsia="宋体" w:cs="宋体"/>
                <w:color w:val="auto"/>
                <w:szCs w:val="21"/>
                <w:highlight w:val="none"/>
              </w:rPr>
              <w:t>采购需求中技术要求标#技术指标要求（共11项），每有一项满足要求得3分，最高得33分；</w:t>
            </w:r>
          </w:p>
          <w:p w14:paraId="6F3F590E">
            <w:pPr>
              <w:keepNext w:val="0"/>
              <w:keepLines w:val="0"/>
              <w:suppressLineNumbers w:val="0"/>
              <w:spacing w:before="0" w:beforeAutospacing="0" w:after="0" w:afterAutospacing="0" w:line="320" w:lineRule="exact"/>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2.采购需求中技术要求无标识技术指标要求（共1项），每有一项满足要求得2 分，最高得2分；</w:t>
            </w:r>
          </w:p>
          <w:p w14:paraId="6C4866F1">
            <w:pPr>
              <w:pStyle w:val="24"/>
              <w:keepNext w:val="0"/>
              <w:keepLines w:val="0"/>
              <w:suppressLineNumbers w:val="0"/>
              <w:spacing w:before="0" w:beforeAutospacing="0" w:afterAutospacing="0" w:line="320" w:lineRule="exact"/>
              <w:ind w:left="0" w:right="0" w:firstLine="0"/>
              <w:rPr>
                <w:rFonts w:hint="default" w:ascii="宋体" w:hAnsi="宋体" w:cs="宋体"/>
                <w:color w:val="auto"/>
                <w:szCs w:val="21"/>
                <w:highlight w:val="none"/>
              </w:rPr>
            </w:pPr>
            <w:r>
              <w:rPr>
                <w:rFonts w:hint="eastAsia" w:ascii="宋体" w:hAnsi="宋体" w:cs="宋体"/>
                <w:color w:val="auto"/>
                <w:szCs w:val="21"/>
                <w:highlight w:val="none"/>
              </w:rPr>
              <w:t>本项满分35分。</w:t>
            </w:r>
          </w:p>
          <w:bookmarkEnd w:id="87"/>
          <w:p w14:paraId="0C47AA20">
            <w:pPr>
              <w:keepNext w:val="0"/>
              <w:keepLines w:val="0"/>
              <w:suppressLineNumbers w:val="0"/>
              <w:spacing w:before="0" w:beforeAutospacing="0" w:after="0" w:afterAutospacing="0" w:line="320" w:lineRule="exact"/>
              <w:ind w:left="0" w:right="0"/>
              <w:jc w:val="left"/>
              <w:rPr>
                <w:rFonts w:hint="default" w:ascii="宋体" w:hAnsi="宋体" w:eastAsia="宋体" w:cs="宋体"/>
                <w:color w:val="auto"/>
                <w:kern w:val="21"/>
                <w:szCs w:val="21"/>
                <w:highlight w:val="none"/>
              </w:rPr>
            </w:pPr>
            <w:r>
              <w:rPr>
                <w:rFonts w:hint="eastAsia" w:ascii="宋体" w:hAnsi="宋体" w:eastAsia="宋体" w:cs="宋体"/>
                <w:b/>
                <w:bCs/>
                <w:color w:val="auto"/>
                <w:szCs w:val="21"/>
                <w:highlight w:val="none"/>
              </w:rPr>
              <w:t>注：投标人须提供包含相关指标项的证明材料，填“有”的，证明材料可以使用制造商官方网站截图或产品白皮书或</w:t>
            </w:r>
            <w:r>
              <w:rPr>
                <w:rFonts w:hint="eastAsia" w:ascii="宋体" w:hAnsi="宋体" w:cs="宋体"/>
                <w:b/>
                <w:bCs/>
                <w:color w:val="auto"/>
                <w:szCs w:val="21"/>
                <w:highlight w:val="none"/>
                <w:lang w:eastAsia="zh-CN"/>
              </w:rPr>
              <w:t>第三方检测机构</w:t>
            </w:r>
            <w:r>
              <w:rPr>
                <w:rFonts w:hint="eastAsia" w:ascii="宋体" w:hAnsi="宋体" w:eastAsia="宋体" w:cs="宋体"/>
                <w:b/>
                <w:bCs/>
                <w:color w:val="auto"/>
                <w:szCs w:val="21"/>
                <w:highlight w:val="none"/>
              </w:rPr>
              <w:t>提供的检验报告或投标人提供加盖公章的承诺函或其他相关证明材料，未提供有效证明材料或证明材料中内容与所填报指标不一致的，该指标按不满足处理。填“无”的，投标人提供加盖公章满足技术要求承诺函证明材料或在技术指标响应</w:t>
            </w:r>
            <w:r>
              <w:rPr>
                <w:rFonts w:hint="default" w:ascii="宋体" w:hAnsi="宋体" w:eastAsia="宋体" w:cs="宋体"/>
                <w:b/>
                <w:bCs/>
                <w:color w:val="auto"/>
                <w:szCs w:val="21"/>
                <w:highlight w:val="none"/>
              </w:rPr>
              <w:t>/偏离表中响应。如招标文件第三章采购需求中对是否需要证明材料有明确要求的，以第三章采购需求为准。</w:t>
            </w:r>
          </w:p>
        </w:tc>
      </w:tr>
      <w:tr w14:paraId="6FD9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5862B7BE">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p>
        </w:tc>
        <w:tc>
          <w:tcPr>
            <w:tcW w:w="448" w:type="pct"/>
            <w:vAlign w:val="center"/>
          </w:tcPr>
          <w:p w14:paraId="2EF70864">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质量保证措施</w:t>
            </w:r>
          </w:p>
        </w:tc>
        <w:tc>
          <w:tcPr>
            <w:tcW w:w="293" w:type="pct"/>
            <w:vAlign w:val="center"/>
          </w:tcPr>
          <w:p w14:paraId="39A2FEFF">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3分</w:t>
            </w:r>
          </w:p>
        </w:tc>
        <w:tc>
          <w:tcPr>
            <w:tcW w:w="3768" w:type="pct"/>
            <w:vAlign w:val="center"/>
          </w:tcPr>
          <w:p w14:paraId="4C6342AD">
            <w:pPr>
              <w:keepNext w:val="0"/>
              <w:keepLines w:val="0"/>
              <w:suppressLineNumbers w:val="0"/>
              <w:spacing w:before="0" w:beforeAutospacing="0" w:after="0" w:afterAutospacing="0" w:line="320" w:lineRule="exact"/>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pacing w:val="-6"/>
                <w:szCs w:val="21"/>
                <w:highlight w:val="none"/>
              </w:rPr>
              <w:t>投标人</w:t>
            </w:r>
            <w:r>
              <w:rPr>
                <w:rFonts w:hint="eastAsia" w:ascii="宋体" w:hAnsi="宋体" w:eastAsia="宋体" w:cs="宋体"/>
                <w:color w:val="auto"/>
                <w:szCs w:val="21"/>
                <w:highlight w:val="none"/>
              </w:rPr>
              <w:t>拟定的质量管控措施进行评审。</w:t>
            </w:r>
          </w:p>
          <w:p w14:paraId="3DDD9DFD">
            <w:pPr>
              <w:pStyle w:val="24"/>
              <w:keepNext w:val="0"/>
              <w:keepLines w:val="0"/>
              <w:suppressLineNumbers w:val="0"/>
              <w:spacing w:before="0" w:beforeAutospacing="0" w:afterAutospacing="0" w:line="320" w:lineRule="exact"/>
              <w:ind w:left="0" w:right="0" w:firstLine="0"/>
              <w:rPr>
                <w:rFonts w:hint="default" w:ascii="宋体" w:hAnsi="宋体" w:cs="宋体"/>
                <w:color w:val="auto"/>
                <w:szCs w:val="21"/>
                <w:highlight w:val="none"/>
              </w:rPr>
            </w:pPr>
            <w:r>
              <w:rPr>
                <w:rFonts w:hint="eastAsia" w:ascii="宋体" w:hAnsi="宋体" w:cs="宋体"/>
                <w:b/>
                <w:bCs/>
                <w:color w:val="auto"/>
                <w:spacing w:val="-6"/>
                <w:szCs w:val="21"/>
                <w:highlight w:val="none"/>
              </w:rPr>
              <w:t>评审因素：</w:t>
            </w:r>
            <w:r>
              <w:rPr>
                <w:rFonts w:hint="eastAsia" w:ascii="宋体" w:hAnsi="宋体" w:cs="宋体"/>
                <w:color w:val="auto"/>
                <w:spacing w:val="-6"/>
                <w:szCs w:val="21"/>
                <w:highlight w:val="none"/>
              </w:rPr>
              <w:t>①</w:t>
            </w:r>
            <w:r>
              <w:rPr>
                <w:rFonts w:hint="eastAsia" w:ascii="宋体" w:hAnsi="宋体" w:cs="宋体"/>
                <w:color w:val="auto"/>
                <w:szCs w:val="21"/>
                <w:highlight w:val="none"/>
              </w:rPr>
              <w:t>质量目标</w:t>
            </w:r>
            <w:r>
              <w:rPr>
                <w:rFonts w:hint="eastAsia" w:ascii="宋体" w:hAnsi="宋体" w:cs="宋体"/>
                <w:color w:val="auto"/>
                <w:spacing w:val="-6"/>
                <w:szCs w:val="21"/>
                <w:highlight w:val="none"/>
              </w:rPr>
              <w:t>（1分）；②</w:t>
            </w:r>
            <w:r>
              <w:rPr>
                <w:rFonts w:hint="eastAsia" w:ascii="宋体" w:hAnsi="宋体" w:cs="宋体"/>
                <w:color w:val="auto"/>
                <w:szCs w:val="21"/>
                <w:highlight w:val="none"/>
              </w:rPr>
              <w:t>实施方案（1分）；③保障措施（1分）。</w:t>
            </w:r>
          </w:p>
          <w:p w14:paraId="03F59E1A">
            <w:pPr>
              <w:pStyle w:val="24"/>
              <w:keepNext w:val="0"/>
              <w:keepLines w:val="0"/>
              <w:suppressLineNumbers w:val="0"/>
              <w:spacing w:before="0" w:beforeAutospacing="0" w:afterAutospacing="0" w:line="320" w:lineRule="exact"/>
              <w:ind w:left="0" w:right="0" w:firstLine="0"/>
              <w:rPr>
                <w:rFonts w:hint="default" w:ascii="宋体" w:hAnsi="宋体" w:cs="宋体"/>
                <w:b/>
                <w:bCs/>
                <w:color w:val="auto"/>
                <w:szCs w:val="21"/>
                <w:highlight w:val="none"/>
              </w:rPr>
            </w:pPr>
            <w:r>
              <w:rPr>
                <w:rFonts w:hint="eastAsia" w:ascii="宋体" w:hAnsi="宋体" w:cs="宋体"/>
                <w:b/>
                <w:bCs/>
                <w:color w:val="auto"/>
                <w:szCs w:val="21"/>
                <w:highlight w:val="none"/>
              </w:rPr>
              <w:t>评审标准：</w:t>
            </w:r>
          </w:p>
          <w:p w14:paraId="5A7A2987">
            <w:pPr>
              <w:pStyle w:val="24"/>
              <w:keepNext w:val="0"/>
              <w:keepLines w:val="0"/>
              <w:suppressLineNumbers w:val="0"/>
              <w:spacing w:before="0" w:beforeAutospacing="0" w:afterAutospacing="0" w:line="320" w:lineRule="exact"/>
              <w:ind w:left="0" w:right="0" w:firstLine="0"/>
              <w:rPr>
                <w:rFonts w:hint="default"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3C2FFF1D">
            <w:pPr>
              <w:pStyle w:val="24"/>
              <w:keepNext w:val="0"/>
              <w:keepLines w:val="0"/>
              <w:suppressLineNumbers w:val="0"/>
              <w:spacing w:before="0" w:beforeAutospacing="0" w:afterAutospacing="0" w:line="320" w:lineRule="exact"/>
              <w:ind w:left="0" w:right="0" w:firstLine="0"/>
              <w:rPr>
                <w:rFonts w:hint="default" w:ascii="宋体" w:hAnsi="宋体" w:cs="宋体"/>
                <w:color w:val="auto"/>
                <w:spacing w:val="-6"/>
                <w:szCs w:val="21"/>
                <w:highlight w:val="none"/>
              </w:rPr>
            </w:pPr>
            <w:r>
              <w:rPr>
                <w:rFonts w:hint="eastAsia" w:ascii="宋体" w:hAnsi="宋体" w:cs="宋体"/>
                <w:color w:val="auto"/>
                <w:spacing w:val="-6"/>
                <w:szCs w:val="21"/>
                <w:highlight w:val="none"/>
              </w:rPr>
              <w:t>②措施合理可行。（是指：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570B8915">
            <w:pPr>
              <w:keepNext w:val="0"/>
              <w:keepLines w:val="0"/>
              <w:suppressLineNumbers w:val="0"/>
              <w:spacing w:before="0" w:beforeAutospacing="0" w:after="0" w:afterAutospacing="0" w:line="320" w:lineRule="exact"/>
              <w:ind w:left="0" w:right="0"/>
              <w:jc w:val="left"/>
              <w:rPr>
                <w:rFonts w:hint="default"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上述每项评审因素满足一项评审标准的得0.5分，全部满足的得1分。对3项评审因素进行打分，此项满分3分。</w:t>
            </w:r>
          </w:p>
        </w:tc>
      </w:tr>
      <w:tr w14:paraId="61AC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0DB695FA">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p>
        </w:tc>
        <w:tc>
          <w:tcPr>
            <w:tcW w:w="448" w:type="pct"/>
            <w:vAlign w:val="center"/>
          </w:tcPr>
          <w:p w14:paraId="51F7E746">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安装调试方案</w:t>
            </w:r>
          </w:p>
        </w:tc>
        <w:tc>
          <w:tcPr>
            <w:tcW w:w="293" w:type="pct"/>
            <w:vAlign w:val="center"/>
          </w:tcPr>
          <w:p w14:paraId="10B1631C">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2分</w:t>
            </w:r>
          </w:p>
        </w:tc>
        <w:tc>
          <w:tcPr>
            <w:tcW w:w="3768" w:type="pct"/>
            <w:vAlign w:val="center"/>
          </w:tcPr>
          <w:p w14:paraId="7F4FE77A">
            <w:pPr>
              <w:keepNext w:val="0"/>
              <w:keepLines w:val="0"/>
              <w:suppressLineNumbers w:val="0"/>
              <w:spacing w:before="0" w:beforeAutospacing="0" w:after="0" w:afterAutospacing="0" w:line="320" w:lineRule="exact"/>
              <w:ind w:left="0" w:right="0"/>
              <w:jc w:val="left"/>
              <w:rPr>
                <w:rFonts w:hint="default" w:ascii="宋体" w:hAnsi="宋体" w:eastAsia="宋体" w:cs="宋体"/>
                <w:color w:val="auto"/>
                <w:szCs w:val="21"/>
                <w:highlight w:val="none"/>
              </w:rPr>
            </w:pPr>
            <w:r>
              <w:rPr>
                <w:rFonts w:hint="eastAsia" w:ascii="宋体" w:hAnsi="宋体" w:eastAsia="宋体" w:cs="宋体"/>
                <w:color w:val="auto"/>
                <w:spacing w:val="-6"/>
                <w:szCs w:val="21"/>
                <w:highlight w:val="none"/>
              </w:rPr>
              <w:t>根据投标人提供的</w:t>
            </w:r>
            <w:r>
              <w:rPr>
                <w:rFonts w:hint="eastAsia" w:ascii="宋体" w:hAnsi="宋体" w:eastAsia="宋体" w:cs="宋体"/>
                <w:color w:val="auto"/>
                <w:szCs w:val="21"/>
                <w:highlight w:val="none"/>
              </w:rPr>
              <w:t>安装调试方案</w:t>
            </w:r>
            <w:r>
              <w:rPr>
                <w:rFonts w:hint="eastAsia" w:ascii="宋体" w:hAnsi="宋体" w:eastAsia="宋体" w:cs="宋体"/>
                <w:color w:val="auto"/>
                <w:spacing w:val="-6"/>
                <w:szCs w:val="21"/>
                <w:highlight w:val="none"/>
              </w:rPr>
              <w:t>进行评审</w:t>
            </w:r>
            <w:r>
              <w:rPr>
                <w:rFonts w:hint="eastAsia" w:ascii="宋体" w:hAnsi="宋体" w:eastAsia="宋体" w:cs="宋体"/>
                <w:color w:val="auto"/>
                <w:szCs w:val="21"/>
                <w:highlight w:val="none"/>
              </w:rPr>
              <w:t>。</w:t>
            </w:r>
          </w:p>
          <w:p w14:paraId="7BD47585">
            <w:pPr>
              <w:keepNext w:val="0"/>
              <w:keepLines w:val="0"/>
              <w:suppressLineNumbers w:val="0"/>
              <w:spacing w:before="0" w:beforeAutospacing="0" w:after="0" w:afterAutospacing="0" w:line="320" w:lineRule="exact"/>
              <w:ind w:left="0" w:right="0"/>
              <w:jc w:val="left"/>
              <w:rPr>
                <w:rFonts w:hint="default" w:ascii="宋体" w:hAnsi="宋体" w:eastAsia="宋体" w:cs="宋体"/>
                <w:color w:val="auto"/>
                <w:spacing w:val="-6"/>
                <w:szCs w:val="21"/>
                <w:highlight w:val="none"/>
              </w:rPr>
            </w:pPr>
            <w:r>
              <w:rPr>
                <w:rFonts w:hint="eastAsia" w:ascii="宋体" w:hAnsi="宋体" w:eastAsia="宋体" w:cs="宋体"/>
                <w:b/>
                <w:bCs/>
                <w:color w:val="auto"/>
                <w:spacing w:val="-6"/>
                <w:szCs w:val="21"/>
                <w:highlight w:val="none"/>
              </w:rPr>
              <w:t>评审因素：</w:t>
            </w:r>
            <w:r>
              <w:rPr>
                <w:rFonts w:hint="eastAsia" w:ascii="宋体" w:hAnsi="宋体" w:eastAsia="宋体" w:cs="宋体"/>
                <w:color w:val="auto"/>
                <w:spacing w:val="-6"/>
                <w:szCs w:val="21"/>
                <w:highlight w:val="none"/>
              </w:rPr>
              <w:t>①</w:t>
            </w:r>
            <w:r>
              <w:rPr>
                <w:rFonts w:hint="eastAsia" w:ascii="宋体" w:hAnsi="宋体" w:eastAsia="宋体" w:cs="宋体"/>
                <w:color w:val="auto"/>
                <w:szCs w:val="21"/>
                <w:highlight w:val="none"/>
              </w:rPr>
              <w:t>安装调试计划</w:t>
            </w:r>
            <w:r>
              <w:rPr>
                <w:rFonts w:hint="eastAsia" w:ascii="宋体" w:hAnsi="宋体" w:eastAsia="宋体" w:cs="宋体"/>
                <w:color w:val="auto"/>
                <w:spacing w:val="-6"/>
                <w:szCs w:val="21"/>
                <w:highlight w:val="none"/>
              </w:rPr>
              <w:t>（1分）；②保障措施</w:t>
            </w:r>
            <w:r>
              <w:rPr>
                <w:rFonts w:hint="eastAsia" w:ascii="宋体" w:hAnsi="宋体" w:eastAsia="宋体" w:cs="宋体"/>
                <w:color w:val="auto"/>
                <w:szCs w:val="21"/>
                <w:highlight w:val="none"/>
              </w:rPr>
              <w:t>（1分）。</w:t>
            </w:r>
          </w:p>
          <w:p w14:paraId="6F0E9F83">
            <w:pPr>
              <w:pStyle w:val="24"/>
              <w:keepNext w:val="0"/>
              <w:keepLines w:val="0"/>
              <w:suppressLineNumbers w:val="0"/>
              <w:spacing w:before="0" w:beforeAutospacing="0" w:afterAutospacing="0" w:line="320" w:lineRule="exact"/>
              <w:ind w:left="0" w:right="0" w:firstLine="0"/>
              <w:rPr>
                <w:rFonts w:hint="default" w:ascii="宋体" w:hAnsi="宋体" w:cs="宋体"/>
                <w:b/>
                <w:bCs/>
                <w:color w:val="auto"/>
                <w:szCs w:val="21"/>
                <w:highlight w:val="none"/>
              </w:rPr>
            </w:pPr>
            <w:r>
              <w:rPr>
                <w:rFonts w:hint="eastAsia" w:ascii="宋体" w:hAnsi="宋体" w:cs="宋体"/>
                <w:b/>
                <w:bCs/>
                <w:color w:val="auto"/>
                <w:szCs w:val="21"/>
                <w:highlight w:val="none"/>
              </w:rPr>
              <w:t>评审标准：</w:t>
            </w:r>
          </w:p>
          <w:p w14:paraId="121FC5F1">
            <w:pPr>
              <w:pStyle w:val="24"/>
              <w:keepNext w:val="0"/>
              <w:keepLines w:val="0"/>
              <w:suppressLineNumbers w:val="0"/>
              <w:spacing w:before="0" w:beforeAutospacing="0" w:afterAutospacing="0" w:line="320" w:lineRule="exact"/>
              <w:ind w:left="0" w:right="0" w:firstLine="0"/>
              <w:rPr>
                <w:rFonts w:hint="default"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2297082C">
            <w:pPr>
              <w:pStyle w:val="24"/>
              <w:keepNext w:val="0"/>
              <w:keepLines w:val="0"/>
              <w:suppressLineNumbers w:val="0"/>
              <w:spacing w:before="0" w:beforeAutospacing="0" w:afterAutospacing="0" w:line="320" w:lineRule="exact"/>
              <w:ind w:left="0" w:right="0" w:firstLine="0"/>
              <w:rPr>
                <w:rFonts w:hint="default" w:ascii="宋体" w:hAnsi="宋体" w:cs="宋体"/>
                <w:color w:val="auto"/>
                <w:spacing w:val="-6"/>
                <w:szCs w:val="21"/>
                <w:highlight w:val="none"/>
              </w:rPr>
            </w:pPr>
            <w:r>
              <w:rPr>
                <w:rFonts w:hint="eastAsia" w:ascii="宋体" w:hAnsi="宋体" w:cs="宋体"/>
                <w:color w:val="auto"/>
                <w:spacing w:val="-6"/>
                <w:szCs w:val="21"/>
                <w:highlight w:val="none"/>
              </w:rPr>
              <w:t>②方案合理可行。（是指：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72241F00">
            <w:pPr>
              <w:keepNext w:val="0"/>
              <w:keepLines w:val="0"/>
              <w:suppressLineNumbers w:val="0"/>
              <w:spacing w:before="0" w:beforeAutospacing="0" w:after="0" w:afterAutospacing="0" w:line="320" w:lineRule="exact"/>
              <w:ind w:left="0" w:right="0"/>
              <w:jc w:val="left"/>
              <w:rPr>
                <w:rFonts w:hint="default"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上述每项评审因素满足一项评审标准的得0.5分，全部满足的得1分。对2项评审因素进行打分，此项满分2分。</w:t>
            </w:r>
          </w:p>
        </w:tc>
      </w:tr>
      <w:tr w14:paraId="325D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673E010B">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p>
        </w:tc>
        <w:tc>
          <w:tcPr>
            <w:tcW w:w="448" w:type="pct"/>
            <w:vMerge w:val="restart"/>
            <w:vAlign w:val="center"/>
          </w:tcPr>
          <w:p w14:paraId="640BFC37">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售后服务</w:t>
            </w:r>
          </w:p>
        </w:tc>
        <w:tc>
          <w:tcPr>
            <w:tcW w:w="293" w:type="pct"/>
            <w:vAlign w:val="center"/>
          </w:tcPr>
          <w:p w14:paraId="7CCF06BF">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1分</w:t>
            </w:r>
          </w:p>
        </w:tc>
        <w:tc>
          <w:tcPr>
            <w:tcW w:w="3768" w:type="pct"/>
            <w:vAlign w:val="center"/>
          </w:tcPr>
          <w:p w14:paraId="647CCB97">
            <w:pPr>
              <w:keepNext w:val="0"/>
              <w:keepLines w:val="0"/>
              <w:suppressLineNumbers w:val="0"/>
              <w:spacing w:before="0" w:beforeAutospacing="0" w:after="0" w:afterAutospacing="0" w:line="320" w:lineRule="exact"/>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投标人能按照采购需求商务要求中的售后服务、升级更新、备品备件等要求提供售后承诺的得1分。</w:t>
            </w:r>
          </w:p>
          <w:p w14:paraId="68A8410E">
            <w:pPr>
              <w:keepNext w:val="0"/>
              <w:keepLines w:val="0"/>
              <w:suppressLineNumbers w:val="0"/>
              <w:spacing w:before="0" w:beforeAutospacing="0" w:after="0" w:afterAutospacing="0" w:line="320" w:lineRule="exact"/>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注：须提供投标人售后服务承诺函，未提供承诺函或承诺内容不齐全均不得分。</w:t>
            </w:r>
          </w:p>
        </w:tc>
      </w:tr>
      <w:tr w14:paraId="2971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45D501EA">
            <w:pPr>
              <w:keepNext w:val="0"/>
              <w:keepLines w:val="0"/>
              <w:suppressLineNumbers w:val="0"/>
              <w:spacing w:before="0" w:beforeAutospacing="0" w:after="0" w:afterAutospacing="0" w:line="320" w:lineRule="exact"/>
              <w:ind w:left="0" w:right="0"/>
              <w:jc w:val="center"/>
              <w:rPr>
                <w:rFonts w:hint="default" w:ascii="宋体" w:hAnsi="宋体" w:eastAsia="宋体" w:cs="宋体"/>
                <w:b/>
                <w:color w:val="auto"/>
                <w:kern w:val="21"/>
                <w:szCs w:val="21"/>
                <w:highlight w:val="none"/>
              </w:rPr>
            </w:pPr>
          </w:p>
        </w:tc>
        <w:tc>
          <w:tcPr>
            <w:tcW w:w="448" w:type="pct"/>
            <w:vMerge w:val="continue"/>
            <w:vAlign w:val="center"/>
          </w:tcPr>
          <w:p w14:paraId="0158A78E">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p>
        </w:tc>
        <w:tc>
          <w:tcPr>
            <w:tcW w:w="293" w:type="pct"/>
            <w:vAlign w:val="center"/>
          </w:tcPr>
          <w:p w14:paraId="78362CB5">
            <w:pPr>
              <w:keepNext w:val="0"/>
              <w:keepLines w:val="0"/>
              <w:suppressLineNumbers w:val="0"/>
              <w:spacing w:before="0" w:beforeAutospacing="0" w:after="0" w:afterAutospacing="0" w:line="320" w:lineRule="exact"/>
              <w:ind w:left="0" w:right="0"/>
              <w:jc w:val="center"/>
              <w:rPr>
                <w:rFonts w:hint="default" w:ascii="宋体" w:hAnsi="宋体" w:eastAsia="宋体" w:cs="宋体"/>
                <w:color w:val="auto"/>
                <w:kern w:val="21"/>
                <w:szCs w:val="21"/>
                <w:highlight w:val="none"/>
              </w:rPr>
            </w:pPr>
            <w:r>
              <w:rPr>
                <w:rFonts w:hint="eastAsia" w:ascii="宋体" w:hAnsi="宋体" w:eastAsia="宋体" w:cs="宋体"/>
                <w:color w:val="auto"/>
                <w:kern w:val="21"/>
                <w:szCs w:val="21"/>
                <w:highlight w:val="none"/>
              </w:rPr>
              <w:t>3分</w:t>
            </w:r>
          </w:p>
        </w:tc>
        <w:tc>
          <w:tcPr>
            <w:tcW w:w="3768" w:type="pct"/>
            <w:vAlign w:val="center"/>
          </w:tcPr>
          <w:p w14:paraId="15BB82A8">
            <w:pPr>
              <w:keepNext w:val="0"/>
              <w:keepLines w:val="0"/>
              <w:suppressLineNumbers w:val="0"/>
              <w:spacing w:before="0" w:beforeAutospacing="0" w:after="0" w:afterAutospacing="0" w:line="320" w:lineRule="exact"/>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pacing w:val="-6"/>
                <w:szCs w:val="21"/>
                <w:highlight w:val="none"/>
              </w:rPr>
              <w:t>投标人</w:t>
            </w:r>
            <w:r>
              <w:rPr>
                <w:rFonts w:hint="eastAsia" w:ascii="宋体" w:hAnsi="宋体" w:eastAsia="宋体" w:cs="宋体"/>
                <w:color w:val="auto"/>
                <w:szCs w:val="21"/>
                <w:highlight w:val="none"/>
              </w:rPr>
              <w:t>的售后服务方案进行评审。</w:t>
            </w:r>
          </w:p>
          <w:p w14:paraId="717C3F4C">
            <w:pPr>
              <w:pStyle w:val="24"/>
              <w:keepNext w:val="0"/>
              <w:keepLines w:val="0"/>
              <w:suppressLineNumbers w:val="0"/>
              <w:spacing w:before="0" w:beforeAutospacing="0" w:afterAutospacing="0" w:line="320" w:lineRule="exact"/>
              <w:ind w:left="0" w:right="0" w:firstLine="0"/>
              <w:rPr>
                <w:rFonts w:hint="default" w:ascii="宋体" w:hAnsi="宋体" w:cs="宋体"/>
                <w:color w:val="auto"/>
                <w:szCs w:val="21"/>
                <w:highlight w:val="none"/>
              </w:rPr>
            </w:pPr>
            <w:r>
              <w:rPr>
                <w:rFonts w:hint="eastAsia" w:ascii="宋体" w:hAnsi="宋体" w:cs="宋体"/>
                <w:b/>
                <w:bCs/>
                <w:color w:val="auto"/>
                <w:spacing w:val="-6"/>
                <w:szCs w:val="21"/>
                <w:highlight w:val="none"/>
              </w:rPr>
              <w:t>评审因素：</w:t>
            </w:r>
            <w:r>
              <w:rPr>
                <w:rFonts w:hint="eastAsia" w:ascii="宋体" w:hAnsi="宋体" w:cs="宋体"/>
                <w:color w:val="auto"/>
                <w:spacing w:val="-6"/>
                <w:szCs w:val="21"/>
                <w:highlight w:val="none"/>
              </w:rPr>
              <w:t>①服务标准、应急维修处理、培训等（1分）</w:t>
            </w:r>
            <w:r>
              <w:rPr>
                <w:rFonts w:hint="eastAsia" w:ascii="宋体" w:hAnsi="宋体" w:cs="宋体"/>
                <w:color w:val="auto"/>
                <w:szCs w:val="21"/>
                <w:highlight w:val="none"/>
              </w:rPr>
              <w:t>；</w:t>
            </w:r>
            <w:r>
              <w:rPr>
                <w:rFonts w:hint="eastAsia" w:ascii="宋体" w:hAnsi="宋体" w:cs="宋体"/>
                <w:color w:val="auto"/>
                <w:spacing w:val="-6"/>
                <w:szCs w:val="21"/>
                <w:highlight w:val="none"/>
              </w:rPr>
              <w:t>②</w:t>
            </w:r>
            <w:r>
              <w:rPr>
                <w:rFonts w:hint="eastAsia" w:ascii="宋体" w:hAnsi="宋体" w:cs="宋体"/>
                <w:color w:val="auto"/>
                <w:szCs w:val="21"/>
                <w:highlight w:val="none"/>
              </w:rPr>
              <w:t>售后服务方案及其人员组成与经验（1分）；③质保期满后的承诺及其它服务承诺（1分）。</w:t>
            </w:r>
          </w:p>
          <w:p w14:paraId="6F4BA655">
            <w:pPr>
              <w:pStyle w:val="24"/>
              <w:keepNext w:val="0"/>
              <w:keepLines w:val="0"/>
              <w:suppressLineNumbers w:val="0"/>
              <w:spacing w:before="0" w:beforeAutospacing="0" w:afterAutospacing="0" w:line="320" w:lineRule="exact"/>
              <w:ind w:left="0" w:right="0" w:firstLine="0"/>
              <w:rPr>
                <w:rFonts w:hint="default" w:ascii="宋体" w:hAnsi="宋体" w:cs="宋体"/>
                <w:b/>
                <w:bCs/>
                <w:color w:val="auto"/>
                <w:szCs w:val="21"/>
                <w:highlight w:val="none"/>
              </w:rPr>
            </w:pPr>
            <w:r>
              <w:rPr>
                <w:rFonts w:hint="eastAsia" w:ascii="宋体" w:hAnsi="宋体" w:cs="宋体"/>
                <w:b/>
                <w:bCs/>
                <w:color w:val="auto"/>
                <w:szCs w:val="21"/>
                <w:highlight w:val="none"/>
              </w:rPr>
              <w:t>评审标准：</w:t>
            </w:r>
          </w:p>
          <w:p w14:paraId="08AC7BE3">
            <w:pPr>
              <w:pStyle w:val="24"/>
              <w:keepNext w:val="0"/>
              <w:keepLines w:val="0"/>
              <w:suppressLineNumbers w:val="0"/>
              <w:spacing w:before="0" w:beforeAutospacing="0" w:afterAutospacing="0" w:line="320" w:lineRule="exact"/>
              <w:ind w:left="0" w:right="0" w:firstLine="0"/>
              <w:rPr>
                <w:rFonts w:hint="default"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05D46338">
            <w:pPr>
              <w:pStyle w:val="24"/>
              <w:keepNext w:val="0"/>
              <w:keepLines w:val="0"/>
              <w:suppressLineNumbers w:val="0"/>
              <w:spacing w:before="0" w:beforeAutospacing="0" w:afterAutospacing="0" w:line="320" w:lineRule="exact"/>
              <w:ind w:left="0" w:right="0" w:firstLine="0"/>
              <w:rPr>
                <w:rFonts w:hint="default" w:ascii="宋体" w:hAnsi="宋体" w:cs="宋体"/>
                <w:color w:val="auto"/>
                <w:spacing w:val="-6"/>
                <w:szCs w:val="21"/>
                <w:highlight w:val="none"/>
              </w:rPr>
            </w:pPr>
            <w:r>
              <w:rPr>
                <w:rFonts w:hint="eastAsia" w:ascii="宋体" w:hAnsi="宋体" w:cs="宋体"/>
                <w:color w:val="auto"/>
                <w:spacing w:val="-6"/>
                <w:szCs w:val="21"/>
                <w:highlight w:val="none"/>
              </w:rPr>
              <w:t>②方案合理可行。（是指：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147A9FDC">
            <w:pPr>
              <w:keepNext w:val="0"/>
              <w:keepLines w:val="0"/>
              <w:suppressLineNumbers w:val="0"/>
              <w:spacing w:before="0" w:beforeAutospacing="0" w:after="0" w:afterAutospacing="0" w:line="320" w:lineRule="exact"/>
              <w:ind w:left="0" w:right="0"/>
              <w:jc w:val="left"/>
              <w:rPr>
                <w:rFonts w:hint="default"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上述每项评审因素满足一项评审标准的得0.5分，全部满足的得1分。对3项评审因素进行打分，此项满分3分。</w:t>
            </w:r>
          </w:p>
        </w:tc>
      </w:tr>
    </w:tbl>
    <w:p w14:paraId="4F5A1185">
      <w:pPr>
        <w:keepNext/>
        <w:keepLines/>
        <w:pageBreakBefore w:val="0"/>
        <w:widowControl w:val="0"/>
        <w:numPr>
          <w:ilvl w:val="0"/>
          <w:numId w:val="0"/>
        </w:numPr>
        <w:kinsoku/>
        <w:wordWrap w:val="0"/>
        <w:overflowPunct/>
        <w:bidi w:val="0"/>
        <w:spacing w:line="276" w:lineRule="auto"/>
        <w:ind w:leftChars="0"/>
        <w:jc w:val="left"/>
        <w:outlineLvl w:val="1"/>
        <w:rPr>
          <w:rFonts w:hint="eastAsia" w:ascii="宋体" w:hAnsi="宋体" w:eastAsia="宋体" w:cs="宋体"/>
          <w:color w:val="auto"/>
          <w:kern w:val="0"/>
          <w:szCs w:val="21"/>
          <w:highlight w:val="none"/>
        </w:rPr>
        <w:sectPr>
          <w:footerReference r:id="rId9" w:type="default"/>
          <w:pgSz w:w="11906" w:h="16838"/>
          <w:pgMar w:top="1134" w:right="1191" w:bottom="1134" w:left="1191" w:header="851" w:footer="624" w:gutter="0"/>
          <w:pgNumType w:fmt="decimal"/>
          <w:cols w:space="720" w:num="1"/>
          <w:docGrid w:type="linesAndChars" w:linePitch="312" w:charSpace="0"/>
        </w:sectPr>
      </w:pPr>
      <w:r>
        <w:rPr>
          <w:rFonts w:hint="eastAsia" w:ascii="宋体" w:hAnsi="宋体" w:eastAsia="宋体" w:cs="宋体"/>
          <w:color w:val="auto"/>
          <w:kern w:val="0"/>
          <w:szCs w:val="21"/>
          <w:highlight w:val="none"/>
        </w:rPr>
        <w:br w:type="page"/>
      </w:r>
      <w:bookmarkStart w:id="88" w:name="_Toc14783"/>
      <w:bookmarkStart w:id="89" w:name="_Toc494664993"/>
      <w:bookmarkStart w:id="90" w:name="_Toc494745310"/>
      <w:bookmarkStart w:id="91" w:name="_Toc494665943"/>
      <w:bookmarkStart w:id="92" w:name="_Toc494702263"/>
      <w:bookmarkStart w:id="93" w:name="_Toc494721093"/>
      <w:bookmarkStart w:id="94" w:name="_Toc494665546"/>
    </w:p>
    <w:p w14:paraId="2CE49D10">
      <w:pPr>
        <w:pageBreakBefore w:val="0"/>
        <w:widowControl w:val="0"/>
        <w:kinsoku/>
        <w:wordWrap w:val="0"/>
        <w:overflowPunct/>
        <w:bidi w:val="0"/>
        <w:spacing w:line="276" w:lineRule="auto"/>
        <w:jc w:val="center"/>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第六章合同书格式</w:t>
      </w:r>
      <w:bookmarkEnd w:id="88"/>
      <w:bookmarkEnd w:id="89"/>
      <w:bookmarkEnd w:id="90"/>
      <w:bookmarkEnd w:id="91"/>
      <w:bookmarkEnd w:id="92"/>
      <w:bookmarkEnd w:id="93"/>
      <w:bookmarkEnd w:id="94"/>
    </w:p>
    <w:p w14:paraId="6A5840BC">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3885D102">
      <w:pPr>
        <w:pStyle w:val="20"/>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color w:val="auto"/>
          <w:kern w:val="2"/>
          <w:sz w:val="24"/>
          <w:szCs w:val="24"/>
          <w:highlight w:val="none"/>
        </w:rPr>
      </w:pPr>
    </w:p>
    <w:p w14:paraId="400DDE1E">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一、</w:t>
      </w:r>
      <w:r>
        <w:rPr>
          <w:rFonts w:hint="eastAsia" w:ascii="宋体" w:hAnsi="宋体" w:eastAsia="宋体" w:cs="宋体"/>
          <w:b/>
          <w:bCs/>
          <w:color w:val="auto"/>
          <w:kern w:val="0"/>
          <w:sz w:val="21"/>
          <w:szCs w:val="21"/>
          <w:highlight w:val="none"/>
          <w:lang w:val="en-US" w:eastAsia="zh-CN" w:bidi="ar"/>
        </w:rPr>
        <w:t>项目概况</w:t>
      </w:r>
    </w:p>
    <w:p w14:paraId="453776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i/>
          <w:iCs w:val="0"/>
          <w:color w:val="auto"/>
          <w:sz w:val="21"/>
          <w:szCs w:val="21"/>
          <w:highlight w:val="none"/>
          <w:u w:val="single"/>
        </w:rPr>
      </w:pPr>
      <w:r>
        <w:rPr>
          <w:rFonts w:hint="eastAsia" w:ascii="宋体" w:hAnsi="宋体" w:eastAsia="宋体" w:cs="宋体"/>
          <w:color w:val="auto"/>
          <w:kern w:val="2"/>
          <w:sz w:val="21"/>
          <w:szCs w:val="21"/>
          <w:highlight w:val="none"/>
          <w:lang w:val="en-US" w:eastAsia="zh-CN" w:bidi="ar"/>
        </w:rPr>
        <w:t>1.1项目名称</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2"/>
          <w:sz w:val="21"/>
          <w:szCs w:val="21"/>
          <w:highlight w:val="none"/>
          <w:u w:val="single"/>
          <w:lang w:val="en-US" w:eastAsia="zh-CN" w:bidi="ar"/>
        </w:rPr>
        <w:t>等离子体烧成及控制模块项目</w:t>
      </w:r>
    </w:p>
    <w:p w14:paraId="09D94F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1.2项目内容：</w:t>
      </w:r>
      <w:r>
        <w:rPr>
          <w:rFonts w:hint="eastAsia" w:ascii="宋体" w:hAnsi="宋体" w:eastAsia="宋体" w:cs="宋体"/>
          <w:color w:val="auto"/>
          <w:kern w:val="2"/>
          <w:sz w:val="21"/>
          <w:szCs w:val="21"/>
          <w:highlight w:val="none"/>
          <w:u w:val="single"/>
          <w:lang w:val="en-US" w:eastAsia="zh-CN" w:bidi="ar"/>
        </w:rPr>
        <w:t>等离子体烧成及控制模块项目</w:t>
      </w:r>
      <w:r>
        <w:rPr>
          <w:rFonts w:hint="eastAsia" w:ascii="宋体" w:hAnsi="宋体" w:eastAsia="宋体" w:cs="宋体"/>
          <w:color w:val="auto"/>
          <w:kern w:val="2"/>
          <w:sz w:val="21"/>
          <w:szCs w:val="21"/>
          <w:highlight w:val="none"/>
          <w:lang w:val="en-US" w:eastAsia="zh-CN" w:bidi="ar"/>
        </w:rPr>
        <w:t>的供货、安装、调试、验收及售后服务。</w:t>
      </w:r>
    </w:p>
    <w:p w14:paraId="3D3837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1.3项目地点：</w:t>
      </w:r>
      <w:r>
        <w:rPr>
          <w:rFonts w:hint="eastAsia" w:ascii="宋体" w:hAnsi="宋体" w:eastAsia="宋体" w:cs="宋体"/>
          <w:color w:val="auto"/>
          <w:kern w:val="2"/>
          <w:sz w:val="21"/>
          <w:szCs w:val="21"/>
          <w:highlight w:val="none"/>
          <w:u w:val="single"/>
          <w:lang w:val="en-US" w:eastAsia="zh-CN" w:bidi="ar"/>
        </w:rPr>
        <w:t>武汉理工大学硅酸盐科学与先进建材全国重点实验室</w:t>
      </w:r>
    </w:p>
    <w:p w14:paraId="35EDEC71">
      <w:pPr>
        <w:pStyle w:val="20"/>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1.4采购清单：</w:t>
      </w:r>
    </w:p>
    <w:tbl>
      <w:tblPr>
        <w:tblStyle w:val="25"/>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53"/>
        <w:gridCol w:w="2410"/>
        <w:gridCol w:w="1134"/>
        <w:gridCol w:w="1417"/>
        <w:gridCol w:w="1059"/>
        <w:gridCol w:w="1316"/>
        <w:gridCol w:w="1357"/>
      </w:tblGrid>
      <w:tr w14:paraId="73B2E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3B116714">
            <w:pPr>
              <w:keepNext w:val="0"/>
              <w:keepLines w:val="0"/>
              <w:widowControl w:val="0"/>
              <w:suppressLineNumbers w:val="0"/>
              <w:spacing w:before="0" w:beforeAutospacing="0" w:after="0" w:afterAutospacing="0" w:line="273" w:lineRule="auto"/>
              <w:ind w:left="-23" w:leftChars="-11" w:right="-65" w:rightChars="-3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序号</w:t>
            </w:r>
          </w:p>
        </w:tc>
        <w:tc>
          <w:tcPr>
            <w:tcW w:w="2410" w:type="dxa"/>
            <w:tcBorders>
              <w:top w:val="single" w:color="auto" w:sz="4" w:space="0"/>
              <w:left w:val="nil"/>
              <w:bottom w:val="single" w:color="auto" w:sz="4" w:space="0"/>
              <w:right w:val="single" w:color="auto" w:sz="4" w:space="0"/>
            </w:tcBorders>
            <w:shd w:val="clear" w:color="auto" w:fill="D8D8D8"/>
            <w:vAlign w:val="center"/>
          </w:tcPr>
          <w:p w14:paraId="014E42E5">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名称</w:t>
            </w:r>
          </w:p>
        </w:tc>
        <w:tc>
          <w:tcPr>
            <w:tcW w:w="1134" w:type="dxa"/>
            <w:tcBorders>
              <w:top w:val="single" w:color="auto" w:sz="4" w:space="0"/>
              <w:left w:val="nil"/>
              <w:bottom w:val="single" w:color="auto" w:sz="4" w:space="0"/>
              <w:right w:val="single" w:color="auto" w:sz="4" w:space="0"/>
            </w:tcBorders>
            <w:shd w:val="clear" w:color="auto" w:fill="D8D8D8"/>
            <w:vAlign w:val="center"/>
          </w:tcPr>
          <w:p w14:paraId="3E2B26CB">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品牌</w:t>
            </w:r>
          </w:p>
          <w:p w14:paraId="115BAF67">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型号规格</w:t>
            </w:r>
          </w:p>
        </w:tc>
        <w:tc>
          <w:tcPr>
            <w:tcW w:w="1417" w:type="dxa"/>
            <w:tcBorders>
              <w:top w:val="single" w:color="auto" w:sz="4" w:space="0"/>
              <w:left w:val="nil"/>
              <w:bottom w:val="single" w:color="auto" w:sz="4" w:space="0"/>
              <w:right w:val="single" w:color="auto" w:sz="4" w:space="0"/>
            </w:tcBorders>
            <w:shd w:val="clear" w:color="auto" w:fill="D8D8D8"/>
            <w:vAlign w:val="center"/>
          </w:tcPr>
          <w:p w14:paraId="6246395D">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原产地和制造商名称</w:t>
            </w:r>
          </w:p>
        </w:tc>
        <w:tc>
          <w:tcPr>
            <w:tcW w:w="1059" w:type="dxa"/>
            <w:tcBorders>
              <w:top w:val="single" w:color="auto" w:sz="4" w:space="0"/>
              <w:left w:val="nil"/>
              <w:bottom w:val="single" w:color="auto" w:sz="4" w:space="0"/>
              <w:right w:val="single" w:color="auto" w:sz="4" w:space="0"/>
            </w:tcBorders>
            <w:shd w:val="clear" w:color="auto" w:fill="D8D8D8"/>
            <w:vAlign w:val="center"/>
          </w:tcPr>
          <w:p w14:paraId="0F3E3A32">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数量</w:t>
            </w:r>
          </w:p>
        </w:tc>
        <w:tc>
          <w:tcPr>
            <w:tcW w:w="1316" w:type="dxa"/>
            <w:tcBorders>
              <w:top w:val="single" w:color="auto" w:sz="4" w:space="0"/>
              <w:left w:val="nil"/>
              <w:bottom w:val="single" w:color="auto" w:sz="4" w:space="0"/>
              <w:right w:val="single" w:color="auto" w:sz="4" w:space="0"/>
            </w:tcBorders>
            <w:shd w:val="clear" w:color="auto" w:fill="D8D8D8"/>
            <w:vAlign w:val="center"/>
          </w:tcPr>
          <w:p w14:paraId="6FDC9500">
            <w:pPr>
              <w:keepNext w:val="0"/>
              <w:keepLines w:val="0"/>
              <w:widowControl w:val="0"/>
              <w:suppressLineNumbers w:val="0"/>
              <w:spacing w:before="0" w:beforeAutospacing="0" w:after="0" w:afterAutospacing="0" w:line="273" w:lineRule="auto"/>
              <w:ind w:left="-23" w:leftChars="-11" w:right="-65" w:rightChars="-3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单价</w:t>
            </w:r>
          </w:p>
        </w:tc>
        <w:tc>
          <w:tcPr>
            <w:tcW w:w="1357" w:type="dxa"/>
            <w:tcBorders>
              <w:top w:val="single" w:color="auto" w:sz="4" w:space="0"/>
              <w:left w:val="nil"/>
              <w:bottom w:val="single" w:color="auto" w:sz="4" w:space="0"/>
              <w:right w:val="single" w:color="auto" w:sz="4" w:space="0"/>
            </w:tcBorders>
            <w:shd w:val="clear" w:color="auto" w:fill="D8D8D8"/>
            <w:vAlign w:val="center"/>
          </w:tcPr>
          <w:p w14:paraId="365439E6">
            <w:pPr>
              <w:keepNext w:val="0"/>
              <w:keepLines w:val="0"/>
              <w:widowControl w:val="0"/>
              <w:suppressLineNumbers w:val="0"/>
              <w:spacing w:before="0" w:beforeAutospacing="0" w:after="0" w:afterAutospacing="0" w:line="273" w:lineRule="auto"/>
              <w:ind w:left="-23" w:leftChars="-11" w:right="-65" w:rightChars="-3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分项合计</w:t>
            </w:r>
          </w:p>
        </w:tc>
      </w:tr>
      <w:tr w14:paraId="6167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7EB5DD83">
            <w:pPr>
              <w:keepNext w:val="0"/>
              <w:keepLines w:val="0"/>
              <w:widowControl w:val="0"/>
              <w:numPr>
                <w:ilvl w:val="0"/>
                <w:numId w:val="53"/>
              </w:numPr>
              <w:suppressLineNumbers w:val="0"/>
              <w:tabs>
                <w:tab w:val="left" w:pos="82"/>
              </w:tabs>
              <w:adjustRightInd w:val="0"/>
              <w:snapToGrid w:val="0"/>
              <w:spacing w:before="0" w:beforeAutospacing="0" w:after="0" w:afterAutospacing="0" w:line="273" w:lineRule="auto"/>
              <w:ind w:left="420" w:right="0" w:hanging="420"/>
              <w:jc w:val="center"/>
              <w:rPr>
                <w:rFonts w:hint="eastAsia" w:ascii="宋体" w:hAnsi="宋体" w:eastAsia="宋体" w:cs="宋体"/>
                <w:color w:val="auto"/>
                <w:kern w:val="2"/>
                <w:sz w:val="21"/>
                <w:szCs w:val="21"/>
                <w:highlight w:val="none"/>
              </w:rPr>
            </w:pPr>
          </w:p>
        </w:tc>
        <w:tc>
          <w:tcPr>
            <w:tcW w:w="2410" w:type="dxa"/>
            <w:tcBorders>
              <w:top w:val="single" w:color="auto" w:sz="4" w:space="0"/>
              <w:left w:val="nil"/>
              <w:bottom w:val="single" w:color="auto" w:sz="4" w:space="0"/>
              <w:right w:val="single" w:color="auto" w:sz="4" w:space="0"/>
            </w:tcBorders>
            <w:shd w:val="clear" w:color="auto" w:fill="auto"/>
            <w:vAlign w:val="center"/>
          </w:tcPr>
          <w:p w14:paraId="0FC8E593">
            <w:pPr>
              <w:keepNext w:val="0"/>
              <w:keepLines w:val="0"/>
              <w:widowControl w:val="0"/>
              <w:suppressLineNumbers w:val="0"/>
              <w:tabs>
                <w:tab w:val="left" w:pos="0"/>
                <w:tab w:val="left" w:pos="56"/>
              </w:tabs>
              <w:adjustRightInd w:val="0"/>
              <w:snapToGrid w:val="0"/>
              <w:spacing w:before="0" w:beforeAutospacing="0" w:after="0" w:afterAutospacing="0" w:line="273" w:lineRule="auto"/>
              <w:ind w:left="479" w:right="0" w:hanging="476" w:hangingChars="227"/>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全电一体炉</w:t>
            </w:r>
          </w:p>
        </w:tc>
        <w:tc>
          <w:tcPr>
            <w:tcW w:w="1134" w:type="dxa"/>
            <w:tcBorders>
              <w:top w:val="single" w:color="auto" w:sz="4" w:space="0"/>
              <w:left w:val="nil"/>
              <w:bottom w:val="single" w:color="auto" w:sz="4" w:space="0"/>
              <w:right w:val="single" w:color="auto" w:sz="4" w:space="0"/>
            </w:tcBorders>
            <w:shd w:val="clear" w:color="auto" w:fill="auto"/>
            <w:vAlign w:val="center"/>
          </w:tcPr>
          <w:p w14:paraId="0A0E3307">
            <w:pPr>
              <w:keepNext w:val="0"/>
              <w:keepLines w:val="0"/>
              <w:widowControl w:val="0"/>
              <w:suppressLineNumbers w:val="0"/>
              <w:spacing w:before="0" w:beforeAutospacing="0" w:after="0" w:afterAutospacing="0" w:line="273" w:lineRule="auto"/>
              <w:ind w:left="0" w:right="0"/>
              <w:jc w:val="left"/>
              <w:rPr>
                <w:rFonts w:hint="eastAsia" w:ascii="宋体" w:hAnsi="宋体" w:eastAsia="宋体" w:cs="宋体"/>
                <w:color w:val="auto"/>
                <w:kern w:val="0"/>
                <w:sz w:val="21"/>
                <w:szCs w:val="21"/>
                <w:highlight w:val="none"/>
              </w:rPr>
            </w:pPr>
          </w:p>
        </w:tc>
        <w:tc>
          <w:tcPr>
            <w:tcW w:w="1417" w:type="dxa"/>
            <w:tcBorders>
              <w:top w:val="single" w:color="auto" w:sz="4" w:space="0"/>
              <w:left w:val="nil"/>
              <w:bottom w:val="single" w:color="auto" w:sz="4" w:space="0"/>
              <w:right w:val="single" w:color="auto" w:sz="4" w:space="0"/>
            </w:tcBorders>
            <w:shd w:val="clear" w:color="auto" w:fill="auto"/>
            <w:vAlign w:val="center"/>
          </w:tcPr>
          <w:p w14:paraId="6E3A2767">
            <w:pPr>
              <w:keepNext w:val="0"/>
              <w:keepLines w:val="0"/>
              <w:widowControl w:val="0"/>
              <w:suppressLineNumbers w:val="0"/>
              <w:spacing w:before="0" w:beforeAutospacing="0" w:after="0" w:afterAutospacing="0" w:line="273" w:lineRule="auto"/>
              <w:ind w:left="0" w:right="0"/>
              <w:jc w:val="center"/>
              <w:rPr>
                <w:rFonts w:hint="eastAsia" w:ascii="宋体" w:hAnsi="宋体" w:eastAsia="宋体" w:cs="宋体"/>
                <w:color w:val="auto"/>
                <w:kern w:val="0"/>
                <w:sz w:val="21"/>
                <w:szCs w:val="21"/>
                <w:highlight w:val="none"/>
              </w:rPr>
            </w:pPr>
          </w:p>
        </w:tc>
        <w:tc>
          <w:tcPr>
            <w:tcW w:w="1059" w:type="dxa"/>
            <w:tcBorders>
              <w:top w:val="single" w:color="auto" w:sz="4" w:space="0"/>
              <w:left w:val="nil"/>
              <w:bottom w:val="single" w:color="auto" w:sz="4" w:space="0"/>
              <w:right w:val="single" w:color="auto" w:sz="4" w:space="0"/>
            </w:tcBorders>
            <w:shd w:val="clear" w:color="auto" w:fill="auto"/>
            <w:vAlign w:val="center"/>
          </w:tcPr>
          <w:p w14:paraId="71A7BEFB">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p>
        </w:tc>
        <w:tc>
          <w:tcPr>
            <w:tcW w:w="1316" w:type="dxa"/>
            <w:tcBorders>
              <w:top w:val="single" w:color="auto" w:sz="4" w:space="0"/>
              <w:left w:val="nil"/>
              <w:bottom w:val="single" w:color="auto" w:sz="4" w:space="0"/>
              <w:right w:val="single" w:color="auto" w:sz="4" w:space="0"/>
            </w:tcBorders>
            <w:shd w:val="clear" w:color="auto" w:fill="auto"/>
            <w:vAlign w:val="center"/>
          </w:tcPr>
          <w:p w14:paraId="16A9F046">
            <w:pPr>
              <w:keepNext w:val="0"/>
              <w:keepLines w:val="0"/>
              <w:widowControl w:val="0"/>
              <w:suppressLineNumbers w:val="0"/>
              <w:spacing w:before="0" w:beforeAutospacing="0" w:after="0" w:afterAutospacing="0" w:line="273" w:lineRule="auto"/>
              <w:ind w:left="-48" w:leftChars="-23" w:right="-65" w:rightChars="-31"/>
              <w:jc w:val="left"/>
              <w:rPr>
                <w:rFonts w:hint="eastAsia" w:ascii="宋体" w:hAnsi="宋体" w:eastAsia="宋体" w:cs="宋体"/>
                <w:color w:val="auto"/>
                <w:kern w:val="0"/>
                <w:sz w:val="21"/>
                <w:szCs w:val="21"/>
                <w:highlight w:val="none"/>
              </w:rPr>
            </w:pPr>
          </w:p>
        </w:tc>
        <w:tc>
          <w:tcPr>
            <w:tcW w:w="1357" w:type="dxa"/>
            <w:tcBorders>
              <w:top w:val="single" w:color="auto" w:sz="4" w:space="0"/>
              <w:left w:val="nil"/>
              <w:bottom w:val="single" w:color="auto" w:sz="4" w:space="0"/>
              <w:right w:val="single" w:color="auto" w:sz="4" w:space="0"/>
            </w:tcBorders>
            <w:shd w:val="clear" w:color="auto" w:fill="auto"/>
            <w:vAlign w:val="center"/>
          </w:tcPr>
          <w:p w14:paraId="034E10A7">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p>
        </w:tc>
      </w:tr>
      <w:tr w14:paraId="62039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7D7DF816">
            <w:pPr>
              <w:keepNext w:val="0"/>
              <w:keepLines w:val="0"/>
              <w:widowControl w:val="0"/>
              <w:numPr>
                <w:ilvl w:val="0"/>
                <w:numId w:val="53"/>
              </w:numPr>
              <w:suppressLineNumbers w:val="0"/>
              <w:tabs>
                <w:tab w:val="left" w:pos="82"/>
              </w:tabs>
              <w:adjustRightInd w:val="0"/>
              <w:snapToGrid w:val="0"/>
              <w:spacing w:before="0" w:beforeAutospacing="0" w:after="0" w:afterAutospacing="0" w:line="273" w:lineRule="auto"/>
              <w:ind w:left="420" w:right="0" w:hanging="420"/>
              <w:jc w:val="center"/>
              <w:rPr>
                <w:rFonts w:hint="eastAsia" w:ascii="宋体" w:hAnsi="宋体" w:eastAsia="宋体" w:cs="宋体"/>
                <w:color w:val="auto"/>
                <w:kern w:val="2"/>
                <w:sz w:val="21"/>
                <w:szCs w:val="21"/>
                <w:highlight w:val="none"/>
              </w:rPr>
            </w:pPr>
          </w:p>
        </w:tc>
        <w:tc>
          <w:tcPr>
            <w:tcW w:w="2410" w:type="dxa"/>
            <w:tcBorders>
              <w:top w:val="single" w:color="auto" w:sz="4" w:space="0"/>
              <w:left w:val="nil"/>
              <w:bottom w:val="single" w:color="auto" w:sz="4" w:space="0"/>
              <w:right w:val="single" w:color="auto" w:sz="4" w:space="0"/>
            </w:tcBorders>
            <w:shd w:val="clear" w:color="auto" w:fill="auto"/>
            <w:vAlign w:val="center"/>
          </w:tcPr>
          <w:p w14:paraId="29396B1F">
            <w:pPr>
              <w:keepNext w:val="0"/>
              <w:keepLines w:val="0"/>
              <w:widowControl w:val="0"/>
              <w:suppressLineNumbers w:val="0"/>
              <w:tabs>
                <w:tab w:val="left" w:pos="0"/>
                <w:tab w:val="left" w:pos="56"/>
              </w:tabs>
              <w:adjustRightInd w:val="0"/>
              <w:snapToGrid w:val="0"/>
              <w:spacing w:before="0" w:beforeAutospacing="0" w:after="0" w:afterAutospacing="0" w:line="273"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等离子体炬</w:t>
            </w:r>
          </w:p>
        </w:tc>
        <w:tc>
          <w:tcPr>
            <w:tcW w:w="1134" w:type="dxa"/>
            <w:tcBorders>
              <w:top w:val="single" w:color="auto" w:sz="4" w:space="0"/>
              <w:left w:val="nil"/>
              <w:bottom w:val="single" w:color="auto" w:sz="4" w:space="0"/>
              <w:right w:val="single" w:color="auto" w:sz="4" w:space="0"/>
            </w:tcBorders>
            <w:shd w:val="clear" w:color="auto" w:fill="auto"/>
            <w:vAlign w:val="center"/>
          </w:tcPr>
          <w:p w14:paraId="32F77C6C">
            <w:pPr>
              <w:keepNext w:val="0"/>
              <w:keepLines w:val="0"/>
              <w:widowControl w:val="0"/>
              <w:suppressLineNumbers w:val="0"/>
              <w:spacing w:before="0" w:beforeAutospacing="0" w:after="0" w:afterAutospacing="0" w:line="273" w:lineRule="auto"/>
              <w:ind w:left="0" w:right="0"/>
              <w:jc w:val="left"/>
              <w:rPr>
                <w:rFonts w:hint="eastAsia" w:ascii="宋体" w:hAnsi="宋体" w:eastAsia="宋体" w:cs="宋体"/>
                <w:color w:val="auto"/>
                <w:kern w:val="0"/>
                <w:sz w:val="21"/>
                <w:szCs w:val="21"/>
                <w:highlight w:val="none"/>
              </w:rPr>
            </w:pPr>
          </w:p>
        </w:tc>
        <w:tc>
          <w:tcPr>
            <w:tcW w:w="1417" w:type="dxa"/>
            <w:tcBorders>
              <w:top w:val="single" w:color="auto" w:sz="4" w:space="0"/>
              <w:left w:val="nil"/>
              <w:bottom w:val="single" w:color="auto" w:sz="4" w:space="0"/>
              <w:right w:val="single" w:color="auto" w:sz="4" w:space="0"/>
            </w:tcBorders>
            <w:shd w:val="clear" w:color="auto" w:fill="auto"/>
            <w:vAlign w:val="center"/>
          </w:tcPr>
          <w:p w14:paraId="228FA924">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p>
        </w:tc>
        <w:tc>
          <w:tcPr>
            <w:tcW w:w="1059" w:type="dxa"/>
            <w:tcBorders>
              <w:top w:val="single" w:color="auto" w:sz="4" w:space="0"/>
              <w:left w:val="nil"/>
              <w:bottom w:val="single" w:color="auto" w:sz="4" w:space="0"/>
              <w:right w:val="single" w:color="auto" w:sz="4" w:space="0"/>
            </w:tcBorders>
            <w:shd w:val="clear" w:color="auto" w:fill="auto"/>
            <w:vAlign w:val="center"/>
          </w:tcPr>
          <w:p w14:paraId="61902C2F">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p>
        </w:tc>
        <w:tc>
          <w:tcPr>
            <w:tcW w:w="1316" w:type="dxa"/>
            <w:tcBorders>
              <w:top w:val="single" w:color="auto" w:sz="4" w:space="0"/>
              <w:left w:val="nil"/>
              <w:bottom w:val="single" w:color="auto" w:sz="4" w:space="0"/>
              <w:right w:val="single" w:color="auto" w:sz="4" w:space="0"/>
            </w:tcBorders>
            <w:shd w:val="clear" w:color="auto" w:fill="auto"/>
            <w:vAlign w:val="center"/>
          </w:tcPr>
          <w:p w14:paraId="210D0139">
            <w:pPr>
              <w:keepNext w:val="0"/>
              <w:keepLines w:val="0"/>
              <w:widowControl w:val="0"/>
              <w:suppressLineNumbers w:val="0"/>
              <w:spacing w:before="0" w:beforeAutospacing="0" w:after="0" w:afterAutospacing="0" w:line="273" w:lineRule="auto"/>
              <w:ind w:left="-48" w:leftChars="-23" w:right="-65" w:rightChars="-31"/>
              <w:jc w:val="left"/>
              <w:rPr>
                <w:rFonts w:hint="eastAsia" w:ascii="宋体" w:hAnsi="宋体" w:eastAsia="宋体" w:cs="宋体"/>
                <w:color w:val="auto"/>
                <w:kern w:val="0"/>
                <w:sz w:val="21"/>
                <w:szCs w:val="21"/>
                <w:highlight w:val="none"/>
              </w:rPr>
            </w:pPr>
          </w:p>
        </w:tc>
        <w:tc>
          <w:tcPr>
            <w:tcW w:w="1357" w:type="dxa"/>
            <w:tcBorders>
              <w:top w:val="single" w:color="auto" w:sz="4" w:space="0"/>
              <w:left w:val="nil"/>
              <w:bottom w:val="single" w:color="auto" w:sz="4" w:space="0"/>
              <w:right w:val="single" w:color="auto" w:sz="4" w:space="0"/>
            </w:tcBorders>
            <w:shd w:val="clear" w:color="auto" w:fill="auto"/>
            <w:vAlign w:val="center"/>
          </w:tcPr>
          <w:p w14:paraId="400C296A">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p>
        </w:tc>
      </w:tr>
      <w:tr w14:paraId="6D284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2B4E9619">
            <w:pPr>
              <w:keepNext w:val="0"/>
              <w:keepLines w:val="0"/>
              <w:widowControl w:val="0"/>
              <w:suppressLineNumbers w:val="0"/>
              <w:spacing w:before="0" w:beforeAutospacing="0" w:after="0" w:afterAutospacing="0" w:line="273" w:lineRule="auto"/>
              <w:ind w:left="-48" w:leftChars="-23" w:right="-65" w:rightChars="-3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合计</w:t>
            </w:r>
          </w:p>
        </w:tc>
        <w:tc>
          <w:tcPr>
            <w:tcW w:w="2673" w:type="dxa"/>
            <w:gridSpan w:val="2"/>
            <w:tcBorders>
              <w:top w:val="single" w:color="auto" w:sz="4" w:space="0"/>
              <w:left w:val="nil"/>
              <w:bottom w:val="single" w:color="auto" w:sz="4" w:space="0"/>
              <w:right w:val="single" w:color="auto" w:sz="4" w:space="0"/>
            </w:tcBorders>
            <w:shd w:val="clear" w:color="auto" w:fill="auto"/>
            <w:vAlign w:val="center"/>
          </w:tcPr>
          <w:p w14:paraId="1C79CE9E">
            <w:pPr>
              <w:keepNext w:val="0"/>
              <w:keepLines w:val="0"/>
              <w:widowControl w:val="0"/>
              <w:suppressLineNumbers w:val="0"/>
              <w:spacing w:before="0" w:beforeAutospacing="0" w:after="0" w:afterAutospacing="0" w:line="273" w:lineRule="auto"/>
              <w:ind w:left="-48" w:leftChars="-23" w:right="-65" w:rightChars="-31"/>
              <w:jc w:val="left"/>
              <w:rPr>
                <w:rFonts w:hint="eastAsia" w:ascii="宋体" w:hAnsi="宋体" w:eastAsia="宋体" w:cs="宋体"/>
                <w:color w:val="auto"/>
                <w:kern w:val="0"/>
                <w:sz w:val="21"/>
                <w:szCs w:val="21"/>
                <w:highlight w:val="none"/>
              </w:rPr>
            </w:pPr>
          </w:p>
        </w:tc>
      </w:tr>
    </w:tbl>
    <w:p w14:paraId="1C8591D8">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货物清单见附件。（如有）</w:t>
      </w:r>
    </w:p>
    <w:p w14:paraId="456DDA77">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二、</w:t>
      </w:r>
      <w:r>
        <w:rPr>
          <w:rFonts w:hint="eastAsia" w:ascii="宋体" w:hAnsi="宋体" w:eastAsia="宋体" w:cs="宋体"/>
          <w:b/>
          <w:bCs/>
          <w:color w:val="auto"/>
          <w:kern w:val="0"/>
          <w:sz w:val="21"/>
          <w:szCs w:val="21"/>
          <w:highlight w:val="none"/>
          <w:lang w:val="en-US" w:eastAsia="zh-CN" w:bidi="ar"/>
        </w:rPr>
        <w:t>交货时间及地点</w:t>
      </w:r>
    </w:p>
    <w:p w14:paraId="18DB24ED">
      <w:pPr>
        <w:keepNext w:val="0"/>
        <w:keepLines w:val="0"/>
        <w:pageBreakBefore w:val="0"/>
        <w:widowControl w:val="0"/>
        <w:suppressLineNumbers w:val="0"/>
        <w:tabs>
          <w:tab w:val="left" w:pos="540"/>
        </w:tabs>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2.1交货时间：</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w:t>
      </w:r>
    </w:p>
    <w:p w14:paraId="37797839">
      <w:pPr>
        <w:keepNext w:val="0"/>
        <w:keepLines w:val="0"/>
        <w:pageBreakBefore w:val="0"/>
        <w:widowControl w:val="0"/>
        <w:suppressLineNumbers w:val="0"/>
        <w:tabs>
          <w:tab w:val="left" w:pos="540"/>
        </w:tabs>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2.2交货及安装地点：</w:t>
      </w:r>
      <w:r>
        <w:rPr>
          <w:rFonts w:hint="eastAsia" w:ascii="宋体" w:hAnsi="宋体" w:eastAsia="宋体" w:cs="宋体"/>
          <w:color w:val="auto"/>
          <w:kern w:val="2"/>
          <w:sz w:val="21"/>
          <w:szCs w:val="21"/>
          <w:highlight w:val="none"/>
          <w:u w:val="single"/>
          <w:lang w:val="en-US" w:eastAsia="zh-CN" w:bidi="ar"/>
        </w:rPr>
        <w:t xml:space="preserve">  武汉理工大学马房山校区硅酸盐科学与先进建材全国重点实验室    </w:t>
      </w:r>
      <w:r>
        <w:rPr>
          <w:rFonts w:hint="eastAsia" w:ascii="宋体" w:hAnsi="宋体" w:eastAsia="宋体" w:cs="宋体"/>
          <w:color w:val="auto"/>
          <w:kern w:val="2"/>
          <w:sz w:val="21"/>
          <w:szCs w:val="21"/>
          <w:highlight w:val="none"/>
          <w:lang w:val="en-US" w:eastAsia="zh-CN" w:bidi="ar"/>
        </w:rPr>
        <w:t>。</w:t>
      </w:r>
    </w:p>
    <w:p w14:paraId="573EBF6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三、</w:t>
      </w:r>
      <w:r>
        <w:rPr>
          <w:rFonts w:hint="eastAsia" w:ascii="宋体" w:hAnsi="宋体" w:eastAsia="宋体" w:cs="宋体"/>
          <w:b/>
          <w:bCs/>
          <w:color w:val="auto"/>
          <w:kern w:val="0"/>
          <w:sz w:val="21"/>
          <w:szCs w:val="21"/>
          <w:highlight w:val="none"/>
          <w:lang w:val="en-US" w:eastAsia="zh-CN" w:bidi="ar"/>
        </w:rPr>
        <w:t>报价说明及配置</w:t>
      </w:r>
    </w:p>
    <w:p w14:paraId="2DCF9C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3.1合同总价：人民币：¥</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元整（大写：</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整）。</w:t>
      </w:r>
    </w:p>
    <w:p w14:paraId="068923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3.2合同总价为竣工验收交付价，包含货物及配件的购置和安装、调试、运输、质保期售后服务。</w:t>
      </w:r>
    </w:p>
    <w:p w14:paraId="07DBD1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3.3乙方须提供含税发票，提供产品质量检验报告。</w:t>
      </w:r>
    </w:p>
    <w:p w14:paraId="5017A5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3.4配置：乙方遵照投标文件书及投标文件补充说明进行配置，对各项产品的深化设计要求经甲方认可后执行实施。配置清单如下</w:t>
      </w:r>
    </w:p>
    <w:p w14:paraId="59B985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注：本项目为交钥匙工程，以上报价为包干价，包含等离子体烧成及控制模块设备、辅材、运输、安装、质保、售后等所有费用。</w:t>
      </w:r>
    </w:p>
    <w:p w14:paraId="44D1E71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四、</w:t>
      </w:r>
      <w:r>
        <w:rPr>
          <w:rFonts w:hint="eastAsia" w:ascii="宋体" w:hAnsi="宋体" w:eastAsia="宋体" w:cs="宋体"/>
          <w:b/>
          <w:bCs/>
          <w:color w:val="auto"/>
          <w:kern w:val="0"/>
          <w:sz w:val="21"/>
          <w:szCs w:val="21"/>
          <w:highlight w:val="none"/>
          <w:lang w:val="en-US" w:eastAsia="zh-CN" w:bidi="ar"/>
        </w:rPr>
        <w:t>付款方式</w:t>
      </w:r>
    </w:p>
    <w:p w14:paraId="0628C957">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20" w:firstLineChars="200"/>
        <w:jc w:val="both"/>
        <w:textAlignment w:val="baseline"/>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eastAsia="zh-CN"/>
        </w:rPr>
        <w:t>1．若学校财务部门无资金支付要求，则按下列原则支付。</w:t>
      </w:r>
    </w:p>
    <w:p w14:paraId="50CB446C">
      <w:pPr>
        <w:keepNext w:val="0"/>
        <w:keepLines w:val="0"/>
        <w:pageBreakBefore w:val="0"/>
        <w:widowControl w:val="0"/>
        <w:numPr>
          <w:ilvl w:val="0"/>
          <w:numId w:val="0"/>
        </w:numPr>
        <w:tabs>
          <w:tab w:val="center" w:pos="709"/>
          <w:tab w:val="right" w:pos="8306"/>
        </w:tabs>
        <w:kinsoku/>
        <w:wordWrap w:val="0"/>
        <w:overflowPunct/>
        <w:topLinePunct w:val="0"/>
        <w:autoSpaceDE/>
        <w:autoSpaceDN/>
        <w:bidi w:val="0"/>
        <w:adjustRightInd w:val="0"/>
        <w:snapToGrid w:val="0"/>
        <w:spacing w:after="0" w:line="480" w:lineRule="exact"/>
        <w:ind w:left="0" w:leftChars="0" w:firstLine="420" w:firstLineChars="200"/>
        <w:jc w:val="both"/>
        <w:textAlignment w:val="baseline"/>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合同签订后，招标人向中标人预付合同金额30%款项，设备发货前，招标人向中标人支付合同金额20%款项，设备安装、调试并经招标人验收合格后，招标人向中标人支付合同金额50%款项。</w:t>
      </w:r>
    </w:p>
    <w:p w14:paraId="17AA37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b/>
          <w:bCs/>
          <w:color w:val="auto"/>
          <w:sz w:val="21"/>
          <w:szCs w:val="21"/>
          <w:highlight w:val="none"/>
          <w:lang w:eastAsia="zh-CN"/>
        </w:rPr>
        <w:t>2．学校财务部门有资金支付要求的，按要求执行。</w:t>
      </w:r>
    </w:p>
    <w:p w14:paraId="619CC3DE">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五、</w:t>
      </w:r>
      <w:r>
        <w:rPr>
          <w:rFonts w:hint="eastAsia" w:ascii="宋体" w:hAnsi="宋体" w:eastAsia="宋体" w:cs="宋体"/>
          <w:b/>
          <w:bCs/>
          <w:color w:val="auto"/>
          <w:kern w:val="0"/>
          <w:sz w:val="21"/>
          <w:szCs w:val="21"/>
          <w:highlight w:val="none"/>
          <w:lang w:val="en-US" w:eastAsia="zh-CN" w:bidi="ar"/>
        </w:rPr>
        <w:t>安装</w:t>
      </w:r>
    </w:p>
    <w:p w14:paraId="071CAA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5.1乙方按照投标文件及补充说明组织本项目实施，服从甲方的安排协调，保证项目安装质量及施工进度，爱护学校公物，做好员工的健康检测，确保只有健康人员进入学校，确保与其它项目的整体联调。项目须在</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年</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月</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日前安装调试完成，乙方应做好员工的安全文明教育，采取必要的安全防范措施，对员工的人身安全负责。</w:t>
      </w:r>
    </w:p>
    <w:p w14:paraId="3F39C9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5.2甲方为交通车辆及人员通行提供方便。</w:t>
      </w:r>
    </w:p>
    <w:p w14:paraId="17FB6CA3">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六、</w:t>
      </w:r>
      <w:r>
        <w:rPr>
          <w:rFonts w:hint="eastAsia" w:ascii="宋体" w:hAnsi="宋体" w:eastAsia="宋体" w:cs="宋体"/>
          <w:b/>
          <w:bCs/>
          <w:color w:val="auto"/>
          <w:kern w:val="0"/>
          <w:sz w:val="21"/>
          <w:szCs w:val="21"/>
          <w:highlight w:val="none"/>
          <w:lang w:val="en-US" w:eastAsia="zh-CN" w:bidi="ar"/>
        </w:rPr>
        <w:t>履约验收</w:t>
      </w:r>
    </w:p>
    <w:p w14:paraId="50C547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6.1合同货物运达交货地点后，甲方将对合同货物的包装外观、装运件数进行检验。</w:t>
      </w:r>
    </w:p>
    <w:p w14:paraId="69C092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6.2合同货物在安装前，甲方会同乙方按照投标文件及补充说明进行开箱检验。</w:t>
      </w:r>
    </w:p>
    <w:p w14:paraId="0E5B7D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6.3乙方货物安装完成后，甲方依据招标文件的技术要求和指标组织完成项目验收。</w:t>
      </w:r>
    </w:p>
    <w:p w14:paraId="1F45FC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6.4验收方式：甲方遵照投标文件设备清单及补充说明进行验收并签字。</w:t>
      </w:r>
    </w:p>
    <w:p w14:paraId="78267ACF">
      <w:pPr>
        <w:pStyle w:val="20"/>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6.5验收其他要求：</w:t>
      </w:r>
      <w:r>
        <w:rPr>
          <w:rFonts w:hint="eastAsia" w:ascii="宋体" w:hAnsi="宋体" w:eastAsia="宋体" w:cs="宋体"/>
          <w:color w:val="auto"/>
          <w:kern w:val="2"/>
          <w:sz w:val="21"/>
          <w:szCs w:val="21"/>
          <w:highlight w:val="none"/>
          <w:u w:val="single"/>
          <w:lang w:val="en-US" w:eastAsia="zh-CN" w:bidi="ar"/>
        </w:rPr>
        <w:t xml:space="preserve">                                       </w:t>
      </w:r>
    </w:p>
    <w:p w14:paraId="2056B7F2">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七、</w:t>
      </w:r>
      <w:r>
        <w:rPr>
          <w:rFonts w:hint="eastAsia" w:ascii="宋体" w:hAnsi="宋体" w:eastAsia="宋体" w:cs="宋体"/>
          <w:b/>
          <w:bCs/>
          <w:color w:val="auto"/>
          <w:kern w:val="0"/>
          <w:sz w:val="21"/>
          <w:szCs w:val="21"/>
          <w:highlight w:val="none"/>
          <w:lang w:val="en-US" w:eastAsia="zh-CN" w:bidi="ar"/>
        </w:rPr>
        <w:t>质量保证及售后服务、培训</w:t>
      </w:r>
    </w:p>
    <w:p w14:paraId="2DD107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7.1乙方提供的合同货物应保证质量，乙方遵照合同、投标文件及补充说明的质量保证与售后服务承诺执行。项目质量保证期：自验收合格之日起</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年（人为损坏除外）。质保期内，在非人为因素情况下，一切维修换件保养费用和备品备件均由乙方提供。</w:t>
      </w:r>
    </w:p>
    <w:p w14:paraId="46C8FB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7.2质保期满后，乙方提供终身技术支持、维修服务，按照成本收取售后费用。 </w:t>
      </w:r>
    </w:p>
    <w:p w14:paraId="7A2DF4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7.3乙方售后服务电话，负责人员：</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，手机：</w:t>
      </w:r>
      <w:r>
        <w:rPr>
          <w:rFonts w:hint="eastAsia" w:ascii="宋体" w:hAnsi="宋体" w:eastAsia="宋体" w:cs="宋体"/>
          <w:color w:val="auto"/>
          <w:kern w:val="2"/>
          <w:sz w:val="21"/>
          <w:szCs w:val="21"/>
          <w:highlight w:val="none"/>
          <w:u w:val="single"/>
          <w:lang w:val="en-US" w:eastAsia="zh-CN" w:bidi="ar"/>
        </w:rPr>
        <w:t xml:space="preserve">          </w:t>
      </w:r>
    </w:p>
    <w:p w14:paraId="33A04753">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八、</w:t>
      </w:r>
      <w:r>
        <w:rPr>
          <w:rFonts w:hint="eastAsia" w:ascii="宋体" w:hAnsi="宋体" w:eastAsia="宋体" w:cs="宋体"/>
          <w:b/>
          <w:bCs/>
          <w:color w:val="auto"/>
          <w:kern w:val="0"/>
          <w:sz w:val="21"/>
          <w:szCs w:val="21"/>
          <w:highlight w:val="none"/>
          <w:lang w:val="en-US" w:eastAsia="zh-CN" w:bidi="ar"/>
        </w:rPr>
        <w:t>违约责任</w:t>
      </w:r>
    </w:p>
    <w:p w14:paraId="693D32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8.1乙方不能交货的或提供假冒伪劣产品的，应退还已预付的合同总额的</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%，并向甲方偿付合同金额的</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%作为赔偿金。</w:t>
      </w:r>
    </w:p>
    <w:p w14:paraId="68FCEF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8.2乙方逾期交货的，每逾期一日向甲方支付合同金额的</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作为违约金。</w:t>
      </w:r>
    </w:p>
    <w:p w14:paraId="541E30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8.3任何一方因不可抗力不能履行合同的，免除承担相应责任。</w:t>
      </w:r>
    </w:p>
    <w:p w14:paraId="513A0D5E">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九、</w:t>
      </w:r>
      <w:r>
        <w:rPr>
          <w:rFonts w:hint="eastAsia" w:ascii="宋体" w:hAnsi="宋体" w:eastAsia="宋体" w:cs="宋体"/>
          <w:b/>
          <w:bCs/>
          <w:color w:val="auto"/>
          <w:kern w:val="0"/>
          <w:sz w:val="21"/>
          <w:szCs w:val="21"/>
          <w:highlight w:val="none"/>
          <w:lang w:val="en-US" w:eastAsia="zh-CN" w:bidi="ar"/>
        </w:rPr>
        <w:t>特别约定</w:t>
      </w:r>
    </w:p>
    <w:p w14:paraId="0F127B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9.1签订合同前，乙方须根据甲方要求出具《中标厂商承诺书》，对工期、产品质量、产品工艺等方面做出承诺。</w:t>
      </w:r>
    </w:p>
    <w:p w14:paraId="2BD3B3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9.2若乙方向甲方提供的产品为定制型产品，本合同生效后，除不可抗力外，双方不得以任何理由单方解除合同。</w:t>
      </w:r>
    </w:p>
    <w:p w14:paraId="50DB46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9.3若乙方因提供虚假材料谋取中标、成交，或因招标质疑、投诉引起的中标厂家变更，则此合同无效，由此引起的双方损失由乙方全部承担，甲方不负任何责任。</w:t>
      </w:r>
    </w:p>
    <w:p w14:paraId="2010FB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9.4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56442A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5F0F35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乙方承诺乙方拥有合同标的软件或其它产品的全部知识产权，若乙方向甲方出售的产品存在知识产权纠纷，甲方不承担任何连带责任。</w:t>
      </w:r>
    </w:p>
    <w:p w14:paraId="427C3E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1E81212B">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十、</w:t>
      </w:r>
      <w:r>
        <w:rPr>
          <w:rFonts w:hint="eastAsia" w:ascii="宋体" w:hAnsi="宋体" w:eastAsia="宋体" w:cs="宋体"/>
          <w:b/>
          <w:bCs/>
          <w:color w:val="auto"/>
          <w:kern w:val="0"/>
          <w:sz w:val="21"/>
          <w:szCs w:val="21"/>
          <w:highlight w:val="none"/>
          <w:lang w:val="en-US" w:eastAsia="zh-CN" w:bidi="ar"/>
        </w:rPr>
        <w:t>争议解决</w:t>
      </w:r>
    </w:p>
    <w:p w14:paraId="34FE30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凡因本合同引起或与本合同有关的任何争议，由双方友好协商解决。协商不成，可向合同签订所在地（武汉理工大学马房山校区西院）人民法院提起诉讼。</w:t>
      </w:r>
    </w:p>
    <w:p w14:paraId="030D8599">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十一、</w:t>
      </w:r>
      <w:r>
        <w:rPr>
          <w:rFonts w:hint="eastAsia" w:ascii="宋体" w:hAnsi="宋体" w:eastAsia="宋体" w:cs="宋体"/>
          <w:b/>
          <w:bCs/>
          <w:color w:val="auto"/>
          <w:kern w:val="0"/>
          <w:sz w:val="21"/>
          <w:szCs w:val="21"/>
          <w:highlight w:val="none"/>
          <w:lang w:val="en-US" w:eastAsia="zh-CN" w:bidi="ar"/>
        </w:rPr>
        <w:t>其他</w:t>
      </w:r>
    </w:p>
    <w:p w14:paraId="75AB64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本合同含本合同附表经甲乙双方签字盖章后生效。合同文本一式六份，甲方五份，乙方一份。</w:t>
      </w:r>
    </w:p>
    <w:p w14:paraId="40F877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23D444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十二、 补充条款</w:t>
      </w:r>
    </w:p>
    <w:p w14:paraId="231004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可根据实际需求合法合规补充条款。</w:t>
      </w:r>
    </w:p>
    <w:p w14:paraId="68DCE3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所有合同条款不得对招标文件、投标文件的内容进行更改。</w:t>
      </w:r>
    </w:p>
    <w:p w14:paraId="64384231">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14:paraId="0113F1E3">
      <w:pPr>
        <w:pStyle w:val="20"/>
        <w:keepNext w:val="0"/>
        <w:keepLines w:val="0"/>
        <w:widowControl w:val="0"/>
        <w:suppressLineNumbers w:val="0"/>
        <w:tabs>
          <w:tab w:val="left" w:pos="4140"/>
        </w:tabs>
        <w:autoSpaceDE w:val="0"/>
        <w:autoSpaceDN w:val="0"/>
        <w:adjustRightInd w:val="0"/>
        <w:snapToGrid w:val="0"/>
        <w:spacing w:before="0" w:beforeAutospacing="1" w:after="200" w:afterAutospacing="0" w:line="360" w:lineRule="auto"/>
        <w:ind w:left="0" w:right="0"/>
        <w:jc w:val="left"/>
        <w:rPr>
          <w:rFonts w:hint="eastAsia" w:ascii="宋体" w:hAnsi="宋体" w:eastAsia="宋体" w:cs="宋体"/>
          <w:b/>
          <w:bCs w:val="0"/>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甲方</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宋体"/>
          <w:b/>
          <w:bCs w:val="0"/>
          <w:color w:val="auto"/>
          <w:kern w:val="2"/>
          <w:sz w:val="21"/>
          <w:szCs w:val="21"/>
          <w:highlight w:val="none"/>
          <w:u w:val="single"/>
          <w:lang w:val="en-US" w:eastAsia="zh-CN" w:bidi="ar"/>
        </w:rPr>
        <w:t>武汉理工大学</w:t>
      </w:r>
      <w:r>
        <w:rPr>
          <w:rStyle w:val="83"/>
          <w:rFonts w:hint="eastAsia" w:ascii="宋体" w:hAnsi="宋体" w:eastAsia="宋体" w:cs="宋体"/>
          <w:b/>
          <w:bCs w:val="0"/>
          <w:color w:val="auto"/>
          <w:kern w:val="0"/>
          <w:sz w:val="21"/>
          <w:szCs w:val="21"/>
          <w:highlight w:val="none"/>
          <w:lang w:val="en-US" w:eastAsia="zh-CN" w:bidi="ar"/>
        </w:rPr>
        <w:t xml:space="preserve">                        </w:t>
      </w:r>
      <w:r>
        <w:rPr>
          <w:rFonts w:hint="eastAsia" w:ascii="宋体" w:hAnsi="宋体" w:eastAsia="宋体" w:cs="宋体"/>
          <w:b/>
          <w:bCs/>
          <w:color w:val="auto"/>
          <w:kern w:val="2"/>
          <w:sz w:val="21"/>
          <w:szCs w:val="21"/>
          <w:highlight w:val="none"/>
          <w:lang w:val="en-US" w:eastAsia="zh-CN" w:bidi="ar"/>
        </w:rPr>
        <w:t>乙方</w:t>
      </w:r>
      <w:r>
        <w:rPr>
          <w:rFonts w:hint="eastAsia" w:ascii="宋体" w:hAnsi="宋体" w:eastAsia="宋体" w:cs="宋体"/>
          <w:color w:val="auto"/>
          <w:kern w:val="2"/>
          <w:sz w:val="21"/>
          <w:szCs w:val="21"/>
          <w:highlight w:val="none"/>
          <w:lang w:val="en-US" w:eastAsia="zh-CN" w:bidi="ar"/>
        </w:rPr>
        <w:t>：</w:t>
      </w:r>
    </w:p>
    <w:p w14:paraId="586ACE5F">
      <w:pPr>
        <w:keepNext w:val="0"/>
        <w:keepLines w:val="0"/>
        <w:widowControl w:val="0"/>
        <w:suppressLineNumbers w:val="0"/>
        <w:adjustRightInd w:val="0"/>
        <w:snapToGrid w:val="0"/>
        <w:spacing w:before="0" w:beforeAutospacing="0" w:after="0" w:afterAutospacing="0" w:line="360" w:lineRule="auto"/>
        <w:ind w:left="0" w:right="0" w:firstLine="945" w:firstLineChars="45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（盖章）                            （盖章）</w:t>
      </w:r>
    </w:p>
    <w:p w14:paraId="777BA673">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授权代表</w:t>
      </w:r>
      <w:r>
        <w:rPr>
          <w:rFonts w:hint="eastAsia" w:ascii="宋体" w:hAnsi="宋体" w:eastAsia="宋体" w:cs="宋体"/>
          <w:color w:val="auto"/>
          <w:kern w:val="2"/>
          <w:sz w:val="21"/>
          <w:szCs w:val="21"/>
          <w:highlight w:val="none"/>
          <w:lang w:val="en-US" w:eastAsia="zh-CN" w:bidi="ar"/>
        </w:rPr>
        <w:t xml:space="preserve">（签字）：                         </w:t>
      </w:r>
      <w:r>
        <w:rPr>
          <w:rFonts w:hint="eastAsia" w:ascii="宋体" w:hAnsi="宋体" w:eastAsia="宋体" w:cs="宋体"/>
          <w:b/>
          <w:bCs w:val="0"/>
          <w:color w:val="auto"/>
          <w:kern w:val="2"/>
          <w:sz w:val="21"/>
          <w:szCs w:val="21"/>
          <w:highlight w:val="none"/>
          <w:lang w:val="en-US" w:eastAsia="zh-CN" w:bidi="ar"/>
        </w:rPr>
        <w:t>授权</w:t>
      </w:r>
      <w:r>
        <w:rPr>
          <w:rFonts w:hint="eastAsia" w:ascii="宋体" w:hAnsi="宋体" w:eastAsia="宋体" w:cs="宋体"/>
          <w:b/>
          <w:bCs/>
          <w:color w:val="auto"/>
          <w:kern w:val="2"/>
          <w:sz w:val="21"/>
          <w:szCs w:val="21"/>
          <w:highlight w:val="none"/>
          <w:lang w:val="en-US" w:eastAsia="zh-CN" w:bidi="ar"/>
        </w:rPr>
        <w:t>代表</w:t>
      </w:r>
      <w:r>
        <w:rPr>
          <w:rFonts w:hint="eastAsia" w:ascii="宋体" w:hAnsi="宋体" w:eastAsia="宋体" w:cs="宋体"/>
          <w:color w:val="auto"/>
          <w:kern w:val="2"/>
          <w:sz w:val="21"/>
          <w:szCs w:val="21"/>
          <w:highlight w:val="none"/>
          <w:lang w:val="en-US" w:eastAsia="zh-CN" w:bidi="ar"/>
        </w:rPr>
        <w:t>（签字）：</w:t>
      </w:r>
    </w:p>
    <w:p w14:paraId="04D4C84B">
      <w:pPr>
        <w:pStyle w:val="20"/>
        <w:keepNext w:val="0"/>
        <w:keepLines w:val="0"/>
        <w:widowControl w:val="0"/>
        <w:suppressLineNumbers w:val="0"/>
        <w:autoSpaceDE w:val="0"/>
        <w:autoSpaceDN w:val="0"/>
        <w:adjustRightInd w:val="0"/>
        <w:snapToGrid w:val="0"/>
        <w:spacing w:before="0" w:beforeAutospacing="1" w:after="200" w:afterAutospacing="0" w:line="36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地址：武汉市洪山区珞狮路122号             地址：</w:t>
      </w:r>
    </w:p>
    <w:p w14:paraId="1187C6FD">
      <w:pPr>
        <w:keepNext w:val="0"/>
        <w:keepLines w:val="0"/>
        <w:widowControl w:val="0"/>
        <w:suppressLineNumbers w:val="0"/>
        <w:adjustRightInd w:val="0"/>
        <w:snapToGrid w:val="0"/>
        <w:spacing w:before="0" w:beforeAutospacing="0" w:after="0" w:afterAutospacing="0" w:line="360" w:lineRule="auto"/>
        <w:ind w:left="5040" w:right="0" w:hanging="5040" w:hangingChars="24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开户行：工行洪山支行                       开户行：</w:t>
      </w:r>
    </w:p>
    <w:p w14:paraId="6D5541AA">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账号：3202 0067 0900 0475 962              账  号：</w:t>
      </w:r>
    </w:p>
    <w:p w14:paraId="29E06466">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电话：027-*******                          电  话：</w:t>
      </w:r>
    </w:p>
    <w:p w14:paraId="67E88A3F">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传真：027-*******                          传  真：</w:t>
      </w:r>
    </w:p>
    <w:p w14:paraId="6C97FCC7">
      <w:pPr>
        <w:adjustRightInd w:val="0"/>
        <w:snapToGrid w:val="0"/>
        <w:spacing w:line="360" w:lineRule="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2"/>
          <w:sz w:val="21"/>
          <w:szCs w:val="21"/>
          <w:highlight w:val="none"/>
        </w:rPr>
        <w:t>年   月   日                              年   月   日</w:t>
      </w:r>
    </w:p>
    <w:p w14:paraId="792D524B">
      <w:pPr>
        <w:pageBreakBefore w:val="0"/>
        <w:widowControl w:val="0"/>
        <w:kinsoku/>
        <w:wordWrap w:val="0"/>
        <w:overflowPunct/>
        <w:bidi w:val="0"/>
        <w:rPr>
          <w:rFonts w:hint="eastAsia" w:ascii="宋体" w:hAnsi="宋体" w:eastAsia="宋体" w:cs="宋体"/>
          <w:b/>
          <w:color w:val="auto"/>
          <w:sz w:val="72"/>
          <w:szCs w:val="52"/>
          <w:highlight w:val="none"/>
        </w:rPr>
      </w:pPr>
      <w:r>
        <w:rPr>
          <w:rFonts w:hint="eastAsia" w:ascii="宋体" w:hAnsi="宋体" w:eastAsia="宋体" w:cs="宋体"/>
          <w:color w:val="auto"/>
          <w:kern w:val="0"/>
          <w:szCs w:val="21"/>
          <w:highlight w:val="none"/>
        </w:rPr>
        <w:br w:type="page"/>
      </w:r>
    </w:p>
    <w:p w14:paraId="3BDE4E68">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bookmarkStart w:id="95" w:name="_Toc494702264"/>
      <w:bookmarkStart w:id="96" w:name="_Toc494745311"/>
      <w:bookmarkStart w:id="97" w:name="_Toc494665944"/>
      <w:bookmarkStart w:id="98" w:name="_Toc494721094"/>
      <w:bookmarkStart w:id="99" w:name="_Toc494664994"/>
      <w:bookmarkStart w:id="100" w:name="_Toc494665547"/>
    </w:p>
    <w:p w14:paraId="7A6C9D6D">
      <w:pPr>
        <w:pageBreakBefore w:val="0"/>
        <w:widowControl w:val="0"/>
        <w:kinsoku/>
        <w:wordWrap w:val="0"/>
        <w:overflowPunct/>
        <w:bidi w:val="0"/>
        <w:spacing w:line="276" w:lineRule="auto"/>
        <w:jc w:val="center"/>
        <w:outlineLvl w:val="0"/>
        <w:rPr>
          <w:rFonts w:hint="eastAsia" w:ascii="宋体" w:hAnsi="宋体" w:eastAsia="宋体" w:cs="宋体"/>
          <w:color w:val="auto"/>
          <w:sz w:val="28"/>
          <w:szCs w:val="28"/>
          <w:highlight w:val="none"/>
        </w:rPr>
      </w:pPr>
      <w:bookmarkStart w:id="101" w:name="_Toc3277"/>
      <w:r>
        <w:rPr>
          <w:rFonts w:hint="eastAsia" w:ascii="宋体" w:hAnsi="宋体" w:eastAsia="宋体" w:cs="宋体"/>
          <w:color w:val="auto"/>
          <w:sz w:val="28"/>
          <w:szCs w:val="28"/>
          <w:highlight w:val="none"/>
        </w:rPr>
        <w:t>第七章投标文件格式</w:t>
      </w:r>
      <w:bookmarkEnd w:id="95"/>
      <w:bookmarkEnd w:id="96"/>
      <w:bookmarkEnd w:id="97"/>
      <w:bookmarkEnd w:id="98"/>
      <w:bookmarkEnd w:id="99"/>
      <w:bookmarkEnd w:id="100"/>
      <w:bookmarkEnd w:id="101"/>
    </w:p>
    <w:p w14:paraId="57774D09">
      <w:pPr>
        <w:pageBreakBefore w:val="0"/>
        <w:widowControl w:val="0"/>
        <w:kinsoku/>
        <w:wordWrap w:val="0"/>
        <w:overflowPunct/>
        <w:bidi w:val="0"/>
        <w:spacing w:after="780" w:afterLines="250" w:line="276" w:lineRule="auto"/>
        <w:jc w:val="center"/>
        <w:rPr>
          <w:rFonts w:hint="eastAsia" w:ascii="宋体" w:hAnsi="宋体" w:eastAsia="宋体" w:cs="宋体"/>
          <w:b/>
          <w:color w:val="auto"/>
          <w:sz w:val="72"/>
          <w:szCs w:val="72"/>
          <w:highlight w:val="none"/>
        </w:rPr>
      </w:pPr>
    </w:p>
    <w:p w14:paraId="20B1311C">
      <w:pPr>
        <w:pageBreakBefore w:val="0"/>
        <w:widowControl w:val="0"/>
        <w:kinsoku/>
        <w:wordWrap w:val="0"/>
        <w:overflowPunct/>
        <w:bidi w:val="0"/>
        <w:spacing w:after="780" w:afterLines="250" w:line="276"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政府采购项目</w:t>
      </w:r>
    </w:p>
    <w:p w14:paraId="441417C9">
      <w:pPr>
        <w:pageBreakBefore w:val="0"/>
        <w:widowControl w:val="0"/>
        <w:kinsoku/>
        <w:wordWrap w:val="0"/>
        <w:overflowPunct/>
        <w:bidi w:val="0"/>
        <w:spacing w:after="624" w:afterLines="200" w:line="276"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投标文件</w:t>
      </w:r>
    </w:p>
    <w:p w14:paraId="2C773F58">
      <w:pPr>
        <w:pageBreakBefore w:val="0"/>
        <w:widowControl w:val="0"/>
        <w:kinsoku/>
        <w:wordWrap w:val="0"/>
        <w:overflowPunct/>
        <w:bidi w:val="0"/>
        <w:rPr>
          <w:rFonts w:hint="eastAsia" w:ascii="宋体" w:hAnsi="宋体" w:eastAsia="宋体" w:cs="宋体"/>
          <w:color w:val="auto"/>
          <w:szCs w:val="24"/>
          <w:highlight w:val="none"/>
          <w:lang w:val="zh-CN"/>
        </w:rPr>
      </w:pPr>
    </w:p>
    <w:p w14:paraId="6462265B">
      <w:pPr>
        <w:pageBreakBefore w:val="0"/>
        <w:widowControl w:val="0"/>
        <w:kinsoku/>
        <w:wordWrap w:val="0"/>
        <w:overflowPunct/>
        <w:bidi w:val="0"/>
        <w:spacing w:line="276" w:lineRule="auto"/>
        <w:ind w:left="1967" w:leftChars="619" w:right="1299" w:rightChars="619" w:hanging="668" w:hangingChars="209"/>
        <w:rPr>
          <w:rFonts w:hint="eastAsia" w:ascii="宋体" w:hAnsi="宋体" w:eastAsia="宋体" w:cs="宋体"/>
          <w:bCs/>
          <w:color w:val="auto"/>
          <w:sz w:val="32"/>
          <w:szCs w:val="32"/>
          <w:highlight w:val="none"/>
          <w:lang w:eastAsia="zh-CN"/>
        </w:rPr>
      </w:pPr>
      <w:r>
        <w:rPr>
          <w:rFonts w:hint="eastAsia" w:ascii="宋体" w:hAnsi="宋体" w:eastAsia="宋体" w:cs="宋体"/>
          <w:b/>
          <w:bCs/>
          <w:color w:val="auto"/>
          <w:sz w:val="32"/>
          <w:szCs w:val="32"/>
          <w:highlight w:val="none"/>
        </w:rPr>
        <w:t>项目编号：</w:t>
      </w:r>
    </w:p>
    <w:p w14:paraId="62BD7A5C">
      <w:pPr>
        <w:pageBreakBefore w:val="0"/>
        <w:widowControl w:val="0"/>
        <w:kinsoku/>
        <w:wordWrap w:val="0"/>
        <w:overflowPunct/>
        <w:bidi w:val="0"/>
        <w:spacing w:line="276" w:lineRule="auto"/>
        <w:ind w:left="1967" w:leftChars="619" w:right="1299" w:rightChars="619" w:hanging="668" w:hangingChars="20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项目名称：</w:t>
      </w:r>
    </w:p>
    <w:p w14:paraId="42B02DE5">
      <w:pPr>
        <w:pageBreakBefore w:val="0"/>
        <w:widowControl w:val="0"/>
        <w:kinsoku/>
        <w:wordWrap w:val="0"/>
        <w:overflowPunct/>
        <w:bidi w:val="0"/>
        <w:spacing w:line="276" w:lineRule="auto"/>
        <w:ind w:left="1967" w:leftChars="619" w:right="1299" w:rightChars="619" w:hanging="668" w:hangingChars="209"/>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项目包号：</w:t>
      </w:r>
    </w:p>
    <w:p w14:paraId="5CC6CA83">
      <w:pPr>
        <w:pageBreakBefore w:val="0"/>
        <w:widowControl w:val="0"/>
        <w:kinsoku/>
        <w:wordWrap w:val="0"/>
        <w:overflowPunct/>
        <w:bidi w:val="0"/>
        <w:spacing w:after="1560" w:afterLines="500" w:line="276" w:lineRule="auto"/>
        <w:ind w:left="1606" w:leftChars="271" w:right="569" w:rightChars="271" w:hanging="1037" w:hangingChars="494"/>
        <w:jc w:val="center"/>
        <w:rPr>
          <w:rFonts w:hint="eastAsia" w:ascii="宋体" w:hAnsi="宋体" w:eastAsia="宋体" w:cs="宋体"/>
          <w:color w:val="auto"/>
          <w:szCs w:val="21"/>
          <w:highlight w:val="none"/>
        </w:rPr>
      </w:pPr>
    </w:p>
    <w:p w14:paraId="760CC4EB">
      <w:pPr>
        <w:pageBreakBefore w:val="0"/>
        <w:widowControl w:val="0"/>
        <w:kinsoku/>
        <w:wordWrap w:val="0"/>
        <w:overflowPunct/>
        <w:bidi w:val="0"/>
        <w:spacing w:line="276" w:lineRule="auto"/>
        <w:ind w:left="1971" w:leftChars="613" w:right="1287" w:rightChars="613" w:hanging="684" w:hangingChars="21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投标人（公章）：</w:t>
      </w:r>
    </w:p>
    <w:p w14:paraId="5B5A078D">
      <w:pPr>
        <w:pageBreakBefore w:val="0"/>
        <w:widowControl w:val="0"/>
        <w:kinsoku/>
        <w:wordWrap w:val="0"/>
        <w:overflowPunct/>
        <w:bidi w:val="0"/>
        <w:spacing w:line="276" w:lineRule="auto"/>
        <w:ind w:left="1971" w:leftChars="613" w:right="1287" w:rightChars="613" w:hanging="684" w:hangingChars="214"/>
        <w:rPr>
          <w:rFonts w:hint="eastAsia" w:ascii="宋体" w:hAnsi="宋体" w:eastAsia="宋体" w:cs="宋体"/>
          <w:b/>
          <w:bCs/>
          <w:color w:val="auto"/>
          <w:sz w:val="32"/>
          <w:szCs w:val="32"/>
          <w:highlight w:val="none"/>
        </w:rPr>
      </w:pPr>
    </w:p>
    <w:p w14:paraId="5A00ADD6">
      <w:pPr>
        <w:pageBreakBefore w:val="0"/>
        <w:widowControl w:val="0"/>
        <w:kinsoku/>
        <w:wordWrap w:val="0"/>
        <w:overflowPunct/>
        <w:bidi w:val="0"/>
        <w:spacing w:before="312" w:beforeLines="100" w:after="312" w:afterLines="100" w:line="276" w:lineRule="auto"/>
        <w:ind w:left="2540" w:leftChars="466" w:right="466" w:hanging="1562" w:hangingChars="355"/>
        <w:jc w:val="center"/>
        <w:rPr>
          <w:rFonts w:hint="eastAsia" w:ascii="宋体" w:hAnsi="宋体" w:eastAsia="宋体" w:cs="宋体"/>
          <w:b/>
          <w:bCs/>
          <w:color w:val="auto"/>
          <w:sz w:val="44"/>
          <w:szCs w:val="44"/>
          <w:highlight w:val="none"/>
        </w:rPr>
      </w:pPr>
    </w:p>
    <w:p w14:paraId="4EA4554B">
      <w:pPr>
        <w:pageBreakBefore w:val="0"/>
        <w:widowControl w:val="0"/>
        <w:kinsoku/>
        <w:wordWrap w:val="0"/>
        <w:overflowPunct/>
        <w:bidi w:val="0"/>
        <w:spacing w:line="276" w:lineRule="auto"/>
        <w:jc w:val="center"/>
        <w:rPr>
          <w:rFonts w:hint="eastAsia" w:ascii="宋体" w:hAnsi="宋体" w:eastAsia="宋体" w:cs="宋体"/>
          <w:b/>
          <w:color w:val="auto"/>
          <w:sz w:val="44"/>
          <w:szCs w:val="44"/>
          <w:highlight w:val="none"/>
        </w:rPr>
      </w:pPr>
      <w:r>
        <w:rPr>
          <w:rFonts w:hint="eastAsia" w:ascii="宋体" w:hAnsi="宋体" w:eastAsia="宋体" w:cs="宋体"/>
          <w:b/>
          <w:bCs/>
          <w:color w:val="auto"/>
          <w:sz w:val="44"/>
          <w:szCs w:val="44"/>
          <w:highlight w:val="none"/>
        </w:rPr>
        <w:t>年</w:t>
      </w:r>
      <w:r>
        <w:rPr>
          <w:rFonts w:hint="eastAsia" w:ascii="宋体" w:hAnsi="宋体" w:eastAsia="宋体" w:cs="宋体"/>
          <w:b/>
          <w:color w:val="auto"/>
          <w:sz w:val="44"/>
          <w:szCs w:val="44"/>
          <w:highlight w:val="none"/>
        </w:rPr>
        <w:t>月日</w:t>
      </w:r>
    </w:p>
    <w:p w14:paraId="510FC7C7">
      <w:pPr>
        <w:pageBreakBefore w:val="0"/>
        <w:widowControl w:val="0"/>
        <w:kinsoku/>
        <w:wordWrap w:val="0"/>
        <w:overflowPunct/>
        <w:bidi w:val="0"/>
        <w:spacing w:line="276" w:lineRule="auto"/>
        <w:jc w:val="center"/>
        <w:outlineLvl w:val="2"/>
        <w:rPr>
          <w:rFonts w:hint="eastAsia" w:ascii="宋体" w:hAnsi="宋体" w:eastAsia="宋体" w:cs="宋体"/>
          <w:color w:val="auto"/>
          <w:szCs w:val="21"/>
          <w:highlight w:val="none"/>
        </w:rPr>
      </w:pPr>
      <w:r>
        <w:rPr>
          <w:rFonts w:hint="eastAsia" w:ascii="宋体" w:hAnsi="宋体" w:eastAsia="宋体" w:cs="宋体"/>
          <w:b/>
          <w:color w:val="auto"/>
          <w:sz w:val="44"/>
          <w:szCs w:val="44"/>
          <w:highlight w:val="none"/>
        </w:rPr>
        <w:br w:type="page"/>
      </w:r>
      <w:r>
        <w:rPr>
          <w:rFonts w:hint="eastAsia" w:ascii="宋体" w:hAnsi="宋体" w:eastAsia="宋体" w:cs="宋体"/>
          <w:color w:val="auto"/>
          <w:szCs w:val="21"/>
          <w:highlight w:val="none"/>
        </w:rPr>
        <w:t>目录</w:t>
      </w:r>
    </w:p>
    <w:p w14:paraId="7BEAABBA">
      <w:pPr>
        <w:pageBreakBefore w:val="0"/>
        <w:widowControl w:val="0"/>
        <w:tabs>
          <w:tab w:val="left" w:pos="709"/>
        </w:tabs>
        <w:kinsoku/>
        <w:wordWrap w:val="0"/>
        <w:overflowPunct/>
        <w:bidi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资格审查对照表</w:t>
      </w:r>
    </w:p>
    <w:p w14:paraId="78804B35">
      <w:pPr>
        <w:pageBreakBefore w:val="0"/>
        <w:widowControl w:val="0"/>
        <w:tabs>
          <w:tab w:val="left" w:pos="709"/>
        </w:tabs>
        <w:kinsoku/>
        <w:wordWrap w:val="0"/>
        <w:overflowPunct/>
        <w:bidi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符合性审查对照表</w:t>
      </w:r>
    </w:p>
    <w:p w14:paraId="7E8738B9">
      <w:pPr>
        <w:pageBreakBefore w:val="0"/>
        <w:widowControl w:val="0"/>
        <w:tabs>
          <w:tab w:val="left" w:pos="709"/>
        </w:tabs>
        <w:kinsoku/>
        <w:wordWrap w:val="0"/>
        <w:overflowPunct/>
        <w:bidi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技术、服务及商务评议对照表</w:t>
      </w:r>
    </w:p>
    <w:p w14:paraId="4523E126">
      <w:pPr>
        <w:pageBreakBefore w:val="0"/>
        <w:widowControl w:val="0"/>
        <w:tabs>
          <w:tab w:val="left" w:pos="1134"/>
        </w:tabs>
        <w:kinsoku/>
        <w:wordWrap w:val="0"/>
        <w:overflowPunct/>
        <w:bidi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技术、服务及商务要求响应、偏离说明表</w:t>
      </w:r>
    </w:p>
    <w:p w14:paraId="5C6CB104">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投标书</w:t>
      </w:r>
    </w:p>
    <w:p w14:paraId="75C0F25F">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报价一览表</w:t>
      </w:r>
    </w:p>
    <w:p w14:paraId="318D3722">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报价明细表</w:t>
      </w:r>
    </w:p>
    <w:p w14:paraId="686BABF3">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报价范围以外的备品备件、耗材/服务价格表</w:t>
      </w:r>
      <w:r>
        <w:rPr>
          <w:rFonts w:hint="eastAsia" w:ascii="宋体" w:hAnsi="宋体" w:eastAsia="宋体" w:cs="宋体"/>
          <w:b/>
          <w:color w:val="auto"/>
          <w:szCs w:val="21"/>
          <w:highlight w:val="none"/>
        </w:rPr>
        <w:t>（如有）</w:t>
      </w:r>
    </w:p>
    <w:p w14:paraId="5889654C">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交纳投标保证金的银行凭证</w:t>
      </w:r>
      <w:r>
        <w:rPr>
          <w:rFonts w:hint="eastAsia" w:ascii="宋体" w:hAnsi="宋体" w:eastAsia="宋体" w:cs="宋体"/>
          <w:b/>
          <w:color w:val="auto"/>
          <w:szCs w:val="21"/>
          <w:highlight w:val="none"/>
        </w:rPr>
        <w:t>（如需）</w:t>
      </w:r>
    </w:p>
    <w:p w14:paraId="5963C0CF">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法定代表人身份证明书</w:t>
      </w:r>
    </w:p>
    <w:p w14:paraId="60781C6D">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法定代表人授权委托书</w:t>
      </w:r>
    </w:p>
    <w:p w14:paraId="4217FF72">
      <w:pPr>
        <w:pageBreakBefore w:val="0"/>
        <w:widowControl w:val="0"/>
        <w:numPr>
          <w:ilvl w:val="0"/>
          <w:numId w:val="54"/>
        </w:numPr>
        <w:tabs>
          <w:tab w:val="left" w:pos="709"/>
        </w:tabs>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资格证明材料</w:t>
      </w:r>
    </w:p>
    <w:p w14:paraId="316172F3">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节能环保产品清单及证明材料</w:t>
      </w:r>
      <w:r>
        <w:rPr>
          <w:rFonts w:hint="eastAsia" w:ascii="宋体" w:hAnsi="宋体" w:eastAsia="宋体" w:cs="宋体"/>
          <w:b/>
          <w:color w:val="auto"/>
          <w:szCs w:val="21"/>
          <w:highlight w:val="none"/>
        </w:rPr>
        <w:t>（如需）</w:t>
      </w:r>
    </w:p>
    <w:p w14:paraId="6C5E02A8">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制造厂家授权书/售后服务承诺函</w:t>
      </w:r>
      <w:r>
        <w:rPr>
          <w:rFonts w:hint="eastAsia" w:ascii="宋体" w:hAnsi="宋体" w:eastAsia="宋体" w:cs="宋体"/>
          <w:b/>
          <w:color w:val="auto"/>
          <w:szCs w:val="21"/>
          <w:highlight w:val="none"/>
        </w:rPr>
        <w:t>（如需）</w:t>
      </w:r>
    </w:p>
    <w:p w14:paraId="1A4D4D30">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项目负责人、技术负责人简历表及证明材料</w:t>
      </w:r>
      <w:r>
        <w:rPr>
          <w:rFonts w:hint="eastAsia" w:ascii="宋体" w:hAnsi="宋体" w:eastAsia="宋体" w:cs="宋体"/>
          <w:b/>
          <w:color w:val="auto"/>
          <w:szCs w:val="21"/>
          <w:highlight w:val="none"/>
        </w:rPr>
        <w:t>（如需）</w:t>
      </w:r>
    </w:p>
    <w:p w14:paraId="303275DE">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项目组成员一览表及证明材料</w:t>
      </w:r>
      <w:r>
        <w:rPr>
          <w:rFonts w:hint="eastAsia" w:ascii="宋体" w:hAnsi="宋体" w:eastAsia="宋体" w:cs="宋体"/>
          <w:b/>
          <w:color w:val="auto"/>
          <w:szCs w:val="21"/>
          <w:highlight w:val="none"/>
        </w:rPr>
        <w:t>（如需）</w:t>
      </w:r>
    </w:p>
    <w:p w14:paraId="49E0D394">
      <w:pPr>
        <w:pageBreakBefore w:val="0"/>
        <w:widowControl w:val="0"/>
        <w:numPr>
          <w:ilvl w:val="0"/>
          <w:numId w:val="54"/>
        </w:numPr>
        <w:tabs>
          <w:tab w:val="left" w:pos="851"/>
        </w:tabs>
        <w:kinsoku/>
        <w:wordWrap w:val="0"/>
        <w:overflowPunct/>
        <w:bidi w:val="0"/>
        <w:spacing w:line="276" w:lineRule="auto"/>
        <w:ind w:left="709" w:hanging="289"/>
        <w:rPr>
          <w:rFonts w:hint="eastAsia" w:ascii="宋体" w:hAnsi="宋体" w:eastAsia="宋体" w:cs="宋体"/>
          <w:color w:val="auto"/>
          <w:szCs w:val="21"/>
          <w:highlight w:val="none"/>
        </w:rPr>
      </w:pPr>
      <w:r>
        <w:rPr>
          <w:rFonts w:hint="eastAsia" w:ascii="宋体" w:hAnsi="宋体" w:eastAsia="宋体" w:cs="宋体"/>
          <w:color w:val="auto"/>
          <w:szCs w:val="21"/>
          <w:highlight w:val="none"/>
        </w:rPr>
        <w:t>类似项目业绩表及证明材料</w:t>
      </w:r>
      <w:r>
        <w:rPr>
          <w:rFonts w:hint="eastAsia" w:ascii="宋体" w:hAnsi="宋体" w:eastAsia="宋体" w:cs="宋体"/>
          <w:b/>
          <w:color w:val="auto"/>
          <w:szCs w:val="21"/>
          <w:highlight w:val="none"/>
        </w:rPr>
        <w:t>（如需）</w:t>
      </w:r>
    </w:p>
    <w:p w14:paraId="36500858">
      <w:pPr>
        <w:pageBreakBefore w:val="0"/>
        <w:widowControl w:val="0"/>
        <w:numPr>
          <w:ilvl w:val="0"/>
          <w:numId w:val="54"/>
        </w:numPr>
        <w:tabs>
          <w:tab w:val="left" w:pos="1134"/>
        </w:tabs>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技术、服务及商务文件</w:t>
      </w:r>
    </w:p>
    <w:p w14:paraId="27E01722">
      <w:pPr>
        <w:pageBreakBefore w:val="0"/>
        <w:widowControl w:val="0"/>
        <w:tabs>
          <w:tab w:val="left" w:pos="709"/>
        </w:tabs>
        <w:kinsoku/>
        <w:wordWrap w:val="0"/>
        <w:overflowPunct/>
        <w:bidi w:val="0"/>
        <w:spacing w:line="276" w:lineRule="auto"/>
        <w:rPr>
          <w:rFonts w:hint="eastAsia" w:ascii="宋体" w:hAnsi="宋体" w:eastAsia="宋体" w:cs="宋体"/>
          <w:color w:val="auto"/>
          <w:szCs w:val="21"/>
          <w:highlight w:val="none"/>
        </w:rPr>
      </w:pPr>
    </w:p>
    <w:p w14:paraId="3A86E24D">
      <w:pPr>
        <w:pageBreakBefore w:val="0"/>
        <w:widowControl w:val="0"/>
        <w:tabs>
          <w:tab w:val="left" w:pos="709"/>
        </w:tabs>
        <w:kinsoku/>
        <w:wordWrap w:val="0"/>
        <w:overflowPunct/>
        <w:bidi w:val="0"/>
        <w:spacing w:line="276" w:lineRule="auto"/>
        <w:rPr>
          <w:rFonts w:hint="eastAsia" w:ascii="宋体" w:hAnsi="宋体" w:eastAsia="宋体" w:cs="宋体"/>
          <w:color w:val="auto"/>
          <w:szCs w:val="21"/>
          <w:highlight w:val="none"/>
        </w:rPr>
      </w:pPr>
    </w:p>
    <w:p w14:paraId="4A9F5F0F">
      <w:pPr>
        <w:pageBreakBefore w:val="0"/>
        <w:widowControl w:val="0"/>
        <w:tabs>
          <w:tab w:val="left" w:pos="851"/>
        </w:tabs>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2BD24041">
      <w:pPr>
        <w:pageBreakBefore w:val="0"/>
        <w:widowControl w:val="0"/>
        <w:tabs>
          <w:tab w:val="left" w:pos="851"/>
        </w:tabs>
        <w:kinsoku/>
        <w:wordWrap w:val="0"/>
        <w:overflowPunct/>
        <w:bidi w:val="0"/>
        <w:spacing w:line="276" w:lineRule="auto"/>
        <w:ind w:left="210" w:left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1、根据参考格式要求自行编写，应目录清晰、内容详尽、易于理解。</w:t>
      </w:r>
    </w:p>
    <w:p w14:paraId="1C7E9A82">
      <w:pPr>
        <w:pageBreakBefore w:val="0"/>
        <w:widowControl w:val="0"/>
        <w:tabs>
          <w:tab w:val="left" w:pos="851"/>
        </w:tabs>
        <w:kinsoku/>
        <w:wordWrap w:val="0"/>
        <w:overflowPunct/>
        <w:bidi w:val="0"/>
        <w:spacing w:line="276" w:lineRule="auto"/>
        <w:ind w:left="210" w:left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2、未限定格式的由投标人根据实际情况自行编制。</w:t>
      </w:r>
    </w:p>
    <w:p w14:paraId="4FEED6AD">
      <w:pPr>
        <w:pageBreakBefore w:val="0"/>
        <w:widowControl w:val="0"/>
        <w:kinsoku/>
        <w:wordWrap w:val="0"/>
        <w:overflowPunct/>
        <w:bidi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7B1C6225">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资格审查对照表</w:t>
      </w:r>
    </w:p>
    <w:p w14:paraId="7818AFC9">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078EC0B4">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项目编号：</w:t>
      </w:r>
      <w:r>
        <w:rPr>
          <w:rFonts w:hint="eastAsia" w:ascii="宋体" w:hAnsi="宋体" w:cs="宋体"/>
          <w:color w:val="auto"/>
          <w:szCs w:val="21"/>
          <w:highlight w:val="none"/>
          <w:lang w:val="en-US" w:eastAsia="zh-CN"/>
        </w:rPr>
        <w:t xml:space="preserve">  </w:t>
      </w:r>
      <w:r>
        <w:rPr>
          <w:rFonts w:hint="eastAsia" w:ascii="宋体" w:hAnsi="宋体" w:eastAsia="宋体" w:cs="宋体"/>
          <w:bCs/>
          <w:color w:val="auto"/>
          <w:szCs w:val="21"/>
          <w:highlight w:val="none"/>
          <w:lang w:val="zh-CN"/>
        </w:rPr>
        <w:t>项目名称</w:t>
      </w:r>
      <w:r>
        <w:rPr>
          <w:rFonts w:hint="eastAsia" w:ascii="宋体" w:hAnsi="宋体" w:cs="宋体"/>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59C8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96DA8E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2BF0E14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6F81431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29EEF4F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735E86C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对应页码</w:t>
            </w:r>
          </w:p>
        </w:tc>
      </w:tr>
      <w:tr w14:paraId="027C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906801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32863C1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6A66920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6D10C3A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046EA5B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4BDA2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703939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5AF5A53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4ED9B8E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06C4D34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7FDE828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113F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2C5728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0F6D662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19F294B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3765586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1299DCD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171F3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557D61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1F53B1A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6A7E69D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62E3700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485A0D5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745C9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0DC06A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52153A8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517567C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50F3C0B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5DB4010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47917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54EED4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3115BFA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11FC770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3796AC1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45FB86B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529A2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3F106D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0B8EBA0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280DB00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1942C08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64AA95B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bl>
    <w:p w14:paraId="4BE07680">
      <w:pPr>
        <w:pageBreakBefore w:val="0"/>
        <w:widowControl w:val="0"/>
        <w:kinsoku/>
        <w:wordWrap w:val="0"/>
        <w:overflowPunct/>
        <w:bidi w:val="0"/>
        <w:spacing w:line="276" w:lineRule="auto"/>
        <w:ind w:left="955" w:hanging="955" w:hangingChars="455"/>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说明：1．投标人应按招标文件第四章中“资格审查表”逐项说明是否满足要求，如有偏离</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投标人应详细说明。</w:t>
      </w:r>
    </w:p>
    <w:p w14:paraId="78C77226">
      <w:pPr>
        <w:pageBreakBefore w:val="0"/>
        <w:widowControl w:val="0"/>
        <w:kinsoku/>
        <w:wordWrap w:val="0"/>
        <w:overflowPunct/>
        <w:bidi w:val="0"/>
        <w:spacing w:line="276" w:lineRule="auto"/>
        <w:ind w:left="21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2.相关证明材料对应的页码填写到上表“对应页码”中。</w:t>
      </w:r>
    </w:p>
    <w:p w14:paraId="4ED3A984">
      <w:pPr>
        <w:pageBreakBefore w:val="0"/>
        <w:widowControl w:val="0"/>
        <w:kinsoku/>
        <w:wordWrap w:val="0"/>
        <w:overflowPunct/>
        <w:bidi w:val="0"/>
        <w:spacing w:line="276" w:lineRule="auto"/>
        <w:ind w:left="21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highlight w:val="none"/>
        </w:rPr>
        <w:t>未按照要求详细完整填写此表的后果由投标人自行承担</w:t>
      </w:r>
      <w:r>
        <w:rPr>
          <w:rFonts w:hint="eastAsia" w:ascii="宋体" w:hAnsi="宋体" w:eastAsia="宋体" w:cs="宋体"/>
          <w:color w:val="auto"/>
          <w:szCs w:val="21"/>
          <w:highlight w:val="none"/>
        </w:rPr>
        <w:t>。</w:t>
      </w:r>
    </w:p>
    <w:p w14:paraId="4028B09D">
      <w:pPr>
        <w:pageBreakBefore w:val="0"/>
        <w:widowControl w:val="0"/>
        <w:kinsoku/>
        <w:wordWrap w:val="0"/>
        <w:overflowPunct/>
        <w:bidi w:val="0"/>
        <w:spacing w:before="100" w:beforeAutospacing="1" w:after="100" w:afterAutospacing="1" w:line="276" w:lineRule="auto"/>
        <w:ind w:firstLine="3334" w:firstLineChars="1588"/>
        <w:rPr>
          <w:rFonts w:hint="eastAsia" w:ascii="宋体" w:hAnsi="宋体" w:eastAsia="宋体" w:cs="宋体"/>
          <w:b/>
          <w:bCs/>
          <w:color w:val="auto"/>
          <w:szCs w:val="21"/>
          <w:highlight w:val="none"/>
          <w:lang w:val="zh-CN"/>
        </w:rPr>
      </w:pPr>
    </w:p>
    <w:p w14:paraId="203E996B">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4FE956F5">
      <w:pPr>
        <w:pageBreakBefore w:val="0"/>
        <w:widowControl w:val="0"/>
        <w:kinsoku/>
        <w:wordWrap w:val="0"/>
        <w:overflowPunct/>
        <w:bidi w:val="0"/>
        <w:spacing w:line="276" w:lineRule="auto"/>
        <w:ind w:firstLine="2940" w:firstLineChars="1400"/>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年月日</w:t>
      </w:r>
    </w:p>
    <w:p w14:paraId="2E227F0D">
      <w:pPr>
        <w:pageBreakBefore w:val="0"/>
        <w:widowControl w:val="0"/>
        <w:kinsoku/>
        <w:wordWrap w:val="0"/>
        <w:overflowPunct/>
        <w:bidi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14:paraId="7593BF36">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符合性审查对照表</w:t>
      </w:r>
    </w:p>
    <w:p w14:paraId="5446A1B4">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38C8E7A3">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项目编号：</w:t>
      </w:r>
      <w:r>
        <w:rPr>
          <w:rFonts w:hint="eastAsia" w:ascii="宋体" w:hAnsi="宋体" w:eastAsia="宋体" w:cs="宋体"/>
          <w:bCs/>
          <w:color w:val="auto"/>
          <w:szCs w:val="21"/>
          <w:highlight w:val="none"/>
          <w:lang w:val="zh-CN"/>
        </w:rPr>
        <w:t>项目名称</w:t>
      </w:r>
      <w:r>
        <w:rPr>
          <w:rFonts w:hint="eastAsia" w:ascii="宋体" w:hAnsi="宋体" w:cs="宋体"/>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4A55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140E270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2CDC526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36FF6EF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62E023F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偏离说明</w:t>
            </w:r>
          </w:p>
        </w:tc>
      </w:tr>
      <w:tr w14:paraId="3650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2E1589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21B3762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A42969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524D9F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303C0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B1F627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7373700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AD3590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F6C798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4E1A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160B39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48FB390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716B06A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040390F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07ACA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0111E9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5A5A518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5DC4880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182949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38883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96208F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4BC27FE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A27F69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7A353EB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4349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D7352B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5B78D96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119E278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7E9E5C1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7E50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0525D5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67DB758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8031C0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B75E09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bl>
    <w:p w14:paraId="2CAE4338">
      <w:pPr>
        <w:pageBreakBefore w:val="0"/>
        <w:widowControl w:val="0"/>
        <w:kinsoku/>
        <w:wordWrap w:val="0"/>
        <w:overflowPunct/>
        <w:bidi w:val="0"/>
        <w:spacing w:line="276" w:lineRule="auto"/>
        <w:ind w:left="952" w:leftChars="135" w:hanging="669" w:hangingChars="319"/>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说明：投标人应按招标文件第五章中“符合性审查表”逐项说明是否满足要求，如有偏离</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投标人应详细说明。未按照要求详细完整填写此表的后果由投标人自行承担。</w:t>
      </w:r>
    </w:p>
    <w:p w14:paraId="311A64BB">
      <w:pPr>
        <w:pageBreakBefore w:val="0"/>
        <w:widowControl w:val="0"/>
        <w:kinsoku/>
        <w:wordWrap w:val="0"/>
        <w:overflowPunct/>
        <w:bidi w:val="0"/>
        <w:spacing w:line="276" w:lineRule="auto"/>
        <w:ind w:left="1017" w:leftChars="339" w:hanging="306" w:hangingChars="146"/>
        <w:jc w:val="left"/>
        <w:rPr>
          <w:rFonts w:hint="eastAsia" w:ascii="宋体" w:hAnsi="宋体" w:eastAsia="宋体" w:cs="宋体"/>
          <w:b/>
          <w:color w:val="auto"/>
          <w:szCs w:val="21"/>
          <w:highlight w:val="none"/>
        </w:rPr>
      </w:pPr>
    </w:p>
    <w:p w14:paraId="4B4083E8">
      <w:pPr>
        <w:pageBreakBefore w:val="0"/>
        <w:widowControl w:val="0"/>
        <w:kinsoku/>
        <w:wordWrap w:val="0"/>
        <w:overflowPunct/>
        <w:bidi w:val="0"/>
        <w:spacing w:line="276" w:lineRule="auto"/>
        <w:ind w:left="959" w:hanging="955" w:hangingChars="455"/>
        <w:jc w:val="left"/>
        <w:rPr>
          <w:rFonts w:hint="eastAsia" w:ascii="宋体" w:hAnsi="宋体" w:eastAsia="宋体" w:cs="宋体"/>
          <w:b/>
          <w:color w:val="auto"/>
          <w:szCs w:val="21"/>
          <w:highlight w:val="none"/>
        </w:rPr>
      </w:pPr>
    </w:p>
    <w:p w14:paraId="18F12377">
      <w:pPr>
        <w:pageBreakBefore w:val="0"/>
        <w:widowControl w:val="0"/>
        <w:kinsoku/>
        <w:wordWrap w:val="0"/>
        <w:overflowPunct/>
        <w:bidi w:val="0"/>
        <w:spacing w:before="100" w:beforeAutospacing="1" w:after="100" w:afterAutospacing="1" w:line="276" w:lineRule="auto"/>
        <w:ind w:firstLine="3334" w:firstLineChars="1588"/>
        <w:rPr>
          <w:rFonts w:hint="eastAsia" w:ascii="宋体" w:hAnsi="宋体" w:eastAsia="宋体" w:cs="宋体"/>
          <w:b/>
          <w:bCs/>
          <w:color w:val="auto"/>
          <w:szCs w:val="21"/>
          <w:highlight w:val="none"/>
          <w:lang w:val="zh-CN"/>
        </w:rPr>
      </w:pPr>
    </w:p>
    <w:p w14:paraId="3F9DCE82">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11B8D7D7">
      <w:pPr>
        <w:pageBreakBefore w:val="0"/>
        <w:widowControl w:val="0"/>
        <w:kinsoku/>
        <w:wordWrap w:val="0"/>
        <w:overflowPunct/>
        <w:bidi w:val="0"/>
        <w:spacing w:line="276" w:lineRule="auto"/>
        <w:ind w:firstLine="2940" w:firstLineChars="1400"/>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年月日</w:t>
      </w:r>
    </w:p>
    <w:p w14:paraId="2A114D5C">
      <w:pPr>
        <w:pageBreakBefore w:val="0"/>
        <w:widowControl w:val="0"/>
        <w:kinsoku/>
        <w:wordWrap w:val="0"/>
        <w:overflowPunct/>
        <w:bidi w:val="0"/>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14:paraId="14CE9D87">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技术、服务及商务评议对照表</w:t>
      </w:r>
    </w:p>
    <w:p w14:paraId="21E25D8F">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534A48A5">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项目编号：</w:t>
      </w:r>
      <w:r>
        <w:rPr>
          <w:rFonts w:hint="eastAsia" w:ascii="宋体" w:hAnsi="宋体" w:eastAsia="宋体" w:cs="宋体"/>
          <w:bCs/>
          <w:color w:val="auto"/>
          <w:szCs w:val="21"/>
          <w:highlight w:val="none"/>
          <w:lang w:val="zh-CN"/>
        </w:rPr>
        <w:t>项目名称</w:t>
      </w:r>
      <w:r>
        <w:rPr>
          <w:rFonts w:hint="eastAsia" w:ascii="宋体" w:hAnsi="宋体" w:cs="宋体"/>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1CAD0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6837BB0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1F5C6F7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2A29E46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01C61A5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66B0158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对应页码</w:t>
            </w:r>
          </w:p>
        </w:tc>
      </w:tr>
      <w:tr w14:paraId="308E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0A043D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767" w:type="dxa"/>
            <w:tcBorders>
              <w:top w:val="single" w:color="auto" w:sz="4" w:space="0"/>
              <w:left w:val="single" w:color="auto" w:sz="4" w:space="0"/>
              <w:bottom w:val="single" w:color="auto" w:sz="4" w:space="0"/>
              <w:right w:val="single" w:color="auto" w:sz="4" w:space="0"/>
            </w:tcBorders>
            <w:vAlign w:val="center"/>
          </w:tcPr>
          <w:p w14:paraId="3D26B57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3C78115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7BABA71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0E688AA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219F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0CA31D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767" w:type="dxa"/>
            <w:tcBorders>
              <w:top w:val="single" w:color="auto" w:sz="4" w:space="0"/>
              <w:left w:val="single" w:color="auto" w:sz="4" w:space="0"/>
              <w:bottom w:val="single" w:color="auto" w:sz="4" w:space="0"/>
              <w:right w:val="single" w:color="auto" w:sz="4" w:space="0"/>
            </w:tcBorders>
            <w:vAlign w:val="center"/>
          </w:tcPr>
          <w:p w14:paraId="6251A13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2710471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4C3CFA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7850698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25C05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07DFEB5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767" w:type="dxa"/>
            <w:tcBorders>
              <w:top w:val="single" w:color="auto" w:sz="4" w:space="0"/>
              <w:left w:val="single" w:color="auto" w:sz="4" w:space="0"/>
              <w:bottom w:val="single" w:color="auto" w:sz="4" w:space="0"/>
              <w:right w:val="single" w:color="auto" w:sz="4" w:space="0"/>
            </w:tcBorders>
            <w:vAlign w:val="center"/>
          </w:tcPr>
          <w:p w14:paraId="3AFB239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4B07735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67C7132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4474872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21B0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5EFFE6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767" w:type="dxa"/>
            <w:tcBorders>
              <w:top w:val="single" w:color="auto" w:sz="4" w:space="0"/>
              <w:left w:val="single" w:color="auto" w:sz="4" w:space="0"/>
              <w:bottom w:val="single" w:color="auto" w:sz="4" w:space="0"/>
              <w:right w:val="single" w:color="auto" w:sz="4" w:space="0"/>
            </w:tcBorders>
            <w:vAlign w:val="center"/>
          </w:tcPr>
          <w:p w14:paraId="7811C98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7C231FD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28CA9D1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7F35F48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79EC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13FDC7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767" w:type="dxa"/>
            <w:tcBorders>
              <w:top w:val="single" w:color="auto" w:sz="4" w:space="0"/>
              <w:left w:val="single" w:color="auto" w:sz="4" w:space="0"/>
              <w:bottom w:val="single" w:color="auto" w:sz="4" w:space="0"/>
              <w:right w:val="single" w:color="auto" w:sz="4" w:space="0"/>
            </w:tcBorders>
            <w:vAlign w:val="center"/>
          </w:tcPr>
          <w:p w14:paraId="48603CA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7275755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1157F5B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1DDBEAA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08D8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2D32BCC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767" w:type="dxa"/>
            <w:tcBorders>
              <w:top w:val="single" w:color="auto" w:sz="4" w:space="0"/>
              <w:left w:val="single" w:color="auto" w:sz="4" w:space="0"/>
              <w:bottom w:val="single" w:color="auto" w:sz="4" w:space="0"/>
              <w:right w:val="single" w:color="auto" w:sz="4" w:space="0"/>
            </w:tcBorders>
            <w:vAlign w:val="center"/>
          </w:tcPr>
          <w:p w14:paraId="39973CF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57B95D7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71A0186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38128AF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32CB2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9BFFF2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767" w:type="dxa"/>
            <w:tcBorders>
              <w:top w:val="single" w:color="auto" w:sz="4" w:space="0"/>
              <w:left w:val="single" w:color="auto" w:sz="4" w:space="0"/>
              <w:bottom w:val="single" w:color="auto" w:sz="4" w:space="0"/>
              <w:right w:val="single" w:color="auto" w:sz="4" w:space="0"/>
            </w:tcBorders>
            <w:vAlign w:val="center"/>
          </w:tcPr>
          <w:p w14:paraId="7E561CF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4A207D0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18AF284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29E072D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bl>
    <w:p w14:paraId="1D01C8B0">
      <w:pPr>
        <w:pageBreakBefore w:val="0"/>
        <w:widowControl w:val="0"/>
        <w:kinsoku/>
        <w:wordWrap w:val="0"/>
        <w:overflowPunct/>
        <w:bidi w:val="0"/>
        <w:spacing w:line="276" w:lineRule="auto"/>
        <w:ind w:left="955" w:hanging="955" w:hangingChars="45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说明：1．投标人应按招标文件第五章中“评审因素及评分标准”条款逐项说明是否满足要求，如有偏离</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投标人应详细说明。未按照要求填写此表或仅注明“符合”、“满足”的，导致的后果由投标人自行承担。</w:t>
      </w:r>
    </w:p>
    <w:p w14:paraId="48DE094C">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2.相关证明材料对应的页码填写到上表“对应页码”中。</w:t>
      </w:r>
    </w:p>
    <w:p w14:paraId="4CFA6839">
      <w:pPr>
        <w:pageBreakBefore w:val="0"/>
        <w:widowControl w:val="0"/>
        <w:kinsoku/>
        <w:wordWrap w:val="0"/>
        <w:overflowPunct/>
        <w:bidi w:val="0"/>
        <w:adjustRightInd w:val="0"/>
        <w:snapToGrid w:val="0"/>
        <w:spacing w:line="276" w:lineRule="auto"/>
        <w:ind w:left="751" w:leftChars="258" w:hanging="210" w:hangingChars="100"/>
        <w:rPr>
          <w:rFonts w:hint="eastAsia" w:ascii="宋体" w:hAnsi="宋体" w:eastAsia="宋体" w:cs="宋体"/>
          <w:color w:val="auto"/>
          <w:szCs w:val="21"/>
          <w:highlight w:val="none"/>
        </w:rPr>
      </w:pPr>
    </w:p>
    <w:p w14:paraId="0997045E">
      <w:pPr>
        <w:pageBreakBefore w:val="0"/>
        <w:widowControl w:val="0"/>
        <w:kinsoku/>
        <w:wordWrap w:val="0"/>
        <w:overflowPunct/>
        <w:bidi w:val="0"/>
        <w:adjustRightInd w:val="0"/>
        <w:snapToGrid w:val="0"/>
        <w:spacing w:line="276" w:lineRule="auto"/>
        <w:ind w:left="751" w:leftChars="258" w:hanging="210" w:hangingChars="100"/>
        <w:rPr>
          <w:rFonts w:hint="eastAsia" w:ascii="宋体" w:hAnsi="宋体" w:eastAsia="宋体" w:cs="宋体"/>
          <w:color w:val="auto"/>
          <w:szCs w:val="21"/>
          <w:highlight w:val="none"/>
        </w:rPr>
      </w:pPr>
    </w:p>
    <w:p w14:paraId="1F76F405">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41CA3871">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年月日</w:t>
      </w:r>
    </w:p>
    <w:p w14:paraId="0A007B60">
      <w:pPr>
        <w:pageBreakBefore w:val="0"/>
        <w:widowControl w:val="0"/>
        <w:kinsoku/>
        <w:wordWrap w:val="0"/>
        <w:overflowPunct/>
        <w:bidi w:val="0"/>
        <w:rPr>
          <w:rFonts w:hint="eastAsia" w:ascii="宋体" w:hAnsi="宋体" w:eastAsia="宋体" w:cs="宋体"/>
          <w:color w:val="auto"/>
          <w:szCs w:val="21"/>
          <w:highlight w:val="none"/>
        </w:rPr>
      </w:pPr>
    </w:p>
    <w:p w14:paraId="6AB74A2E">
      <w:pPr>
        <w:pageBreakBefore w:val="0"/>
        <w:widowControl w:val="0"/>
        <w:kinsoku/>
        <w:wordWrap w:val="0"/>
        <w:overflowPunct/>
        <w:bidi w:val="0"/>
        <w:jc w:val="left"/>
        <w:rPr>
          <w:rFonts w:hint="eastAsia" w:ascii="宋体" w:hAnsi="宋体" w:eastAsia="宋体" w:cs="宋体"/>
          <w:color w:val="auto"/>
          <w:szCs w:val="21"/>
          <w:highlight w:val="none"/>
        </w:rPr>
      </w:pPr>
    </w:p>
    <w:p w14:paraId="1BF1E5C3">
      <w:pPr>
        <w:pageBreakBefore w:val="0"/>
        <w:widowControl w:val="0"/>
        <w:kinsoku/>
        <w:wordWrap w:val="0"/>
        <w:overflowPunct/>
        <w:bidi w:val="0"/>
        <w:jc w:val="left"/>
        <w:rPr>
          <w:rFonts w:hint="eastAsia" w:ascii="宋体" w:hAnsi="宋体" w:eastAsia="宋体" w:cs="宋体"/>
          <w:color w:val="auto"/>
          <w:szCs w:val="21"/>
          <w:highlight w:val="none"/>
        </w:rPr>
      </w:pPr>
    </w:p>
    <w:p w14:paraId="4FABBCC8">
      <w:pPr>
        <w:pageBreakBefore w:val="0"/>
        <w:widowControl w:val="0"/>
        <w:kinsoku/>
        <w:wordWrap w:val="0"/>
        <w:overflowPunct/>
        <w:bidi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F42E5B3">
      <w:pPr>
        <w:pageBreakBefore w:val="0"/>
        <w:widowControl w:val="0"/>
        <w:kinsoku/>
        <w:wordWrap w:val="0"/>
        <w:overflowPunct/>
        <w:bidi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技术、服务及商务要求响应、偏离说明表</w:t>
      </w:r>
    </w:p>
    <w:p w14:paraId="09CEBE0F">
      <w:pPr>
        <w:pageBreakBefore w:val="0"/>
        <w:widowControl w:val="0"/>
        <w:kinsoku/>
        <w:wordWrap w:val="0"/>
        <w:overflowPunct/>
        <w:bidi w:val="0"/>
        <w:spacing w:line="276" w:lineRule="auto"/>
        <w:ind w:left="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1DE6D99E">
      <w:pPr>
        <w:pageBreakBefore w:val="0"/>
        <w:widowControl w:val="0"/>
        <w:kinsoku/>
        <w:wordWrap w:val="0"/>
        <w:overflowPunct/>
        <w:bidi w:val="0"/>
        <w:spacing w:line="276" w:lineRule="auto"/>
        <w:ind w:left="42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t>项目编号：</w:t>
      </w:r>
      <w:r>
        <w:rPr>
          <w:rFonts w:hint="eastAsia" w:ascii="宋体" w:hAnsi="宋体" w:eastAsia="宋体" w:cs="宋体"/>
          <w:bCs/>
          <w:color w:val="auto"/>
          <w:szCs w:val="21"/>
          <w:highlight w:val="none"/>
          <w:lang w:val="zh-CN"/>
        </w:rPr>
        <w:t>项目名称</w:t>
      </w:r>
      <w:r>
        <w:rPr>
          <w:rFonts w:hint="eastAsia" w:ascii="宋体" w:hAnsi="宋体" w:cs="宋体"/>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24AF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060EFCB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704DBE0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34A9EDD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3ECE29D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5BA9DBF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对应页码</w:t>
            </w:r>
          </w:p>
        </w:tc>
      </w:tr>
      <w:tr w14:paraId="4077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6D6301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031" w:type="dxa"/>
            <w:tcBorders>
              <w:top w:val="single" w:color="auto" w:sz="4" w:space="0"/>
              <w:left w:val="single" w:color="auto" w:sz="4" w:space="0"/>
              <w:bottom w:val="single" w:color="auto" w:sz="4" w:space="0"/>
              <w:right w:val="single" w:color="auto" w:sz="4" w:space="0"/>
            </w:tcBorders>
            <w:vAlign w:val="center"/>
          </w:tcPr>
          <w:p w14:paraId="1999525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475632C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54F87E2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31A59F8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3E606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14E555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031" w:type="dxa"/>
            <w:tcBorders>
              <w:top w:val="single" w:color="auto" w:sz="4" w:space="0"/>
              <w:left w:val="single" w:color="auto" w:sz="4" w:space="0"/>
              <w:bottom w:val="single" w:color="auto" w:sz="4" w:space="0"/>
              <w:right w:val="single" w:color="auto" w:sz="4" w:space="0"/>
            </w:tcBorders>
            <w:vAlign w:val="center"/>
          </w:tcPr>
          <w:p w14:paraId="0C7557A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0876249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3195A54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6588B66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1B6C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248FA7F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031" w:type="dxa"/>
            <w:tcBorders>
              <w:top w:val="single" w:color="auto" w:sz="4" w:space="0"/>
              <w:left w:val="single" w:color="auto" w:sz="4" w:space="0"/>
              <w:bottom w:val="single" w:color="auto" w:sz="4" w:space="0"/>
              <w:right w:val="single" w:color="auto" w:sz="4" w:space="0"/>
            </w:tcBorders>
            <w:vAlign w:val="center"/>
          </w:tcPr>
          <w:p w14:paraId="3D78B72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B2BD69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29BCB46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3AFC301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7773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FAE691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031" w:type="dxa"/>
            <w:tcBorders>
              <w:top w:val="single" w:color="auto" w:sz="4" w:space="0"/>
              <w:left w:val="single" w:color="auto" w:sz="4" w:space="0"/>
              <w:bottom w:val="single" w:color="auto" w:sz="4" w:space="0"/>
              <w:right w:val="single" w:color="auto" w:sz="4" w:space="0"/>
            </w:tcBorders>
            <w:vAlign w:val="center"/>
          </w:tcPr>
          <w:p w14:paraId="711C327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29386E7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3E6871E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16CE2EA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082CB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2C4A55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031" w:type="dxa"/>
            <w:tcBorders>
              <w:top w:val="single" w:color="auto" w:sz="4" w:space="0"/>
              <w:left w:val="single" w:color="auto" w:sz="4" w:space="0"/>
              <w:bottom w:val="single" w:color="auto" w:sz="4" w:space="0"/>
              <w:right w:val="single" w:color="auto" w:sz="4" w:space="0"/>
            </w:tcBorders>
            <w:vAlign w:val="center"/>
          </w:tcPr>
          <w:p w14:paraId="1F6A8B2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7538FC4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440D9DD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59F0243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26C21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290F71B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031" w:type="dxa"/>
            <w:tcBorders>
              <w:top w:val="single" w:color="auto" w:sz="4" w:space="0"/>
              <w:left w:val="single" w:color="auto" w:sz="4" w:space="0"/>
              <w:bottom w:val="single" w:color="auto" w:sz="4" w:space="0"/>
              <w:right w:val="single" w:color="auto" w:sz="4" w:space="0"/>
            </w:tcBorders>
            <w:vAlign w:val="center"/>
          </w:tcPr>
          <w:p w14:paraId="5DAB595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564E658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630A6CA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710489C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3787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33CC42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3031" w:type="dxa"/>
            <w:tcBorders>
              <w:top w:val="single" w:color="auto" w:sz="4" w:space="0"/>
              <w:left w:val="single" w:color="auto" w:sz="4" w:space="0"/>
              <w:bottom w:val="single" w:color="auto" w:sz="4" w:space="0"/>
              <w:right w:val="single" w:color="auto" w:sz="4" w:space="0"/>
            </w:tcBorders>
            <w:vAlign w:val="center"/>
          </w:tcPr>
          <w:p w14:paraId="0948ED2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61A4E33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765BA61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5246F78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bl>
    <w:p w14:paraId="7073E246">
      <w:pPr>
        <w:pageBreakBefore w:val="0"/>
        <w:widowControl w:val="0"/>
        <w:kinsoku/>
        <w:wordWrap w:val="0"/>
        <w:overflowPunct/>
        <w:bidi w:val="0"/>
        <w:spacing w:line="276" w:lineRule="auto"/>
        <w:ind w:left="1016" w:leftChars="203" w:hanging="590" w:hangingChars="281"/>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投标人应对照招标文件第三章项目技术、服务及商务要求中条款逐项说明是否满足，并注明证明材料对应页码。如有偏离应详细说明。特别对有具体参数要求的指标，投标人必须提供相应具体数值，未按照要求填写此表或仅注明“符合”、“满足”的，导致的后果由投标人自行承担。</w:t>
      </w:r>
    </w:p>
    <w:p w14:paraId="5DEA43F3">
      <w:pPr>
        <w:pageBreakBefore w:val="0"/>
        <w:widowControl w:val="0"/>
        <w:kinsoku/>
        <w:wordWrap w:val="0"/>
        <w:overflowPunct/>
        <w:bidi w:val="0"/>
        <w:spacing w:line="276" w:lineRule="auto"/>
        <w:ind w:left="955" w:hanging="955" w:hangingChars="455"/>
        <w:jc w:val="left"/>
        <w:rPr>
          <w:rFonts w:hint="eastAsia" w:ascii="宋体" w:hAnsi="宋体" w:eastAsia="宋体" w:cs="宋体"/>
          <w:color w:val="auto"/>
          <w:szCs w:val="21"/>
          <w:highlight w:val="none"/>
        </w:rPr>
      </w:pPr>
    </w:p>
    <w:p w14:paraId="653DED12">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rPr>
      </w:pPr>
    </w:p>
    <w:p w14:paraId="5E78D481">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7B5179A9">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年月日</w:t>
      </w:r>
    </w:p>
    <w:p w14:paraId="5FD845DD">
      <w:pPr>
        <w:pageBreakBefore w:val="0"/>
        <w:widowControl w:val="0"/>
        <w:kinsoku/>
        <w:wordWrap w:val="0"/>
        <w:overflowPunct/>
        <w:bidi w:val="0"/>
        <w:jc w:val="left"/>
        <w:rPr>
          <w:rFonts w:hint="eastAsia" w:ascii="宋体" w:hAnsi="宋体" w:eastAsia="宋体" w:cs="宋体"/>
          <w:color w:val="auto"/>
          <w:szCs w:val="21"/>
          <w:highlight w:val="none"/>
        </w:rPr>
      </w:pPr>
    </w:p>
    <w:p w14:paraId="05929154">
      <w:pPr>
        <w:pageBreakBefore w:val="0"/>
        <w:widowControl w:val="0"/>
        <w:kinsoku/>
        <w:wordWrap w:val="0"/>
        <w:overflowPunct/>
        <w:bidi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1D4D0ACA">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投标书</w:t>
      </w:r>
    </w:p>
    <w:p w14:paraId="73074E92">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投标书</w:t>
      </w:r>
    </w:p>
    <w:p w14:paraId="23092510">
      <w:pPr>
        <w:pageBreakBefore w:val="0"/>
        <w:widowControl w:val="0"/>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武汉理工大学、</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DOCVARIABLE 招标机构名称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${招标机构名称}</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w:t>
      </w:r>
    </w:p>
    <w:p w14:paraId="5469DBE9">
      <w:pPr>
        <w:pageBreakBefore w:val="0"/>
        <w:widowControl w:val="0"/>
        <w:kinsoku/>
        <w:wordWrap w:val="0"/>
        <w:overflowPunct/>
        <w:bidi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依据贵方项目（</w:t>
      </w:r>
      <w:r>
        <w:rPr>
          <w:rFonts w:hint="eastAsia" w:ascii="宋体" w:hAnsi="宋体" w:eastAsia="宋体" w:cs="宋体"/>
          <w:color w:val="auto"/>
          <w:szCs w:val="21"/>
          <w:highlight w:val="none"/>
          <w:u w:val="single"/>
        </w:rPr>
        <w:t>项目编号</w:t>
      </w:r>
      <w:r>
        <w:rPr>
          <w:rFonts w:hint="eastAsia" w:ascii="宋体" w:hAnsi="宋体" w:eastAsia="宋体" w:cs="宋体"/>
          <w:color w:val="auto"/>
          <w:szCs w:val="21"/>
          <w:highlight w:val="none"/>
        </w:rPr>
        <w:t>）招标的投标邀请，我方代表（姓名、职务）经正式授权并代表投标人（投标人名称）提交本投标文件。</w:t>
      </w:r>
    </w:p>
    <w:p w14:paraId="46FB2BD1">
      <w:pPr>
        <w:pageBreakBefore w:val="0"/>
        <w:widowControl w:val="0"/>
        <w:kinsoku/>
        <w:wordWrap w:val="0"/>
        <w:overflowPunct/>
        <w:bidi w:val="0"/>
        <w:spacing w:line="360" w:lineRule="auto"/>
        <w:ind w:firstLine="422"/>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在此，我方宣布同意如下：</w:t>
      </w:r>
    </w:p>
    <w:p w14:paraId="53065665">
      <w:pPr>
        <w:pageBreakBefore w:val="0"/>
        <w:widowControl w:val="0"/>
        <w:kinsoku/>
        <w:wordWrap w:val="0"/>
        <w:overflowPunct/>
        <w:bidi w:val="0"/>
        <w:spacing w:line="360" w:lineRule="auto"/>
        <w:ind w:left="12" w:leftChars="6" w:firstLine="413" w:firstLineChars="197"/>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1．《报价一览表》中规定的应提交和交付的（项目名称、项目编号/包号）货物（工程或服务）投标报价为（注明币种，并用大写和小写表述投标总价）；</w:t>
      </w:r>
    </w:p>
    <w:p w14:paraId="24DA2884">
      <w:pPr>
        <w:pageBreakBefore w:val="0"/>
        <w:widowControl w:val="0"/>
        <w:kinsoku/>
        <w:wordWrap w:val="0"/>
        <w:overflowPunct/>
        <w:bidi w:val="0"/>
        <w:spacing w:line="360" w:lineRule="auto"/>
        <w:ind w:left="12" w:leftChars="6" w:firstLine="413" w:firstLineChars="197"/>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2．按招标文件的约定履行合同责任和义务；</w:t>
      </w:r>
    </w:p>
    <w:p w14:paraId="5A2CC8EE">
      <w:pPr>
        <w:pageBreakBefore w:val="0"/>
        <w:widowControl w:val="0"/>
        <w:kinsoku/>
        <w:wordWrap w:val="0"/>
        <w:overflowPunct/>
        <w:bidi w:val="0"/>
        <w:spacing w:line="360" w:lineRule="auto"/>
        <w:ind w:left="12" w:leftChars="6" w:firstLine="413" w:firstLineChars="197"/>
        <w:rPr>
          <w:rFonts w:hint="eastAsia" w:ascii="宋体" w:hAnsi="宋体" w:eastAsia="宋体" w:cs="宋体"/>
          <w:color w:val="auto"/>
          <w:szCs w:val="21"/>
          <w:highlight w:val="none"/>
        </w:rPr>
      </w:pPr>
      <w:r>
        <w:rPr>
          <w:rFonts w:hint="eastAsia" w:ascii="宋体" w:hAnsi="宋体" w:eastAsia="宋体" w:cs="宋体"/>
          <w:color w:val="auto"/>
          <w:szCs w:val="21"/>
          <w:highlight w:val="none"/>
        </w:rPr>
        <w:t>3．已详细审查全部招标文件，包括修正或补充文件（如有）；</w:t>
      </w:r>
    </w:p>
    <w:p w14:paraId="2487E906">
      <w:pPr>
        <w:pageBreakBefore w:val="0"/>
        <w:widowControl w:val="0"/>
        <w:kinsoku/>
        <w:wordWrap w:val="0"/>
        <w:overflowPunct/>
        <w:bidi w:val="0"/>
        <w:spacing w:line="360" w:lineRule="auto"/>
        <w:ind w:left="12" w:leftChars="6" w:firstLine="413" w:firstLineChars="197"/>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4．投标有效期为自</w:t>
      </w:r>
      <w:r>
        <w:rPr>
          <w:rFonts w:hint="eastAsia" w:ascii="宋体" w:hAnsi="宋体" w:eastAsia="宋体" w:cs="宋体"/>
          <w:color w:val="auto"/>
          <w:kern w:val="0"/>
          <w:szCs w:val="21"/>
          <w:highlight w:val="none"/>
        </w:rPr>
        <w:t>递交投标文件截止之日起</w:t>
      </w:r>
      <w:r>
        <w:rPr>
          <w:rFonts w:hint="eastAsia" w:ascii="宋体" w:hAnsi="宋体" w:eastAsia="宋体" w:cs="宋体"/>
          <w:color w:val="auto"/>
          <w:szCs w:val="21"/>
          <w:highlight w:val="none"/>
        </w:rPr>
        <w:t>，共个日历日；</w:t>
      </w:r>
    </w:p>
    <w:p w14:paraId="36E5C699">
      <w:pPr>
        <w:pageBreakBefore w:val="0"/>
        <w:widowControl w:val="0"/>
        <w:kinsoku/>
        <w:wordWrap w:val="0"/>
        <w:overflowPunct/>
        <w:bidi w:val="0"/>
        <w:spacing w:line="360" w:lineRule="auto"/>
        <w:ind w:left="12" w:leftChars="6" w:firstLine="413" w:firstLineChars="197"/>
        <w:rPr>
          <w:rFonts w:hint="eastAsia" w:ascii="宋体" w:hAnsi="宋体" w:eastAsia="宋体" w:cs="宋体"/>
          <w:color w:val="auto"/>
          <w:szCs w:val="21"/>
          <w:highlight w:val="none"/>
        </w:rPr>
      </w:pPr>
      <w:r>
        <w:rPr>
          <w:rFonts w:hint="eastAsia" w:ascii="宋体" w:hAnsi="宋体" w:eastAsia="宋体" w:cs="宋体"/>
          <w:color w:val="auto"/>
          <w:szCs w:val="21"/>
          <w:highlight w:val="none"/>
        </w:rPr>
        <w:t>5．接受招标文件关于不予退还投标保证金的约定；</w:t>
      </w:r>
    </w:p>
    <w:p w14:paraId="72FC5B71">
      <w:pPr>
        <w:pageBreakBefore w:val="0"/>
        <w:widowControl w:val="0"/>
        <w:kinsoku/>
        <w:wordWrap w:val="0"/>
        <w:overflowPunct/>
        <w:bidi w:val="0"/>
        <w:spacing w:line="360" w:lineRule="auto"/>
        <w:ind w:left="12" w:leftChars="6" w:firstLine="413" w:firstLineChars="197"/>
        <w:rPr>
          <w:rFonts w:hint="eastAsia" w:ascii="宋体" w:hAnsi="宋体" w:eastAsia="宋体" w:cs="宋体"/>
          <w:color w:val="auto"/>
          <w:szCs w:val="21"/>
          <w:highlight w:val="none"/>
        </w:rPr>
      </w:pPr>
      <w:r>
        <w:rPr>
          <w:rFonts w:hint="eastAsia" w:ascii="宋体" w:hAnsi="宋体" w:eastAsia="宋体" w:cs="宋体"/>
          <w:color w:val="auto"/>
          <w:szCs w:val="21"/>
          <w:highlight w:val="none"/>
        </w:rPr>
        <w:t>6．提供按照贵方可能要求的与投标有关的一切数据或资料；</w:t>
      </w:r>
    </w:p>
    <w:p w14:paraId="0B21ACE2">
      <w:pPr>
        <w:pageBreakBefore w:val="0"/>
        <w:widowControl w:val="0"/>
        <w:kinsoku/>
        <w:wordWrap w:val="0"/>
        <w:overflowPunct/>
        <w:bidi w:val="0"/>
        <w:spacing w:line="360" w:lineRule="auto"/>
        <w:ind w:left="12" w:leftChars="6" w:firstLine="413" w:firstLineChars="197"/>
        <w:rPr>
          <w:rFonts w:hint="eastAsia" w:ascii="宋体" w:hAnsi="宋体" w:eastAsia="宋体" w:cs="宋体"/>
          <w:color w:val="auto"/>
          <w:szCs w:val="21"/>
          <w:highlight w:val="none"/>
        </w:rPr>
      </w:pPr>
      <w:r>
        <w:rPr>
          <w:rFonts w:hint="eastAsia" w:ascii="宋体" w:hAnsi="宋体" w:eastAsia="宋体" w:cs="宋体"/>
          <w:color w:val="auto"/>
          <w:szCs w:val="21"/>
          <w:highlight w:val="none"/>
        </w:rPr>
        <w:t>7.承诺：我单位不存在单位负责人为同一人或者存在直接控股、管理关系的不同投标人，参加本项目同一合同项下的政府采购活动情况。我单位不存在为本采购项目提供整体设计、规范编制或者项目管理、监理、检测等服务的，再参加本项目的其他招标采购活动情况。</w:t>
      </w:r>
    </w:p>
    <w:p w14:paraId="4DC5CB82">
      <w:pPr>
        <w:pageBreakBefore w:val="0"/>
        <w:widowControl w:val="0"/>
        <w:kinsoku/>
        <w:wordWrap w:val="0"/>
        <w:overflowPunct/>
        <w:bidi w:val="0"/>
        <w:spacing w:line="360" w:lineRule="auto"/>
        <w:ind w:left="12" w:leftChars="6" w:firstLine="413" w:firstLineChars="197"/>
        <w:rPr>
          <w:rFonts w:hint="eastAsia" w:ascii="宋体" w:hAnsi="宋体" w:eastAsia="宋体" w:cs="宋体"/>
          <w:color w:val="auto"/>
          <w:szCs w:val="21"/>
          <w:highlight w:val="none"/>
        </w:rPr>
      </w:pPr>
      <w:r>
        <w:rPr>
          <w:rFonts w:hint="eastAsia" w:ascii="宋体" w:hAnsi="宋体" w:eastAsia="宋体" w:cs="宋体"/>
          <w:color w:val="auto"/>
          <w:szCs w:val="21"/>
          <w:highlight w:val="none"/>
        </w:rPr>
        <w:t>8．与投标有关的一切正式往来信函请寄：</w:t>
      </w:r>
    </w:p>
    <w:p w14:paraId="6422A36E">
      <w:pPr>
        <w:pageBreakBefore w:val="0"/>
        <w:widowControl w:val="0"/>
        <w:kinsoku/>
        <w:wordWrap w:val="0"/>
        <w:overflowPunct/>
        <w:bidi w:val="0"/>
        <w:spacing w:line="360" w:lineRule="auto"/>
        <w:ind w:left="222" w:leftChars="106" w:firstLine="413" w:firstLineChars="197"/>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投标人：</w:t>
      </w:r>
    </w:p>
    <w:p w14:paraId="60074549">
      <w:pPr>
        <w:pageBreakBefore w:val="0"/>
        <w:widowControl w:val="0"/>
        <w:kinsoku/>
        <w:wordWrap w:val="0"/>
        <w:overflowPunct/>
        <w:bidi w:val="0"/>
        <w:spacing w:line="360" w:lineRule="auto"/>
        <w:ind w:left="222" w:leftChars="106" w:firstLine="413" w:firstLineChars="197"/>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地址：</w:t>
      </w:r>
    </w:p>
    <w:p w14:paraId="796EA961">
      <w:pPr>
        <w:pageBreakBefore w:val="0"/>
        <w:widowControl w:val="0"/>
        <w:kinsoku/>
        <w:wordWrap w:val="0"/>
        <w:overflowPunct/>
        <w:bidi w:val="0"/>
        <w:spacing w:line="360" w:lineRule="auto"/>
        <w:ind w:left="222" w:leftChars="106" w:firstLine="413" w:firstLineChars="197"/>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电话/传真：</w:t>
      </w:r>
    </w:p>
    <w:p w14:paraId="407EAABD">
      <w:pPr>
        <w:pageBreakBefore w:val="0"/>
        <w:widowControl w:val="0"/>
        <w:kinsoku/>
        <w:wordWrap w:val="0"/>
        <w:overflowPunct/>
        <w:bidi w:val="0"/>
        <w:spacing w:line="360" w:lineRule="auto"/>
        <w:ind w:left="222" w:leftChars="106" w:firstLine="413" w:firstLineChars="197"/>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电子邮件：</w:t>
      </w:r>
    </w:p>
    <w:p w14:paraId="1D3FBA64">
      <w:pPr>
        <w:pageBreakBefore w:val="0"/>
        <w:widowControl w:val="0"/>
        <w:kinsoku/>
        <w:wordWrap w:val="0"/>
        <w:overflowPunct/>
        <w:bidi w:val="0"/>
        <w:spacing w:line="360" w:lineRule="auto"/>
        <w:ind w:left="222" w:leftChars="106" w:firstLine="413" w:firstLineChars="197"/>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开户银行：</w:t>
      </w:r>
    </w:p>
    <w:p w14:paraId="4ADA6FAC">
      <w:pPr>
        <w:pageBreakBefore w:val="0"/>
        <w:widowControl w:val="0"/>
        <w:kinsoku/>
        <w:wordWrap w:val="0"/>
        <w:overflowPunct/>
        <w:bidi w:val="0"/>
        <w:spacing w:line="360" w:lineRule="auto"/>
        <w:ind w:left="222" w:leftChars="106" w:firstLine="413" w:firstLineChars="197"/>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账号/行号：</w:t>
      </w:r>
    </w:p>
    <w:p w14:paraId="4DB4CE06">
      <w:pPr>
        <w:pageBreakBefore w:val="0"/>
        <w:widowControl w:val="0"/>
        <w:kinsoku/>
        <w:wordWrap w:val="0"/>
        <w:overflowPunct/>
        <w:bidi w:val="0"/>
        <w:spacing w:line="360" w:lineRule="auto"/>
        <w:ind w:left="2532" w:leftChars="1206" w:firstLine="413" w:firstLineChars="197"/>
        <w:rPr>
          <w:rFonts w:hint="eastAsia" w:ascii="宋体" w:hAnsi="宋体" w:eastAsia="宋体" w:cs="宋体"/>
          <w:color w:val="auto"/>
          <w:szCs w:val="21"/>
          <w:highlight w:val="none"/>
        </w:rPr>
      </w:pPr>
    </w:p>
    <w:p w14:paraId="09338808">
      <w:pPr>
        <w:pageBreakBefore w:val="0"/>
        <w:widowControl w:val="0"/>
        <w:kinsoku/>
        <w:wordWrap w:val="0"/>
        <w:overflowPunct/>
        <w:bidi w:val="0"/>
        <w:spacing w:line="276" w:lineRule="auto"/>
        <w:ind w:left="2532" w:leftChars="1206" w:firstLine="413" w:firstLineChars="197"/>
        <w:rPr>
          <w:rFonts w:hint="eastAsia" w:ascii="宋体" w:hAnsi="宋体" w:eastAsia="宋体" w:cs="宋体"/>
          <w:color w:val="auto"/>
          <w:szCs w:val="21"/>
          <w:highlight w:val="none"/>
        </w:rPr>
      </w:pPr>
    </w:p>
    <w:p w14:paraId="02187F6B">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lang w:val="zh-CN"/>
        </w:rPr>
        <w:t>投标人名称（公章）：</w:t>
      </w:r>
    </w:p>
    <w:p w14:paraId="556A2A2C">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
          <w:bCs/>
          <w:color w:val="auto"/>
          <w:szCs w:val="21"/>
          <w:highlight w:val="none"/>
          <w:u w:val="single"/>
          <w:lang w:val="zh-CN"/>
        </w:rPr>
      </w:pPr>
      <w:r>
        <w:rPr>
          <w:rFonts w:hint="eastAsia" w:ascii="宋体" w:hAnsi="宋体" w:eastAsia="宋体" w:cs="宋体"/>
          <w:color w:val="auto"/>
          <w:kern w:val="0"/>
          <w:szCs w:val="21"/>
          <w:highlight w:val="none"/>
          <w:shd w:val="clear" w:color="auto" w:fill="FFFFFF"/>
        </w:rPr>
        <w:t>法定代表人或其</w:t>
      </w:r>
      <w:r>
        <w:rPr>
          <w:rFonts w:hint="eastAsia" w:ascii="宋体" w:hAnsi="宋体" w:eastAsia="宋体" w:cs="宋体"/>
          <w:bCs/>
          <w:color w:val="auto"/>
          <w:szCs w:val="21"/>
          <w:highlight w:val="none"/>
          <w:lang w:val="zh-CN"/>
        </w:rPr>
        <w:t>授权代表（签字或盖章）：</w:t>
      </w:r>
    </w:p>
    <w:p w14:paraId="7265EA6B">
      <w:pPr>
        <w:pageBreakBefore w:val="0"/>
        <w:widowControl w:val="0"/>
        <w:kinsoku/>
        <w:wordWrap w:val="0"/>
        <w:overflowPunct/>
        <w:bidi w:val="0"/>
        <w:spacing w:line="276" w:lineRule="auto"/>
        <w:ind w:firstLine="2940" w:firstLineChars="1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369E5305">
      <w:pPr>
        <w:pageBreakBefore w:val="0"/>
        <w:widowControl w:val="0"/>
        <w:kinsoku/>
        <w:wordWrap w:val="0"/>
        <w:overflowPunct/>
        <w:bidi w:val="0"/>
        <w:spacing w:line="276" w:lineRule="auto"/>
        <w:ind w:left="2532" w:leftChars="1206" w:firstLine="413" w:firstLineChars="197"/>
        <w:rPr>
          <w:rFonts w:hint="eastAsia" w:ascii="宋体" w:hAnsi="宋体" w:eastAsia="宋体" w:cs="宋体"/>
          <w:color w:val="auto"/>
          <w:szCs w:val="21"/>
          <w:highlight w:val="none"/>
        </w:rPr>
      </w:pPr>
    </w:p>
    <w:p w14:paraId="541C75AE">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r>
        <w:rPr>
          <w:rFonts w:hint="eastAsia" w:ascii="宋体" w:hAnsi="宋体" w:eastAsia="宋体" w:cs="宋体"/>
          <w:color w:val="auto"/>
          <w:szCs w:val="21"/>
          <w:highlight w:val="none"/>
        </w:rPr>
        <w:t>报价一览表</w:t>
      </w:r>
    </w:p>
    <w:p w14:paraId="56CFF0B0">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报价一览表</w:t>
      </w:r>
      <w:r>
        <w:rPr>
          <w:rFonts w:hint="eastAsia" w:ascii="宋体" w:hAnsi="宋体" w:eastAsia="宋体" w:cs="宋体"/>
          <w:color w:val="auto"/>
          <w:kern w:val="0"/>
          <w:szCs w:val="21"/>
          <w:highlight w:val="none"/>
        </w:rPr>
        <w:t>（货物）</w:t>
      </w:r>
    </w:p>
    <w:p w14:paraId="5AA33145">
      <w:pPr>
        <w:pageBreakBefore w:val="0"/>
        <w:widowControl w:val="0"/>
        <w:kinsoku/>
        <w:wordWrap w:val="0"/>
        <w:overflowPunct/>
        <w:bidi w:val="0"/>
        <w:adjustRightInd w:val="0"/>
        <w:snapToGrid w:val="0"/>
        <w:spacing w:line="276" w:lineRule="auto"/>
        <w:ind w:left="-268" w:leftChars="-128" w:firstLine="399" w:firstLineChars="150"/>
        <w:jc w:val="left"/>
        <w:rPr>
          <w:rFonts w:hint="eastAsia" w:ascii="宋体" w:hAnsi="宋体" w:eastAsia="宋体" w:cs="宋体"/>
          <w:color w:val="auto"/>
          <w:spacing w:val="28"/>
          <w:szCs w:val="21"/>
          <w:highlight w:val="none"/>
        </w:rPr>
      </w:pPr>
    </w:p>
    <w:p w14:paraId="1EA5F555">
      <w:pPr>
        <w:pageBreakBefore w:val="0"/>
        <w:widowControl w:val="0"/>
        <w:kinsoku/>
        <w:wordWrap w:val="0"/>
        <w:overflowPunct/>
        <w:bidi w:val="0"/>
        <w:adjustRightInd w:val="0"/>
        <w:snapToGrid w:val="0"/>
        <w:spacing w:line="276" w:lineRule="auto"/>
        <w:ind w:left="-268" w:leftChars="-128" w:firstLine="399" w:firstLineChars="150"/>
        <w:jc w:val="left"/>
        <w:rPr>
          <w:rFonts w:hint="eastAsia" w:ascii="宋体" w:hAnsi="宋体" w:eastAsia="宋体" w:cs="宋体"/>
          <w:color w:val="auto"/>
          <w:szCs w:val="21"/>
          <w:highlight w:val="none"/>
          <w:lang w:eastAsia="zh-CN"/>
        </w:rPr>
      </w:pPr>
      <w:r>
        <w:rPr>
          <w:rFonts w:hint="eastAsia" w:ascii="宋体" w:hAnsi="宋体" w:eastAsia="宋体" w:cs="宋体"/>
          <w:color w:val="auto"/>
          <w:spacing w:val="28"/>
          <w:szCs w:val="21"/>
          <w:highlight w:val="none"/>
        </w:rPr>
        <w:t>投标人</w:t>
      </w:r>
      <w:r>
        <w:rPr>
          <w:rFonts w:hint="eastAsia" w:ascii="宋体" w:hAnsi="宋体" w:eastAsia="宋体" w:cs="宋体"/>
          <w:color w:val="auto"/>
          <w:szCs w:val="21"/>
          <w:highlight w:val="none"/>
        </w:rPr>
        <w:t>名称</w:t>
      </w:r>
      <w:r>
        <w:rPr>
          <w:rFonts w:hint="eastAsia" w:ascii="宋体" w:hAnsi="宋体" w:cs="宋体"/>
          <w:color w:val="auto"/>
          <w:szCs w:val="21"/>
          <w:highlight w:val="none"/>
          <w:lang w:eastAsia="zh-CN"/>
        </w:rPr>
        <w:t>：</w:t>
      </w:r>
    </w:p>
    <w:p w14:paraId="3EC12AC9">
      <w:pPr>
        <w:pageBreakBefore w:val="0"/>
        <w:widowControl w:val="0"/>
        <w:kinsoku/>
        <w:wordWrap w:val="0"/>
        <w:overflowPunct/>
        <w:bidi w:val="0"/>
        <w:adjustRightInd w:val="0"/>
        <w:snapToGrid w:val="0"/>
        <w:spacing w:line="276" w:lineRule="auto"/>
        <w:ind w:left="-268" w:leftChars="-128" w:firstLine="399" w:firstLineChars="150"/>
        <w:jc w:val="left"/>
        <w:rPr>
          <w:rFonts w:hint="eastAsia" w:ascii="宋体" w:hAnsi="宋体" w:eastAsia="宋体" w:cs="宋体"/>
          <w:color w:val="auto"/>
          <w:szCs w:val="21"/>
          <w:highlight w:val="none"/>
          <w:lang w:eastAsia="zh-CN"/>
        </w:rPr>
      </w:pPr>
      <w:r>
        <w:rPr>
          <w:rFonts w:hint="eastAsia" w:ascii="宋体" w:hAnsi="宋体" w:eastAsia="宋体" w:cs="宋体"/>
          <w:color w:val="auto"/>
          <w:spacing w:val="28"/>
          <w:szCs w:val="21"/>
          <w:highlight w:val="none"/>
        </w:rPr>
        <w:t>项目编号</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zh-CN"/>
        </w:rPr>
        <w:t>项目名称</w:t>
      </w:r>
      <w:r>
        <w:rPr>
          <w:rFonts w:hint="eastAsia" w:ascii="宋体" w:hAnsi="宋体" w:cs="宋体"/>
          <w:color w:val="auto"/>
          <w:szCs w:val="21"/>
          <w:highlight w:val="none"/>
          <w:lang w:val="en-US" w:eastAsia="zh-CN"/>
        </w:rPr>
        <w:t>/包号</w:t>
      </w:r>
      <w:r>
        <w:rPr>
          <w:rFonts w:hint="eastAsia" w:ascii="宋体" w:hAnsi="宋体" w:eastAsia="宋体" w:cs="宋体"/>
          <w:color w:val="auto"/>
          <w:szCs w:val="21"/>
          <w:highlight w:val="none"/>
          <w:lang w:val="zh-CN"/>
        </w:rPr>
        <w:t>：</w:t>
      </w:r>
    </w:p>
    <w:tbl>
      <w:tblPr>
        <w:tblStyle w:val="25"/>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661"/>
        <w:gridCol w:w="2865"/>
        <w:gridCol w:w="3512"/>
      </w:tblGrid>
      <w:tr w14:paraId="7021DFC8">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200" w:type="dxa"/>
            <w:tcBorders>
              <w:top w:val="single" w:color="auto" w:sz="4" w:space="0"/>
              <w:left w:val="single" w:color="auto" w:sz="4" w:space="0"/>
              <w:bottom w:val="single" w:color="auto" w:sz="4" w:space="0"/>
              <w:right w:val="single" w:color="auto" w:sz="4" w:space="0"/>
            </w:tcBorders>
            <w:shd w:val="pct10" w:color="auto" w:fill="auto"/>
            <w:vAlign w:val="center"/>
          </w:tcPr>
          <w:p w14:paraId="73CBB01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4526"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78A8643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w:t>
            </w:r>
          </w:p>
        </w:tc>
        <w:tc>
          <w:tcPr>
            <w:tcW w:w="3512" w:type="dxa"/>
            <w:tcBorders>
              <w:top w:val="single" w:color="auto" w:sz="4" w:space="0"/>
              <w:left w:val="single" w:color="auto" w:sz="4" w:space="0"/>
              <w:bottom w:val="single" w:color="auto" w:sz="4" w:space="0"/>
              <w:right w:val="single" w:color="auto" w:sz="4" w:space="0"/>
            </w:tcBorders>
            <w:shd w:val="pct10" w:color="auto" w:fill="auto"/>
            <w:vAlign w:val="center"/>
          </w:tcPr>
          <w:p w14:paraId="32A05A4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内容</w:t>
            </w:r>
          </w:p>
        </w:tc>
      </w:tr>
      <w:tr w14:paraId="2FF106DC">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653AA3D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0F898A7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投标报价（小写）</w:t>
            </w:r>
          </w:p>
        </w:tc>
        <w:tc>
          <w:tcPr>
            <w:tcW w:w="3512" w:type="dxa"/>
            <w:tcBorders>
              <w:top w:val="single" w:color="auto" w:sz="4" w:space="0"/>
              <w:left w:val="single" w:color="auto" w:sz="4" w:space="0"/>
              <w:bottom w:val="single" w:color="auto" w:sz="4" w:space="0"/>
              <w:right w:val="single" w:color="auto" w:sz="4" w:space="0"/>
            </w:tcBorders>
            <w:vAlign w:val="center"/>
          </w:tcPr>
          <w:p w14:paraId="4FB7E1B4">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3F6CE307">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3BF41C4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49F8CCC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投标报价（大写）</w:t>
            </w:r>
          </w:p>
        </w:tc>
        <w:tc>
          <w:tcPr>
            <w:tcW w:w="3512" w:type="dxa"/>
            <w:tcBorders>
              <w:top w:val="single" w:color="auto" w:sz="4" w:space="0"/>
              <w:left w:val="single" w:color="auto" w:sz="4" w:space="0"/>
              <w:bottom w:val="single" w:color="auto" w:sz="4" w:space="0"/>
              <w:right w:val="single" w:color="auto" w:sz="4" w:space="0"/>
            </w:tcBorders>
            <w:vAlign w:val="center"/>
          </w:tcPr>
          <w:p w14:paraId="5FCCBEE2">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36FD36C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restart"/>
            <w:tcBorders>
              <w:top w:val="single" w:color="auto" w:sz="4" w:space="0"/>
              <w:left w:val="single" w:color="auto" w:sz="4" w:space="0"/>
              <w:right w:val="single" w:color="auto" w:sz="4" w:space="0"/>
            </w:tcBorders>
            <w:vAlign w:val="center"/>
          </w:tcPr>
          <w:p w14:paraId="1A7685E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661" w:type="dxa"/>
            <w:vMerge w:val="restart"/>
            <w:tcBorders>
              <w:top w:val="single" w:color="auto" w:sz="4" w:space="0"/>
              <w:left w:val="single" w:color="auto" w:sz="4" w:space="0"/>
              <w:right w:val="single" w:color="auto" w:sz="4" w:space="0"/>
            </w:tcBorders>
            <w:vAlign w:val="center"/>
          </w:tcPr>
          <w:p w14:paraId="3CEF7B4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核心产品</w:t>
            </w:r>
          </w:p>
        </w:tc>
        <w:tc>
          <w:tcPr>
            <w:tcW w:w="2865" w:type="dxa"/>
            <w:tcBorders>
              <w:top w:val="single" w:color="auto" w:sz="4" w:space="0"/>
              <w:left w:val="single" w:color="auto" w:sz="4" w:space="0"/>
              <w:bottom w:val="single" w:color="auto" w:sz="4" w:space="0"/>
              <w:right w:val="single" w:color="auto" w:sz="4" w:space="0"/>
            </w:tcBorders>
            <w:vAlign w:val="center"/>
          </w:tcPr>
          <w:p w14:paraId="14F4094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货物名称</w:t>
            </w:r>
          </w:p>
        </w:tc>
        <w:tc>
          <w:tcPr>
            <w:tcW w:w="3512" w:type="dxa"/>
            <w:tcBorders>
              <w:top w:val="single" w:color="auto" w:sz="4" w:space="0"/>
              <w:left w:val="single" w:color="auto" w:sz="4" w:space="0"/>
              <w:bottom w:val="single" w:color="auto" w:sz="4" w:space="0"/>
              <w:right w:val="single" w:color="auto" w:sz="4" w:space="0"/>
            </w:tcBorders>
            <w:vAlign w:val="center"/>
          </w:tcPr>
          <w:p w14:paraId="101C8DE3">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38902E4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02946B6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61" w:type="dxa"/>
            <w:vMerge w:val="continue"/>
            <w:tcBorders>
              <w:left w:val="single" w:color="auto" w:sz="4" w:space="0"/>
              <w:right w:val="single" w:color="auto" w:sz="4" w:space="0"/>
            </w:tcBorders>
            <w:vAlign w:val="center"/>
          </w:tcPr>
          <w:p w14:paraId="46F9492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865" w:type="dxa"/>
            <w:tcBorders>
              <w:top w:val="single" w:color="auto" w:sz="4" w:space="0"/>
              <w:left w:val="single" w:color="auto" w:sz="4" w:space="0"/>
              <w:bottom w:val="single" w:color="auto" w:sz="4" w:space="0"/>
              <w:right w:val="single" w:color="auto" w:sz="4" w:space="0"/>
            </w:tcBorders>
            <w:vAlign w:val="center"/>
          </w:tcPr>
          <w:p w14:paraId="2D68C5E3">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制造商名称/国别(地区)</w:t>
            </w:r>
          </w:p>
        </w:tc>
        <w:tc>
          <w:tcPr>
            <w:tcW w:w="3512" w:type="dxa"/>
            <w:tcBorders>
              <w:top w:val="single" w:color="auto" w:sz="4" w:space="0"/>
              <w:left w:val="single" w:color="auto" w:sz="4" w:space="0"/>
              <w:bottom w:val="single" w:color="auto" w:sz="4" w:space="0"/>
              <w:right w:val="single" w:color="auto" w:sz="4" w:space="0"/>
            </w:tcBorders>
            <w:vAlign w:val="center"/>
          </w:tcPr>
          <w:p w14:paraId="089FC49F">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6ABE591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67951AF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61" w:type="dxa"/>
            <w:vMerge w:val="continue"/>
            <w:tcBorders>
              <w:left w:val="single" w:color="auto" w:sz="4" w:space="0"/>
              <w:right w:val="single" w:color="auto" w:sz="4" w:space="0"/>
            </w:tcBorders>
            <w:vAlign w:val="center"/>
          </w:tcPr>
          <w:p w14:paraId="482DC0D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865" w:type="dxa"/>
            <w:tcBorders>
              <w:top w:val="single" w:color="auto" w:sz="4" w:space="0"/>
              <w:left w:val="single" w:color="auto" w:sz="4" w:space="0"/>
              <w:bottom w:val="single" w:color="auto" w:sz="4" w:space="0"/>
              <w:right w:val="single" w:color="auto" w:sz="4" w:space="0"/>
            </w:tcBorders>
            <w:vAlign w:val="center"/>
          </w:tcPr>
          <w:p w14:paraId="3FD2D36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3512" w:type="dxa"/>
            <w:tcBorders>
              <w:top w:val="single" w:color="auto" w:sz="4" w:space="0"/>
              <w:left w:val="single" w:color="auto" w:sz="4" w:space="0"/>
              <w:bottom w:val="single" w:color="auto" w:sz="4" w:space="0"/>
              <w:right w:val="single" w:color="auto" w:sz="4" w:space="0"/>
            </w:tcBorders>
            <w:vAlign w:val="center"/>
          </w:tcPr>
          <w:p w14:paraId="5E869758">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2462EE35">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123E6AD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61" w:type="dxa"/>
            <w:vMerge w:val="continue"/>
            <w:tcBorders>
              <w:left w:val="single" w:color="auto" w:sz="4" w:space="0"/>
              <w:right w:val="single" w:color="auto" w:sz="4" w:space="0"/>
            </w:tcBorders>
            <w:vAlign w:val="center"/>
          </w:tcPr>
          <w:p w14:paraId="52A39C1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865" w:type="dxa"/>
            <w:tcBorders>
              <w:top w:val="single" w:color="auto" w:sz="4" w:space="0"/>
              <w:left w:val="single" w:color="auto" w:sz="4" w:space="0"/>
              <w:bottom w:val="single" w:color="auto" w:sz="4" w:space="0"/>
              <w:right w:val="single" w:color="auto" w:sz="4" w:space="0"/>
            </w:tcBorders>
            <w:vAlign w:val="center"/>
          </w:tcPr>
          <w:p w14:paraId="4936B92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3512" w:type="dxa"/>
            <w:tcBorders>
              <w:top w:val="single" w:color="auto" w:sz="4" w:space="0"/>
              <w:left w:val="single" w:color="auto" w:sz="4" w:space="0"/>
              <w:bottom w:val="single" w:color="auto" w:sz="4" w:space="0"/>
              <w:right w:val="single" w:color="auto" w:sz="4" w:space="0"/>
            </w:tcBorders>
            <w:vAlign w:val="center"/>
          </w:tcPr>
          <w:p w14:paraId="20C0DD82">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7290189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bottom w:val="single" w:color="auto" w:sz="4" w:space="0"/>
              <w:right w:val="single" w:color="auto" w:sz="4" w:space="0"/>
            </w:tcBorders>
            <w:vAlign w:val="center"/>
          </w:tcPr>
          <w:p w14:paraId="688ED78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661" w:type="dxa"/>
            <w:vMerge w:val="continue"/>
            <w:tcBorders>
              <w:left w:val="single" w:color="auto" w:sz="4" w:space="0"/>
              <w:bottom w:val="single" w:color="auto" w:sz="4" w:space="0"/>
              <w:right w:val="single" w:color="auto" w:sz="4" w:space="0"/>
            </w:tcBorders>
            <w:vAlign w:val="center"/>
          </w:tcPr>
          <w:p w14:paraId="3B351A9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865" w:type="dxa"/>
            <w:tcBorders>
              <w:top w:val="single" w:color="auto" w:sz="4" w:space="0"/>
              <w:left w:val="single" w:color="auto" w:sz="4" w:space="0"/>
              <w:bottom w:val="single" w:color="auto" w:sz="4" w:space="0"/>
              <w:right w:val="single" w:color="auto" w:sz="4" w:space="0"/>
            </w:tcBorders>
            <w:vAlign w:val="center"/>
          </w:tcPr>
          <w:p w14:paraId="5FADE72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tc>
        <w:tc>
          <w:tcPr>
            <w:tcW w:w="3512" w:type="dxa"/>
            <w:tcBorders>
              <w:top w:val="single" w:color="auto" w:sz="4" w:space="0"/>
              <w:left w:val="single" w:color="auto" w:sz="4" w:space="0"/>
              <w:bottom w:val="single" w:color="auto" w:sz="4" w:space="0"/>
              <w:right w:val="single" w:color="auto" w:sz="4" w:space="0"/>
            </w:tcBorders>
            <w:vAlign w:val="center"/>
          </w:tcPr>
          <w:p w14:paraId="186D104B">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7C4CCF8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2BDB35D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1B97E34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交货期</w:t>
            </w:r>
          </w:p>
        </w:tc>
        <w:tc>
          <w:tcPr>
            <w:tcW w:w="3512" w:type="dxa"/>
            <w:tcBorders>
              <w:top w:val="single" w:color="auto" w:sz="4" w:space="0"/>
              <w:left w:val="single" w:color="auto" w:sz="4" w:space="0"/>
              <w:bottom w:val="single" w:color="auto" w:sz="4" w:space="0"/>
              <w:right w:val="single" w:color="auto" w:sz="4" w:space="0"/>
            </w:tcBorders>
            <w:vAlign w:val="center"/>
          </w:tcPr>
          <w:p w14:paraId="1CE1227D">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497D545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1A3CCDC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5BA851E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质保期</w:t>
            </w:r>
          </w:p>
        </w:tc>
        <w:tc>
          <w:tcPr>
            <w:tcW w:w="3512" w:type="dxa"/>
            <w:tcBorders>
              <w:top w:val="single" w:color="auto" w:sz="4" w:space="0"/>
              <w:left w:val="single" w:color="auto" w:sz="4" w:space="0"/>
              <w:bottom w:val="single" w:color="auto" w:sz="4" w:space="0"/>
              <w:right w:val="single" w:color="auto" w:sz="4" w:space="0"/>
            </w:tcBorders>
            <w:vAlign w:val="center"/>
          </w:tcPr>
          <w:p w14:paraId="0D236752">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555AA98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18E3F9A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7C6DEBF6">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3512" w:type="dxa"/>
            <w:tcBorders>
              <w:top w:val="single" w:color="auto" w:sz="4" w:space="0"/>
              <w:left w:val="single" w:color="auto" w:sz="4" w:space="0"/>
              <w:bottom w:val="single" w:color="auto" w:sz="4" w:space="0"/>
              <w:right w:val="single" w:color="auto" w:sz="4" w:space="0"/>
            </w:tcBorders>
            <w:vAlign w:val="center"/>
          </w:tcPr>
          <w:p w14:paraId="2E9C3507">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r w14:paraId="0E208D9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35AC04D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1809F6B1">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提供货物的制造商企业规模</w:t>
            </w:r>
          </w:p>
        </w:tc>
        <w:tc>
          <w:tcPr>
            <w:tcW w:w="3512" w:type="dxa"/>
            <w:tcBorders>
              <w:top w:val="single" w:color="auto" w:sz="4" w:space="0"/>
              <w:left w:val="single" w:color="auto" w:sz="4" w:space="0"/>
              <w:bottom w:val="single" w:color="auto" w:sz="4" w:space="0"/>
              <w:right w:val="single" w:color="auto" w:sz="4" w:space="0"/>
            </w:tcBorders>
            <w:vAlign w:val="center"/>
          </w:tcPr>
          <w:p w14:paraId="0AEF07CD">
            <w:pPr>
              <w:keepNext w:val="0"/>
              <w:keepLines w:val="0"/>
              <w:pageBreakBefore w:val="0"/>
              <w:widowControl w:val="0"/>
              <w:suppressLineNumbers w:val="0"/>
              <w:kinsoku/>
              <w:wordWrap w:val="0"/>
              <w:overflowPunct/>
              <w:bidi w:val="0"/>
              <w:spacing w:before="0" w:beforeAutospacing="0" w:after="0" w:afterAutospacing="0" w:line="276" w:lineRule="auto"/>
              <w:ind w:left="-38"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大型企业</w:t>
            </w: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中型企业</w:t>
            </w:r>
          </w:p>
          <w:p w14:paraId="53651E66">
            <w:pPr>
              <w:keepNext w:val="0"/>
              <w:keepLines w:val="0"/>
              <w:pageBreakBefore w:val="0"/>
              <w:widowControl w:val="0"/>
              <w:suppressLineNumbers w:val="0"/>
              <w:kinsoku/>
              <w:wordWrap w:val="0"/>
              <w:overflowPunct/>
              <w:bidi w:val="0"/>
              <w:spacing w:before="0" w:beforeAutospacing="0" w:after="0" w:afterAutospacing="0" w:line="276" w:lineRule="auto"/>
              <w:ind w:left="-38"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小型企业</w:t>
            </w: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微型企业</w:t>
            </w:r>
          </w:p>
          <w:p w14:paraId="302F62E3">
            <w:pPr>
              <w:pStyle w:val="24"/>
              <w:keepNext w:val="0"/>
              <w:keepLines w:val="0"/>
              <w:pageBreakBefore w:val="0"/>
              <w:widowControl w:val="0"/>
              <w:suppressLineNumbers w:val="0"/>
              <w:kinsoku/>
              <w:wordWrap w:val="0"/>
              <w:overflowPunct/>
              <w:bidi w:val="0"/>
              <w:spacing w:before="0" w:beforeAutospacing="0" w:afterAutospacing="0"/>
              <w:ind w:left="0" w:right="0" w:firstLine="0"/>
              <w:rPr>
                <w:rFonts w:hint="eastAsia" w:ascii="宋体" w:hAnsi="宋体" w:eastAsia="宋体" w:cs="宋体"/>
                <w:color w:val="auto"/>
                <w:highlight w:val="none"/>
              </w:rPr>
            </w:pPr>
            <w:r>
              <w:rPr>
                <w:rFonts w:hint="eastAsia" w:ascii="宋体" w:hAnsi="宋体" w:eastAsia="宋体" w:cs="宋体"/>
                <w:color w:val="auto"/>
                <w:szCs w:val="21"/>
                <w:highlight w:val="none"/>
              </w:rPr>
              <w:t>说明：</w:t>
            </w:r>
            <w:r>
              <w:rPr>
                <w:rFonts w:hint="eastAsia" w:ascii="宋体" w:hAnsi="宋体" w:eastAsia="宋体" w:cs="宋体"/>
                <w:color w:val="auto"/>
                <w:kern w:val="0"/>
                <w:szCs w:val="21"/>
                <w:highlight w:val="none"/>
              </w:rPr>
              <w:t>（非单一货物制造商请分别说明企业规模）</w:t>
            </w:r>
          </w:p>
        </w:tc>
      </w:tr>
      <w:tr w14:paraId="282450C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00" w:type="dxa"/>
            <w:tcBorders>
              <w:top w:val="single" w:color="auto" w:sz="4" w:space="0"/>
              <w:left w:val="single" w:color="auto" w:sz="4" w:space="0"/>
              <w:bottom w:val="single" w:color="auto" w:sz="4" w:space="0"/>
              <w:right w:val="single" w:color="auto" w:sz="4" w:space="0"/>
            </w:tcBorders>
            <w:vAlign w:val="center"/>
          </w:tcPr>
          <w:p w14:paraId="712B674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137D1AEC">
            <w:pPr>
              <w:keepNext w:val="0"/>
              <w:keepLines w:val="0"/>
              <w:pageBreakBefore w:val="0"/>
              <w:widowControl w:val="0"/>
              <w:suppressLineNumbers w:val="0"/>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3512" w:type="dxa"/>
            <w:tcBorders>
              <w:top w:val="single" w:color="auto" w:sz="4" w:space="0"/>
              <w:left w:val="single" w:color="auto" w:sz="4" w:space="0"/>
              <w:bottom w:val="single" w:color="auto" w:sz="4" w:space="0"/>
              <w:right w:val="single" w:color="auto" w:sz="4" w:space="0"/>
            </w:tcBorders>
            <w:vAlign w:val="center"/>
          </w:tcPr>
          <w:p w14:paraId="7FEF8D07">
            <w:pPr>
              <w:keepNext w:val="0"/>
              <w:keepLines w:val="0"/>
              <w:pageBreakBefore w:val="0"/>
              <w:widowControl w:val="0"/>
              <w:suppressLineNumbers w:val="0"/>
              <w:kinsoku/>
              <w:wordWrap w:val="0"/>
              <w:overflowPunct/>
              <w:bidi w:val="0"/>
              <w:spacing w:before="0" w:beforeAutospacing="0" w:after="0" w:afterAutospacing="0" w:line="276" w:lineRule="auto"/>
              <w:ind w:left="-38" w:right="0"/>
              <w:jc w:val="center"/>
              <w:rPr>
                <w:rFonts w:hint="eastAsia" w:ascii="宋体" w:hAnsi="宋体" w:eastAsia="宋体" w:cs="宋体"/>
                <w:color w:val="auto"/>
                <w:szCs w:val="21"/>
                <w:highlight w:val="none"/>
              </w:rPr>
            </w:pPr>
          </w:p>
        </w:tc>
      </w:tr>
    </w:tbl>
    <w:p w14:paraId="1F1F1072">
      <w:pPr>
        <w:pageBreakBefore w:val="0"/>
        <w:widowControl w:val="0"/>
        <w:kinsoku/>
        <w:wordWrap w:val="0"/>
        <w:overflowPunct/>
        <w:bidi w:val="0"/>
        <w:spacing w:line="276" w:lineRule="auto"/>
        <w:ind w:left="918" w:hanging="917" w:hangingChars="437"/>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说明：1．报价用人民币表示，单位为“元”。</w:t>
      </w:r>
    </w:p>
    <w:p w14:paraId="73172632">
      <w:pPr>
        <w:pageBreakBefore w:val="0"/>
        <w:widowControl w:val="0"/>
        <w:kinsoku/>
        <w:wordWrap w:val="0"/>
        <w:overflowPunct/>
        <w:bidi w:val="0"/>
        <w:spacing w:line="276" w:lineRule="auto"/>
        <w:ind w:left="1017" w:leftChars="339" w:hanging="306" w:hangingChars="14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2．价格应按照招标文件第二章“投标人须知”中第12条的要求进行报价。</w:t>
      </w:r>
    </w:p>
    <w:p w14:paraId="0B10AB42">
      <w:pPr>
        <w:pageBreakBefore w:val="0"/>
        <w:widowControl w:val="0"/>
        <w:kinsoku/>
        <w:wordWrap w:val="0"/>
        <w:overflowPunct/>
        <w:bidi w:val="0"/>
        <w:spacing w:line="276" w:lineRule="auto"/>
        <w:ind w:left="1017" w:leftChars="339" w:hanging="306" w:hangingChars="14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3.如果以文字表示的数值与以数字表示的数值不一致，以文字为准修正数字。</w:t>
      </w:r>
    </w:p>
    <w:p w14:paraId="2D83BEF0">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lang w:val="zh-CN"/>
        </w:rPr>
      </w:pPr>
    </w:p>
    <w:p w14:paraId="07DBDF8B">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lang w:val="zh-CN"/>
        </w:rPr>
        <w:t>投标人名称（公章）：</w:t>
      </w:r>
    </w:p>
    <w:p w14:paraId="38A8E3C6">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
          <w:bCs/>
          <w:color w:val="auto"/>
          <w:szCs w:val="21"/>
          <w:highlight w:val="none"/>
          <w:u w:val="single"/>
          <w:lang w:val="zh-CN"/>
        </w:rPr>
      </w:pPr>
      <w:r>
        <w:rPr>
          <w:rFonts w:hint="eastAsia" w:ascii="宋体" w:hAnsi="宋体" w:eastAsia="宋体" w:cs="宋体"/>
          <w:color w:val="auto"/>
          <w:kern w:val="0"/>
          <w:szCs w:val="21"/>
          <w:highlight w:val="none"/>
          <w:shd w:val="clear" w:color="auto" w:fill="FFFFFF"/>
        </w:rPr>
        <w:t>法定代表人或其</w:t>
      </w:r>
      <w:r>
        <w:rPr>
          <w:rFonts w:hint="eastAsia" w:ascii="宋体" w:hAnsi="宋体" w:eastAsia="宋体" w:cs="宋体"/>
          <w:bCs/>
          <w:color w:val="auto"/>
          <w:szCs w:val="21"/>
          <w:highlight w:val="none"/>
          <w:lang w:val="zh-CN"/>
        </w:rPr>
        <w:t>授权代表（签字或盖章）：</w:t>
      </w:r>
    </w:p>
    <w:p w14:paraId="50B65BAE">
      <w:pPr>
        <w:pageBreakBefore w:val="0"/>
        <w:widowControl w:val="0"/>
        <w:kinsoku/>
        <w:wordWrap w:val="0"/>
        <w:overflowPunct/>
        <w:bidi w:val="0"/>
        <w:spacing w:line="276" w:lineRule="auto"/>
        <w:ind w:firstLine="2902" w:firstLineChars="1382"/>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16CDD208">
      <w:pPr>
        <w:pageBreakBefore w:val="0"/>
        <w:widowControl w:val="0"/>
        <w:kinsoku/>
        <w:wordWrap w:val="0"/>
        <w:overflowPunct/>
        <w:bidi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p>
    <w:p w14:paraId="363F8CED">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报价明细表</w:t>
      </w:r>
    </w:p>
    <w:p w14:paraId="41059CA7">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报价明细表</w:t>
      </w:r>
    </w:p>
    <w:p w14:paraId="356F25BC">
      <w:pPr>
        <w:pageBreakBefore w:val="0"/>
        <w:widowControl w:val="0"/>
        <w:kinsoku/>
        <w:wordWrap w:val="0"/>
        <w:overflowPunct/>
        <w:bidi w:val="0"/>
        <w:spacing w:line="276" w:lineRule="auto"/>
        <w:jc w:val="left"/>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投标人：</w:t>
      </w:r>
    </w:p>
    <w:p w14:paraId="5A44C8B4">
      <w:pPr>
        <w:pageBreakBefore w:val="0"/>
        <w:widowControl w:val="0"/>
        <w:kinsoku/>
        <w:wordWrap w:val="0"/>
        <w:overflowPunct/>
        <w:bidi w:val="0"/>
        <w:spacing w:line="276" w:lineRule="auto"/>
        <w:jc w:val="left"/>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项目编号：项目名称</w:t>
      </w:r>
      <w:r>
        <w:rPr>
          <w:rFonts w:hint="eastAsia" w:ascii="宋体" w:hAnsi="宋体" w:cs="宋体"/>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18972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77E7FDD4">
            <w:pPr>
              <w:keepNext w:val="0"/>
              <w:keepLines w:val="0"/>
              <w:pageBreakBefore w:val="0"/>
              <w:widowControl w:val="0"/>
              <w:suppressLineNumbers w:val="0"/>
              <w:kinsoku/>
              <w:wordWrap w:val="0"/>
              <w:overflowPunct/>
              <w:bidi w:val="0"/>
              <w:spacing w:before="0" w:beforeAutospacing="0" w:after="0" w:afterAutospacing="0" w:line="276" w:lineRule="auto"/>
              <w:ind w:left="-23" w:leftChars="-11"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55CF6EAF">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4153C639">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品牌</w:t>
            </w:r>
          </w:p>
          <w:p w14:paraId="0B33A51F">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2D44E8BF">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78CE6C7F">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5AB3D983">
            <w:pPr>
              <w:keepNext w:val="0"/>
              <w:keepLines w:val="0"/>
              <w:pageBreakBefore w:val="0"/>
              <w:widowControl w:val="0"/>
              <w:suppressLineNumbers w:val="0"/>
              <w:kinsoku/>
              <w:wordWrap w:val="0"/>
              <w:overflowPunct/>
              <w:bidi w:val="0"/>
              <w:spacing w:before="0" w:beforeAutospacing="0" w:after="0" w:afterAutospacing="0" w:line="276" w:lineRule="auto"/>
              <w:ind w:left="-23" w:leftChars="-11"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51F9458F">
            <w:pPr>
              <w:keepNext w:val="0"/>
              <w:keepLines w:val="0"/>
              <w:pageBreakBefore w:val="0"/>
              <w:widowControl w:val="0"/>
              <w:suppressLineNumbers w:val="0"/>
              <w:kinsoku/>
              <w:wordWrap w:val="0"/>
              <w:overflowPunct/>
              <w:bidi w:val="0"/>
              <w:spacing w:before="0" w:beforeAutospacing="0" w:after="0" w:afterAutospacing="0" w:line="276" w:lineRule="auto"/>
              <w:ind w:left="-23" w:leftChars="-11"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分项合计</w:t>
            </w:r>
          </w:p>
        </w:tc>
      </w:tr>
      <w:tr w14:paraId="60BA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C2361AC">
            <w:pPr>
              <w:keepNext w:val="0"/>
              <w:keepLines w:val="0"/>
              <w:pageBreakBefore w:val="0"/>
              <w:widowControl w:val="0"/>
              <w:numPr>
                <w:ilvl w:val="0"/>
                <w:numId w:val="56"/>
              </w:numPr>
              <w:suppressLineNumbers w:val="0"/>
              <w:tabs>
                <w:tab w:val="left" w:pos="82"/>
              </w:tabs>
              <w:kinsoku/>
              <w:wordWrap w:val="0"/>
              <w:overflowPunct/>
              <w:bidi w:val="0"/>
              <w:adjustRightInd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5A5BC303">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276" w:lineRule="auto"/>
              <w:ind w:left="479" w:right="0" w:hanging="478" w:hangingChars="228"/>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18006A6">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45F07FC">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375" w:rightChars="-179"/>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03DBE702">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2B7E70DE">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3E28FD4E">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34EE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71F193E">
            <w:pPr>
              <w:keepNext w:val="0"/>
              <w:keepLines w:val="0"/>
              <w:pageBreakBefore w:val="0"/>
              <w:widowControl w:val="0"/>
              <w:numPr>
                <w:ilvl w:val="0"/>
                <w:numId w:val="56"/>
              </w:numPr>
              <w:suppressLineNumbers w:val="0"/>
              <w:tabs>
                <w:tab w:val="left" w:pos="82"/>
              </w:tabs>
              <w:kinsoku/>
              <w:wordWrap w:val="0"/>
              <w:overflowPunct/>
              <w:bidi w:val="0"/>
              <w:adjustRightInd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5C14D6EA">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CA3EB19">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35C9555">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2CAD331B">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380EFF57">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415365BA">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5DD5E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5DA3EDA">
            <w:pPr>
              <w:keepNext w:val="0"/>
              <w:keepLines w:val="0"/>
              <w:pageBreakBefore w:val="0"/>
              <w:widowControl w:val="0"/>
              <w:suppressLineNumbers w:val="0"/>
              <w:tabs>
                <w:tab w:val="left" w:pos="82"/>
              </w:tabs>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410" w:type="dxa"/>
            <w:tcBorders>
              <w:top w:val="single" w:color="auto" w:sz="4" w:space="0"/>
              <w:left w:val="single" w:color="auto" w:sz="4" w:space="0"/>
              <w:bottom w:val="single" w:color="auto" w:sz="4" w:space="0"/>
              <w:right w:val="single" w:color="auto" w:sz="4" w:space="0"/>
            </w:tcBorders>
            <w:vAlign w:val="center"/>
          </w:tcPr>
          <w:p w14:paraId="2AFE15B2">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60E439B">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AC58FA7">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3F578C6B">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6F85CA19">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621D264F">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40ED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7432655">
            <w:pPr>
              <w:keepNext w:val="0"/>
              <w:keepLines w:val="0"/>
              <w:pageBreakBefore w:val="0"/>
              <w:widowControl w:val="0"/>
              <w:suppressLineNumbers w:val="0"/>
              <w:tabs>
                <w:tab w:val="left" w:pos="82"/>
              </w:tabs>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410" w:type="dxa"/>
            <w:tcBorders>
              <w:top w:val="single" w:color="auto" w:sz="4" w:space="0"/>
              <w:left w:val="single" w:color="auto" w:sz="4" w:space="0"/>
              <w:bottom w:val="single" w:color="auto" w:sz="4" w:space="0"/>
              <w:right w:val="single" w:color="auto" w:sz="4" w:space="0"/>
            </w:tcBorders>
            <w:vAlign w:val="center"/>
          </w:tcPr>
          <w:p w14:paraId="46D22B29">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2F00A92">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822A824">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7C9ACCBB">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7F1A8EA6">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39E74040">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2737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00A6FC21">
            <w:pPr>
              <w:keepNext w:val="0"/>
              <w:keepLines w:val="0"/>
              <w:pageBreakBefore w:val="0"/>
              <w:widowControl w:val="0"/>
              <w:suppressLineNumbers w:val="0"/>
              <w:tabs>
                <w:tab w:val="left" w:pos="82"/>
              </w:tabs>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410" w:type="dxa"/>
            <w:tcBorders>
              <w:top w:val="single" w:color="auto" w:sz="4" w:space="0"/>
              <w:left w:val="single" w:color="auto" w:sz="4" w:space="0"/>
              <w:bottom w:val="single" w:color="auto" w:sz="4" w:space="0"/>
              <w:right w:val="single" w:color="auto" w:sz="4" w:space="0"/>
            </w:tcBorders>
            <w:vAlign w:val="center"/>
          </w:tcPr>
          <w:p w14:paraId="5241DBE2">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C17DBF6">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786FF0A6">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69255D33">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47555239">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44537EEF">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3091E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329ED45C">
            <w:pPr>
              <w:keepNext w:val="0"/>
              <w:keepLines w:val="0"/>
              <w:pageBreakBefore w:val="0"/>
              <w:widowControl w:val="0"/>
              <w:suppressLineNumbers w:val="0"/>
              <w:tabs>
                <w:tab w:val="left" w:pos="82"/>
              </w:tabs>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410" w:type="dxa"/>
            <w:tcBorders>
              <w:top w:val="single" w:color="auto" w:sz="4" w:space="0"/>
              <w:left w:val="single" w:color="auto" w:sz="4" w:space="0"/>
              <w:bottom w:val="single" w:color="auto" w:sz="4" w:space="0"/>
              <w:right w:val="single" w:color="auto" w:sz="4" w:space="0"/>
            </w:tcBorders>
            <w:vAlign w:val="center"/>
          </w:tcPr>
          <w:p w14:paraId="38EE8CE0">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7E6DD63">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26DDB5F">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41F7C9BB">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51E2113F">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54C6443B">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7F00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0CF11B4A">
            <w:pPr>
              <w:keepNext w:val="0"/>
              <w:keepLines w:val="0"/>
              <w:pageBreakBefore w:val="0"/>
              <w:widowControl w:val="0"/>
              <w:suppressLineNumbers w:val="0"/>
              <w:tabs>
                <w:tab w:val="left" w:pos="82"/>
              </w:tabs>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410" w:type="dxa"/>
            <w:tcBorders>
              <w:top w:val="single" w:color="auto" w:sz="4" w:space="0"/>
              <w:left w:val="single" w:color="auto" w:sz="4" w:space="0"/>
              <w:bottom w:val="single" w:color="auto" w:sz="4" w:space="0"/>
              <w:right w:val="single" w:color="auto" w:sz="4" w:space="0"/>
            </w:tcBorders>
            <w:vAlign w:val="center"/>
          </w:tcPr>
          <w:p w14:paraId="733881A5">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14:paraId="50F16D80">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3C196D0">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585B04EA">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6C630D03">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721FECF8">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73E1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60D55A0A">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513A773B">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r>
    </w:tbl>
    <w:p w14:paraId="7B44E47E">
      <w:pPr>
        <w:pageBreakBefore w:val="0"/>
        <w:widowControl w:val="0"/>
        <w:kinsoku/>
        <w:wordWrap w:val="0"/>
        <w:overflowPunct/>
        <w:bidi w:val="0"/>
        <w:spacing w:line="276" w:lineRule="auto"/>
        <w:ind w:left="918" w:hanging="917" w:hangingChars="437"/>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说明：1．币种单位与《报价一览表》一致，单位为“元”。</w:t>
      </w:r>
    </w:p>
    <w:p w14:paraId="0BD54802">
      <w:pPr>
        <w:pageBreakBefore w:val="0"/>
        <w:widowControl w:val="0"/>
        <w:kinsoku/>
        <w:wordWrap w:val="0"/>
        <w:overflowPunct/>
        <w:bidi w:val="0"/>
        <w:spacing w:line="276" w:lineRule="auto"/>
        <w:ind w:left="1017" w:leftChars="339" w:hanging="306" w:hangingChars="14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2．应根据采购清单进行分项报价，报价范围应包含全部采购内容。报价明细表合计应与《报价一览表》中的投标总报价一致。</w:t>
      </w:r>
    </w:p>
    <w:p w14:paraId="31B9BBF7">
      <w:pPr>
        <w:pageBreakBefore w:val="0"/>
        <w:widowControl w:val="0"/>
        <w:kinsoku/>
        <w:wordWrap w:val="0"/>
        <w:overflowPunct/>
        <w:bidi w:val="0"/>
        <w:spacing w:line="276" w:lineRule="auto"/>
        <w:ind w:left="1017" w:leftChars="339" w:hanging="306" w:hangingChars="14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3．未提供详细的分项报价表，导致的后果由投标人自行承担。</w:t>
      </w:r>
    </w:p>
    <w:p w14:paraId="4DC1DBEF">
      <w:pPr>
        <w:pageBreakBefore w:val="0"/>
        <w:widowControl w:val="0"/>
        <w:kinsoku/>
        <w:wordWrap w:val="0"/>
        <w:overflowPunct/>
        <w:bidi w:val="0"/>
        <w:spacing w:line="276" w:lineRule="auto"/>
        <w:ind w:left="832" w:hanging="831" w:hangingChars="396"/>
        <w:jc w:val="left"/>
        <w:rPr>
          <w:rFonts w:hint="eastAsia" w:ascii="宋体" w:hAnsi="宋体" w:eastAsia="宋体" w:cs="宋体"/>
          <w:color w:val="auto"/>
          <w:szCs w:val="21"/>
          <w:highlight w:val="none"/>
        </w:rPr>
      </w:pPr>
    </w:p>
    <w:p w14:paraId="131C507C">
      <w:pPr>
        <w:pageBreakBefore w:val="0"/>
        <w:widowControl w:val="0"/>
        <w:kinsoku/>
        <w:wordWrap w:val="0"/>
        <w:overflowPunct/>
        <w:bidi w:val="0"/>
        <w:spacing w:line="276" w:lineRule="auto"/>
        <w:ind w:left="832" w:hanging="831" w:hangingChars="396"/>
        <w:jc w:val="left"/>
        <w:rPr>
          <w:rFonts w:hint="eastAsia" w:ascii="宋体" w:hAnsi="宋体" w:eastAsia="宋体" w:cs="宋体"/>
          <w:color w:val="auto"/>
          <w:szCs w:val="21"/>
          <w:highlight w:val="none"/>
        </w:rPr>
      </w:pPr>
    </w:p>
    <w:p w14:paraId="34A369BF">
      <w:pPr>
        <w:pageBreakBefore w:val="0"/>
        <w:widowControl w:val="0"/>
        <w:kinsoku/>
        <w:wordWrap w:val="0"/>
        <w:overflowPunct/>
        <w:bidi w:val="0"/>
        <w:spacing w:line="276" w:lineRule="auto"/>
        <w:ind w:left="832" w:hanging="831" w:hangingChars="396"/>
        <w:jc w:val="left"/>
        <w:rPr>
          <w:rFonts w:hint="eastAsia" w:ascii="宋体" w:hAnsi="宋体" w:eastAsia="宋体" w:cs="宋体"/>
          <w:color w:val="auto"/>
          <w:szCs w:val="21"/>
          <w:highlight w:val="none"/>
        </w:rPr>
      </w:pPr>
    </w:p>
    <w:p w14:paraId="72E7446F">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37A75C6F">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color w:val="auto"/>
          <w:kern w:val="0"/>
          <w:szCs w:val="21"/>
          <w:highlight w:val="none"/>
          <w:shd w:val="clear" w:color="auto" w:fill="FFFFFF"/>
        </w:rPr>
        <w:t>法定代表人或其</w:t>
      </w:r>
      <w:r>
        <w:rPr>
          <w:rFonts w:hint="eastAsia" w:ascii="宋体" w:hAnsi="宋体" w:eastAsia="宋体" w:cs="宋体"/>
          <w:bCs/>
          <w:color w:val="auto"/>
          <w:szCs w:val="21"/>
          <w:highlight w:val="none"/>
          <w:lang w:val="zh-CN"/>
        </w:rPr>
        <w:t>授权代表（签字或盖章）：</w:t>
      </w:r>
    </w:p>
    <w:p w14:paraId="05665C08">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57571424">
      <w:pPr>
        <w:pageBreakBefore w:val="0"/>
        <w:widowControl w:val="0"/>
        <w:kinsoku/>
        <w:wordWrap w:val="0"/>
        <w:overflowPunct/>
        <w:bidi w:val="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CF6A090">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报价范围以外的备品备件、耗材/服务价格表（如有）</w:t>
      </w:r>
    </w:p>
    <w:p w14:paraId="012EF75B">
      <w:pPr>
        <w:pageBreakBefore w:val="0"/>
        <w:widowControl w:val="0"/>
        <w:kinsoku/>
        <w:wordWrap w:val="0"/>
        <w:overflowPunct/>
        <w:bidi w:val="0"/>
        <w:spacing w:before="100" w:beforeAutospacing="1" w:after="100" w:afterAutospacing="1"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报价范围以外的备品备件、耗材/服务价格表</w:t>
      </w:r>
    </w:p>
    <w:p w14:paraId="2B690492">
      <w:pPr>
        <w:pageBreakBefore w:val="0"/>
        <w:widowControl w:val="0"/>
        <w:kinsoku/>
        <w:wordWrap w:val="0"/>
        <w:overflowPunct/>
        <w:bidi w:val="0"/>
        <w:spacing w:line="276" w:lineRule="auto"/>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投标人：</w:t>
      </w:r>
    </w:p>
    <w:p w14:paraId="51387986">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项目编号：项目名称</w:t>
      </w:r>
      <w:r>
        <w:rPr>
          <w:rFonts w:hint="eastAsia" w:ascii="宋体" w:hAnsi="宋体" w:cs="宋体"/>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4D30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536D6C74">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1DA586F8">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0B6450C5">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7831ABF7">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399DEA16">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350D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C0FB297">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36" w:type="dxa"/>
            <w:tcBorders>
              <w:top w:val="single" w:color="auto" w:sz="4" w:space="0"/>
              <w:left w:val="single" w:color="auto" w:sz="4" w:space="0"/>
              <w:bottom w:val="single" w:color="auto" w:sz="4" w:space="0"/>
              <w:right w:val="single" w:color="auto" w:sz="4" w:space="0"/>
            </w:tcBorders>
          </w:tcPr>
          <w:p w14:paraId="2882A78C">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5A4D618C">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49A861E7">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14BA85EA">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r>
      <w:tr w14:paraId="40289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6F84699">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536" w:type="dxa"/>
            <w:tcBorders>
              <w:top w:val="single" w:color="auto" w:sz="4" w:space="0"/>
              <w:left w:val="single" w:color="auto" w:sz="4" w:space="0"/>
              <w:bottom w:val="single" w:color="auto" w:sz="4" w:space="0"/>
              <w:right w:val="single" w:color="auto" w:sz="4" w:space="0"/>
            </w:tcBorders>
          </w:tcPr>
          <w:p w14:paraId="59939028">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5977ED18">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5C8908D9">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08007F66">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r>
      <w:tr w14:paraId="497F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3ADA17E">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4536" w:type="dxa"/>
            <w:tcBorders>
              <w:top w:val="single" w:color="auto" w:sz="4" w:space="0"/>
              <w:left w:val="single" w:color="auto" w:sz="4" w:space="0"/>
              <w:bottom w:val="single" w:color="auto" w:sz="4" w:space="0"/>
              <w:right w:val="single" w:color="auto" w:sz="4" w:space="0"/>
            </w:tcBorders>
          </w:tcPr>
          <w:p w14:paraId="153F593F">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4E0418BB">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0AFCA1C8">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6D36BB67">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r>
      <w:tr w14:paraId="78BE8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B72A6F3">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536" w:type="dxa"/>
            <w:tcBorders>
              <w:top w:val="single" w:color="auto" w:sz="4" w:space="0"/>
              <w:left w:val="single" w:color="auto" w:sz="4" w:space="0"/>
              <w:bottom w:val="single" w:color="auto" w:sz="4" w:space="0"/>
              <w:right w:val="single" w:color="auto" w:sz="4" w:space="0"/>
            </w:tcBorders>
          </w:tcPr>
          <w:p w14:paraId="1FB516BF">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040F6D50">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40E986DB">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539A51B4">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r>
      <w:tr w14:paraId="685D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18A6DB6">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536" w:type="dxa"/>
            <w:tcBorders>
              <w:top w:val="single" w:color="auto" w:sz="4" w:space="0"/>
              <w:left w:val="single" w:color="auto" w:sz="4" w:space="0"/>
              <w:bottom w:val="single" w:color="auto" w:sz="4" w:space="0"/>
              <w:right w:val="single" w:color="auto" w:sz="4" w:space="0"/>
            </w:tcBorders>
          </w:tcPr>
          <w:p w14:paraId="4FAA119C">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7CF40FDB">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8326EF5">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5715E5C9">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r>
      <w:tr w14:paraId="1058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E5D7A8B">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536" w:type="dxa"/>
            <w:tcBorders>
              <w:top w:val="single" w:color="auto" w:sz="4" w:space="0"/>
              <w:left w:val="single" w:color="auto" w:sz="4" w:space="0"/>
              <w:bottom w:val="single" w:color="auto" w:sz="4" w:space="0"/>
              <w:right w:val="single" w:color="auto" w:sz="4" w:space="0"/>
            </w:tcBorders>
          </w:tcPr>
          <w:p w14:paraId="5F4B3C4C">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3A276B44">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13440E6">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5DB1812B">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r>
      <w:tr w14:paraId="7F4D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317582B">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536" w:type="dxa"/>
            <w:tcBorders>
              <w:top w:val="single" w:color="auto" w:sz="4" w:space="0"/>
              <w:left w:val="single" w:color="auto" w:sz="4" w:space="0"/>
              <w:bottom w:val="single" w:color="auto" w:sz="4" w:space="0"/>
              <w:right w:val="single" w:color="auto" w:sz="4" w:space="0"/>
            </w:tcBorders>
          </w:tcPr>
          <w:p w14:paraId="5B477D73">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276" w:type="dxa"/>
            <w:tcBorders>
              <w:top w:val="single" w:color="auto" w:sz="4" w:space="0"/>
              <w:left w:val="single" w:color="auto" w:sz="4" w:space="0"/>
              <w:bottom w:val="single" w:color="auto" w:sz="4" w:space="0"/>
              <w:right w:val="single" w:color="auto" w:sz="4" w:space="0"/>
            </w:tcBorders>
          </w:tcPr>
          <w:p w14:paraId="786B8C10">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02F69432">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17DDD9DF">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r>
      <w:tr w14:paraId="70C87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9DBAACF">
            <w:pPr>
              <w:keepNext w:val="0"/>
              <w:keepLines w:val="0"/>
              <w:pageBreakBefore w:val="0"/>
              <w:widowControl w:val="0"/>
              <w:suppressLineNumbers w:val="0"/>
              <w:kinsoku/>
              <w:wordWrap w:val="0"/>
              <w:overflowPunct/>
              <w:bidi w:val="0"/>
              <w:spacing w:before="100" w:beforeAutospacing="1" w:after="100" w:afterAutospacing="1" w:line="276" w:lineRule="auto"/>
              <w:ind w:left="0" w:right="0"/>
              <w:jc w:val="center"/>
              <w:rPr>
                <w:rFonts w:hint="eastAsia" w:ascii="宋体" w:hAnsi="宋体" w:eastAsia="宋体" w:cs="宋体"/>
                <w:color w:val="auto"/>
                <w:szCs w:val="21"/>
                <w:highlight w:val="none"/>
              </w:rPr>
            </w:pPr>
          </w:p>
        </w:tc>
        <w:tc>
          <w:tcPr>
            <w:tcW w:w="4536" w:type="dxa"/>
            <w:tcBorders>
              <w:top w:val="single" w:color="auto" w:sz="4" w:space="0"/>
              <w:left w:val="single" w:color="auto" w:sz="4" w:space="0"/>
              <w:bottom w:val="single" w:color="auto" w:sz="4" w:space="0"/>
              <w:right w:val="single" w:color="auto" w:sz="4" w:space="0"/>
            </w:tcBorders>
          </w:tcPr>
          <w:p w14:paraId="7D705E88">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653073E4">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2848AAE4">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784E8067">
            <w:pPr>
              <w:keepNext w:val="0"/>
              <w:keepLines w:val="0"/>
              <w:pageBreakBefore w:val="0"/>
              <w:widowControl w:val="0"/>
              <w:suppressLineNumbers w:val="0"/>
              <w:kinsoku/>
              <w:wordWrap w:val="0"/>
              <w:overflowPunct/>
              <w:bidi w:val="0"/>
              <w:spacing w:before="100" w:beforeAutospacing="1" w:after="100" w:afterAutospacing="1" w:line="276" w:lineRule="auto"/>
              <w:ind w:left="0" w:right="0"/>
              <w:rPr>
                <w:rFonts w:hint="eastAsia" w:ascii="宋体" w:hAnsi="宋体" w:eastAsia="宋体" w:cs="宋体"/>
                <w:color w:val="auto"/>
                <w:szCs w:val="21"/>
                <w:highlight w:val="none"/>
              </w:rPr>
            </w:pPr>
          </w:p>
        </w:tc>
      </w:tr>
    </w:tbl>
    <w:p w14:paraId="2E26AA0B">
      <w:pPr>
        <w:pageBreakBefore w:val="0"/>
        <w:widowControl w:val="0"/>
        <w:kinsoku/>
        <w:wordWrap w:val="0"/>
        <w:overflowPunct/>
        <w:bidi w:val="0"/>
        <w:spacing w:before="100" w:beforeAutospacing="1"/>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2F49A978">
      <w:pPr>
        <w:pageBreakBefore w:val="0"/>
        <w:widowControl w:val="0"/>
        <w:kinsoku/>
        <w:wordWrap w:val="0"/>
        <w:overflowPunct/>
        <w:bidi w:val="0"/>
        <w:ind w:left="210" w:left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1.币种单位与《报价一览表》一致，单位为“元”。</w:t>
      </w:r>
    </w:p>
    <w:p w14:paraId="4C469268">
      <w:pPr>
        <w:pageBreakBefore w:val="0"/>
        <w:widowControl w:val="0"/>
        <w:kinsoku/>
        <w:wordWrap w:val="0"/>
        <w:overflowPunct/>
        <w:bidi w:val="0"/>
        <w:spacing w:line="276" w:lineRule="auto"/>
        <w:ind w:left="420" w:leftChars="100" w:hanging="210" w:hanging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2.投标人应提供投标范围以外的备品备件/服务价格表，如无此项则可不提供。本表报价不含在投标总报价中。</w:t>
      </w:r>
    </w:p>
    <w:p w14:paraId="66EAC834">
      <w:pPr>
        <w:pageBreakBefore w:val="0"/>
        <w:widowControl w:val="0"/>
        <w:kinsoku/>
        <w:wordWrap w:val="0"/>
        <w:overflowPunct/>
        <w:bidi w:val="0"/>
        <w:spacing w:line="276" w:lineRule="auto"/>
        <w:ind w:left="424" w:leftChars="100" w:hanging="214" w:hangingChars="102"/>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3.投标人必须按此表格式中的对应栏目内容填写，若需增加栏目，请在栏目“备注”中填写，并作详细说明。</w:t>
      </w:r>
    </w:p>
    <w:p w14:paraId="288EA876">
      <w:pPr>
        <w:pageBreakBefore w:val="0"/>
        <w:widowControl w:val="0"/>
        <w:kinsoku/>
        <w:wordWrap w:val="0"/>
        <w:overflowPunct/>
        <w:bidi w:val="0"/>
        <w:spacing w:line="276" w:lineRule="auto"/>
        <w:ind w:firstLine="210" w:firstLineChars="100"/>
        <w:rPr>
          <w:rFonts w:hint="eastAsia" w:ascii="宋体" w:hAnsi="宋体" w:eastAsia="宋体" w:cs="宋体"/>
          <w:color w:val="auto"/>
          <w:szCs w:val="21"/>
          <w:highlight w:val="none"/>
        </w:rPr>
      </w:pPr>
    </w:p>
    <w:p w14:paraId="0AC19396">
      <w:pPr>
        <w:pageBreakBefore w:val="0"/>
        <w:widowControl w:val="0"/>
        <w:kinsoku/>
        <w:wordWrap w:val="0"/>
        <w:overflowPunct/>
        <w:bidi w:val="0"/>
        <w:spacing w:line="276" w:lineRule="auto"/>
        <w:ind w:firstLine="210" w:firstLineChars="100"/>
        <w:rPr>
          <w:rFonts w:hint="eastAsia" w:ascii="宋体" w:hAnsi="宋体" w:eastAsia="宋体" w:cs="宋体"/>
          <w:color w:val="auto"/>
          <w:szCs w:val="21"/>
          <w:highlight w:val="none"/>
        </w:rPr>
      </w:pPr>
    </w:p>
    <w:p w14:paraId="5A2A3A6E">
      <w:pPr>
        <w:pageBreakBefore w:val="0"/>
        <w:widowControl w:val="0"/>
        <w:kinsoku/>
        <w:wordWrap w:val="0"/>
        <w:overflowPunct/>
        <w:bidi w:val="0"/>
        <w:spacing w:line="276" w:lineRule="auto"/>
        <w:ind w:firstLine="210" w:firstLineChars="100"/>
        <w:rPr>
          <w:rFonts w:hint="eastAsia" w:ascii="宋体" w:hAnsi="宋体" w:eastAsia="宋体" w:cs="宋体"/>
          <w:color w:val="auto"/>
          <w:szCs w:val="21"/>
          <w:highlight w:val="none"/>
        </w:rPr>
      </w:pPr>
    </w:p>
    <w:p w14:paraId="6D12BFE5">
      <w:pPr>
        <w:pageBreakBefore w:val="0"/>
        <w:widowControl w:val="0"/>
        <w:kinsoku/>
        <w:wordWrap w:val="0"/>
        <w:overflowPunct/>
        <w:bidi w:val="0"/>
        <w:spacing w:line="276" w:lineRule="auto"/>
        <w:ind w:firstLine="210" w:firstLineChars="100"/>
        <w:rPr>
          <w:rFonts w:hint="eastAsia" w:ascii="宋体" w:hAnsi="宋体" w:eastAsia="宋体" w:cs="宋体"/>
          <w:color w:val="auto"/>
          <w:szCs w:val="21"/>
          <w:highlight w:val="none"/>
        </w:rPr>
      </w:pPr>
    </w:p>
    <w:p w14:paraId="5890CE55">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1636A7A6">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6EF51869">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r>
        <w:rPr>
          <w:rFonts w:hint="eastAsia" w:ascii="宋体" w:hAnsi="宋体" w:eastAsia="宋体" w:cs="宋体"/>
          <w:color w:val="auto"/>
          <w:szCs w:val="21"/>
          <w:highlight w:val="none"/>
        </w:rPr>
        <w:t>交纳投标保证金的银行凭证</w:t>
      </w:r>
    </w:p>
    <w:p w14:paraId="0071960A">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bookmarkStart w:id="102" w:name="_Toc494665009"/>
      <w:bookmarkStart w:id="103" w:name="_Toc494702279"/>
      <w:bookmarkStart w:id="104" w:name="_Toc494721109"/>
      <w:bookmarkStart w:id="105" w:name="_Toc494745326"/>
      <w:bookmarkStart w:id="106" w:name="_Toc494665562"/>
      <w:bookmarkStart w:id="107" w:name="_Toc494665959"/>
      <w:r>
        <w:rPr>
          <w:rFonts w:hint="eastAsia" w:ascii="宋体" w:hAnsi="宋体" w:eastAsia="宋体" w:cs="宋体"/>
          <w:b/>
          <w:color w:val="auto"/>
          <w:szCs w:val="21"/>
          <w:highlight w:val="none"/>
        </w:rPr>
        <w:t>交纳投标保证金的银行凭证</w:t>
      </w:r>
      <w:bookmarkEnd w:id="102"/>
      <w:bookmarkEnd w:id="103"/>
      <w:bookmarkEnd w:id="104"/>
      <w:bookmarkEnd w:id="105"/>
      <w:bookmarkEnd w:id="106"/>
      <w:bookmarkEnd w:id="107"/>
    </w:p>
    <w:p w14:paraId="24CBCE6E">
      <w:pPr>
        <w:pageBreakBefore w:val="0"/>
        <w:widowControl w:val="0"/>
        <w:kinsoku/>
        <w:wordWrap w:val="0"/>
        <w:overflowPunct/>
        <w:bidi w:val="0"/>
        <w:spacing w:line="276"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DOCVARIABLE 招标机构名称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szCs w:val="21"/>
          <w:highlight w:val="none"/>
        </w:rPr>
        <w:t>武汉理工大学、${招标机构名称}</w:t>
      </w:r>
      <w:r>
        <w:rPr>
          <w:rFonts w:hint="eastAsia" w:ascii="宋体" w:hAnsi="宋体" w:eastAsia="宋体" w:cs="宋体"/>
          <w:b/>
          <w:color w:val="auto"/>
          <w:szCs w:val="21"/>
          <w:highlight w:val="none"/>
        </w:rPr>
        <w:fldChar w:fldCharType="end"/>
      </w:r>
      <w:r>
        <w:rPr>
          <w:rFonts w:hint="eastAsia" w:ascii="宋体" w:hAnsi="宋体" w:eastAsia="宋体" w:cs="宋体"/>
          <w:b/>
          <w:color w:val="auto"/>
          <w:szCs w:val="21"/>
          <w:highlight w:val="none"/>
        </w:rPr>
        <w:t>：</w:t>
      </w:r>
    </w:p>
    <w:p w14:paraId="3E6AB2DD">
      <w:pPr>
        <w:pageBreakBefore w:val="0"/>
        <w:widowControl w:val="0"/>
        <w:kinsoku/>
        <w:wordWrap w:val="0"/>
        <w:overflowPunct/>
        <w:bidi w:val="0"/>
        <w:spacing w:line="276" w:lineRule="auto"/>
        <w:ind w:firstLine="428" w:firstLineChars="204"/>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lang w:val="zh-CN"/>
        </w:rPr>
        <w:t>（投标人全称）</w:t>
      </w:r>
      <w:r>
        <w:rPr>
          <w:rFonts w:hint="eastAsia" w:ascii="宋体" w:hAnsi="宋体" w:eastAsia="宋体" w:cs="宋体"/>
          <w:color w:val="auto"/>
          <w:szCs w:val="21"/>
          <w:highlight w:val="none"/>
          <w:lang w:val="zh-CN"/>
        </w:rPr>
        <w:t>参加贵方组织的__</w:t>
      </w:r>
      <w:r>
        <w:rPr>
          <w:rFonts w:hint="eastAsia" w:ascii="宋体" w:hAnsi="宋体" w:eastAsia="宋体" w:cs="宋体"/>
          <w:color w:val="auto"/>
          <w:szCs w:val="21"/>
          <w:highlight w:val="none"/>
          <w:u w:val="single"/>
          <w:lang w:val="zh-CN"/>
        </w:rPr>
        <w:t>__</w:t>
      </w:r>
      <w:r>
        <w:rPr>
          <w:rFonts w:hint="eastAsia" w:ascii="宋体" w:hAnsi="宋体" w:eastAsia="宋体" w:cs="宋体"/>
          <w:color w:val="auto"/>
          <w:szCs w:val="21"/>
          <w:highlight w:val="none"/>
          <w:lang w:val="zh-CN"/>
        </w:rPr>
        <w:t>项目（项目编号：______</w:t>
      </w: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项目包号：</w:t>
      </w:r>
      <w:r>
        <w:rPr>
          <w:rFonts w:hint="eastAsia" w:ascii="宋体" w:hAnsi="宋体" w:eastAsia="宋体" w:cs="宋体"/>
          <w:color w:val="auto"/>
          <w:szCs w:val="21"/>
          <w:highlight w:val="none"/>
          <w:lang w:val="zh-CN"/>
        </w:rPr>
        <w:t>______）的政府采购活动。按招标文件的规定，已递交人民币（大写）万元的投标保证金。</w:t>
      </w:r>
    </w:p>
    <w:tbl>
      <w:tblPr>
        <w:tblStyle w:val="25"/>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4062B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2CBA167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01C4B54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5942C6D">
            <w:pPr>
              <w:keepNext w:val="0"/>
              <w:keepLines w:val="0"/>
              <w:pageBreakBefore w:val="0"/>
              <w:widowControl w:val="0"/>
              <w:suppressLineNumbers w:val="0"/>
              <w:kinsoku/>
              <w:wordWrap w:val="0"/>
              <w:overflowPunct/>
              <w:bidi w:val="0"/>
              <w:spacing w:before="0" w:beforeAutospacing="0" w:after="0" w:afterAutospacing="0" w:line="276" w:lineRule="auto"/>
              <w:ind w:left="0" w:right="0"/>
              <w:jc w:val="left"/>
              <w:rPr>
                <w:rFonts w:hint="eastAsia" w:ascii="宋体" w:hAnsi="宋体" w:eastAsia="宋体" w:cs="宋体"/>
                <w:color w:val="auto"/>
                <w:kern w:val="0"/>
                <w:szCs w:val="21"/>
                <w:highlight w:val="none"/>
              </w:rPr>
            </w:pPr>
          </w:p>
        </w:tc>
      </w:tr>
      <w:tr w14:paraId="7E0E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12A91C9C">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452730B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92A4767">
            <w:pPr>
              <w:keepNext w:val="0"/>
              <w:keepLines w:val="0"/>
              <w:pageBreakBefore w:val="0"/>
              <w:widowControl w:val="0"/>
              <w:suppressLineNumbers w:val="0"/>
              <w:kinsoku/>
              <w:wordWrap w:val="0"/>
              <w:overflowPunct/>
              <w:bidi w:val="0"/>
              <w:spacing w:before="0" w:beforeAutospacing="0" w:after="0" w:afterAutospacing="0" w:line="276" w:lineRule="auto"/>
              <w:ind w:left="0" w:right="0"/>
              <w:jc w:val="left"/>
              <w:rPr>
                <w:rFonts w:hint="eastAsia" w:ascii="宋体" w:hAnsi="宋体" w:eastAsia="宋体" w:cs="宋体"/>
                <w:color w:val="auto"/>
                <w:kern w:val="0"/>
                <w:szCs w:val="21"/>
                <w:highlight w:val="none"/>
              </w:rPr>
            </w:pPr>
          </w:p>
        </w:tc>
      </w:tr>
      <w:tr w14:paraId="1A09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164C640D">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6177F54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A683354">
            <w:pPr>
              <w:keepNext w:val="0"/>
              <w:keepLines w:val="0"/>
              <w:pageBreakBefore w:val="0"/>
              <w:widowControl w:val="0"/>
              <w:suppressLineNumbers w:val="0"/>
              <w:kinsoku/>
              <w:wordWrap w:val="0"/>
              <w:overflowPunct/>
              <w:bidi w:val="0"/>
              <w:spacing w:before="0" w:beforeAutospacing="0" w:after="0" w:afterAutospacing="0" w:line="276" w:lineRule="auto"/>
              <w:ind w:left="0" w:right="0"/>
              <w:jc w:val="left"/>
              <w:rPr>
                <w:rFonts w:hint="eastAsia" w:ascii="宋体" w:hAnsi="宋体" w:eastAsia="宋体" w:cs="宋体"/>
                <w:color w:val="auto"/>
                <w:kern w:val="0"/>
                <w:szCs w:val="21"/>
                <w:highlight w:val="none"/>
              </w:rPr>
            </w:pPr>
          </w:p>
        </w:tc>
      </w:tr>
      <w:tr w14:paraId="5495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5AB765EA">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0B97F50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w:t>
            </w:r>
          </w:p>
        </w:tc>
        <w:tc>
          <w:tcPr>
            <w:tcW w:w="2160" w:type="dxa"/>
            <w:tcBorders>
              <w:top w:val="single" w:color="auto" w:sz="4" w:space="0"/>
              <w:left w:val="single" w:color="auto" w:sz="4" w:space="0"/>
              <w:bottom w:val="single" w:color="auto" w:sz="4" w:space="0"/>
              <w:right w:val="single" w:color="auto" w:sz="4" w:space="0"/>
            </w:tcBorders>
            <w:vAlign w:val="center"/>
          </w:tcPr>
          <w:p w14:paraId="72F63DDB">
            <w:pPr>
              <w:keepNext w:val="0"/>
              <w:keepLines w:val="0"/>
              <w:pageBreakBefore w:val="0"/>
              <w:widowControl w:val="0"/>
              <w:suppressLineNumbers w:val="0"/>
              <w:kinsoku/>
              <w:wordWrap w:val="0"/>
              <w:overflowPunct/>
              <w:bidi w:val="0"/>
              <w:spacing w:before="0" w:beforeAutospacing="0" w:after="0" w:afterAutospacing="0" w:line="276" w:lineRule="auto"/>
              <w:ind w:left="0" w:right="0"/>
              <w:jc w:val="left"/>
              <w:rPr>
                <w:rFonts w:hint="eastAsia" w:ascii="宋体" w:hAnsi="宋体" w:eastAsia="宋体" w:cs="宋体"/>
                <w:color w:val="auto"/>
                <w:kern w:val="0"/>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4C7268A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6D87D899">
            <w:pPr>
              <w:keepNext w:val="0"/>
              <w:keepLines w:val="0"/>
              <w:pageBreakBefore w:val="0"/>
              <w:widowControl w:val="0"/>
              <w:suppressLineNumbers w:val="0"/>
              <w:kinsoku/>
              <w:wordWrap w:val="0"/>
              <w:overflowPunct/>
              <w:bidi w:val="0"/>
              <w:spacing w:before="0" w:beforeAutospacing="0" w:after="0" w:afterAutospacing="0" w:line="276" w:lineRule="auto"/>
              <w:ind w:left="0" w:right="0"/>
              <w:jc w:val="left"/>
              <w:rPr>
                <w:rFonts w:hint="eastAsia" w:ascii="宋体" w:hAnsi="宋体" w:eastAsia="宋体" w:cs="宋体"/>
                <w:color w:val="auto"/>
                <w:kern w:val="0"/>
                <w:szCs w:val="21"/>
                <w:highlight w:val="none"/>
              </w:rPr>
            </w:pPr>
          </w:p>
        </w:tc>
      </w:tr>
      <w:tr w14:paraId="0078F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2F3095B">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2D64E72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E647193">
            <w:pPr>
              <w:keepNext w:val="0"/>
              <w:keepLines w:val="0"/>
              <w:pageBreakBefore w:val="0"/>
              <w:widowControl w:val="0"/>
              <w:suppressLineNumbers w:val="0"/>
              <w:kinsoku/>
              <w:wordWrap w:val="0"/>
              <w:overflowPunct/>
              <w:bidi w:val="0"/>
              <w:spacing w:before="0" w:beforeAutospacing="0" w:after="0" w:afterAutospacing="0" w:line="276" w:lineRule="auto"/>
              <w:ind w:left="0" w:right="0"/>
              <w:jc w:val="left"/>
              <w:rPr>
                <w:rFonts w:hint="eastAsia" w:ascii="宋体" w:hAnsi="宋体" w:eastAsia="宋体" w:cs="宋体"/>
                <w:color w:val="auto"/>
                <w:kern w:val="0"/>
                <w:szCs w:val="21"/>
                <w:highlight w:val="none"/>
              </w:rPr>
            </w:pPr>
          </w:p>
        </w:tc>
      </w:tr>
      <w:tr w14:paraId="355F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11E637BE">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5803EC1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账号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4E6C18CA">
            <w:pPr>
              <w:keepNext w:val="0"/>
              <w:keepLines w:val="0"/>
              <w:pageBreakBefore w:val="0"/>
              <w:widowControl w:val="0"/>
              <w:suppressLineNumbers w:val="0"/>
              <w:kinsoku/>
              <w:wordWrap w:val="0"/>
              <w:overflowPunct/>
              <w:bidi w:val="0"/>
              <w:spacing w:before="0" w:beforeAutospacing="0" w:after="0" w:afterAutospacing="0" w:line="276" w:lineRule="auto"/>
              <w:ind w:left="0" w:right="0"/>
              <w:jc w:val="left"/>
              <w:rPr>
                <w:rFonts w:hint="eastAsia" w:ascii="宋体" w:hAnsi="宋体" w:eastAsia="宋体" w:cs="宋体"/>
                <w:color w:val="auto"/>
                <w:kern w:val="0"/>
                <w:szCs w:val="21"/>
                <w:highlight w:val="none"/>
              </w:rPr>
            </w:pPr>
          </w:p>
        </w:tc>
      </w:tr>
    </w:tbl>
    <w:p w14:paraId="52983697">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4317833B">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p>
    <w:tbl>
      <w:tblPr>
        <w:tblStyle w:val="25"/>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2CD94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2FF9F6DA">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粘贴转账、电汇或网上银行凭证（清晰复印件）</w:t>
            </w:r>
          </w:p>
          <w:p w14:paraId="13010001">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p>
          <w:p w14:paraId="23154C08">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p>
          <w:p w14:paraId="0EBC7B48">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p>
          <w:p w14:paraId="5079BCBF">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p>
          <w:p w14:paraId="6CB16FEE">
            <w:pPr>
              <w:keepNext w:val="0"/>
              <w:keepLines w:val="0"/>
              <w:pageBreakBefore w:val="0"/>
              <w:widowControl w:val="0"/>
              <w:suppressLineNumbers w:val="0"/>
              <w:kinsoku/>
              <w:wordWrap w:val="0"/>
              <w:overflowPunct/>
              <w:bidi w:val="0"/>
              <w:spacing w:before="0" w:beforeAutospacing="0" w:after="0" w:afterAutospacing="0" w:line="276" w:lineRule="auto"/>
              <w:ind w:left="106" w:leftChars="38" w:right="0" w:hanging="27" w:hangingChars="13"/>
              <w:rPr>
                <w:rFonts w:hint="eastAsia" w:ascii="宋体" w:hAnsi="宋体" w:eastAsia="宋体" w:cs="宋体"/>
                <w:b/>
                <w:color w:val="auto"/>
                <w:szCs w:val="21"/>
                <w:highlight w:val="none"/>
                <w:lang w:val="zh-CN"/>
              </w:rPr>
            </w:pPr>
          </w:p>
        </w:tc>
      </w:tr>
    </w:tbl>
    <w:p w14:paraId="05688270">
      <w:pPr>
        <w:pageBreakBefore w:val="0"/>
        <w:widowControl w:val="0"/>
        <w:kinsoku/>
        <w:wordWrap w:val="0"/>
        <w:overflowPunct/>
        <w:bidi w:val="0"/>
        <w:spacing w:line="276" w:lineRule="auto"/>
        <w:ind w:left="630" w:hanging="630" w:hanging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说明：投标人应认真填写银行信息，与转账或电汇银行凭证的相关信息一致，采购代理机构将依据此凭证信息查退投标保证金。</w:t>
      </w:r>
    </w:p>
    <w:p w14:paraId="584E3C0E">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bookmarkStart w:id="108" w:name="_Toc494665563"/>
      <w:bookmarkStart w:id="109" w:name="_Toc494721110"/>
      <w:bookmarkStart w:id="110" w:name="_Toc238276247"/>
      <w:bookmarkStart w:id="111" w:name="_Toc236473303"/>
      <w:bookmarkStart w:id="112" w:name="_Toc494665010"/>
      <w:bookmarkStart w:id="113" w:name="_Toc494702280"/>
      <w:bookmarkStart w:id="114" w:name="_Toc494665960"/>
      <w:bookmarkStart w:id="115" w:name="_Toc494745327"/>
      <w:r>
        <w:rPr>
          <w:rFonts w:hint="eastAsia" w:ascii="宋体" w:hAnsi="宋体" w:eastAsia="宋体" w:cs="宋体"/>
          <w:color w:val="auto"/>
          <w:szCs w:val="21"/>
          <w:highlight w:val="none"/>
        </w:rPr>
        <w:t>法定代表人身份证明书</w:t>
      </w:r>
    </w:p>
    <w:p w14:paraId="39FAF92E">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法定代表人身份证明书</w:t>
      </w:r>
    </w:p>
    <w:p w14:paraId="193D61BC">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15FEE980">
      <w:pPr>
        <w:pageBreakBefore w:val="0"/>
        <w:widowControl w:val="0"/>
        <w:kinsoku/>
        <w:wordWrap w:val="0"/>
        <w:overflowPunct/>
        <w:bidi w:val="0"/>
        <w:spacing w:line="276" w:lineRule="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企业名称：</w:t>
      </w:r>
    </w:p>
    <w:p w14:paraId="1BF84AB6">
      <w:pPr>
        <w:pageBreakBefore w:val="0"/>
        <w:widowControl w:val="0"/>
        <w:kinsoku/>
        <w:wordWrap w:val="0"/>
        <w:overflowPunct/>
        <w:bidi w:val="0"/>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企业性质：</w:t>
      </w:r>
    </w:p>
    <w:p w14:paraId="5BC1D6D0">
      <w:pPr>
        <w:pageBreakBefore w:val="0"/>
        <w:widowControl w:val="0"/>
        <w:kinsoku/>
        <w:wordWrap w:val="0"/>
        <w:overflowPunct/>
        <w:bidi w:val="0"/>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地址：</w:t>
      </w:r>
    </w:p>
    <w:p w14:paraId="209CE410">
      <w:pPr>
        <w:pageBreakBefore w:val="0"/>
        <w:widowControl w:val="0"/>
        <w:kinsoku/>
        <w:wordWrap w:val="0"/>
        <w:overflowPunct/>
        <w:bidi w:val="0"/>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成立时间：</w:t>
      </w:r>
    </w:p>
    <w:p w14:paraId="0402F12F">
      <w:pPr>
        <w:pageBreakBefore w:val="0"/>
        <w:widowControl w:val="0"/>
        <w:kinsoku/>
        <w:wordWrap w:val="0"/>
        <w:overflowPunct/>
        <w:bidi w:val="0"/>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经营期限：</w:t>
      </w:r>
    </w:p>
    <w:p w14:paraId="2C33A7A6">
      <w:pPr>
        <w:pageBreakBefore w:val="0"/>
        <w:widowControl w:val="0"/>
        <w:kinsoku/>
        <w:wordWrap w:val="0"/>
        <w:overflowPunct/>
        <w:bidi w:val="0"/>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姓名：性别：年龄：职务：</w:t>
      </w:r>
    </w:p>
    <w:p w14:paraId="4F6AB7CF">
      <w:pPr>
        <w:pageBreakBefore w:val="0"/>
        <w:widowControl w:val="0"/>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系（企业名称）的法定代表人。</w:t>
      </w:r>
    </w:p>
    <w:p w14:paraId="124854CB">
      <w:pPr>
        <w:pageBreakBefore w:val="0"/>
        <w:widowControl w:val="0"/>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特此证明。</w:t>
      </w:r>
    </w:p>
    <w:p w14:paraId="0623769B">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3DFAF254">
      <w:pPr>
        <w:pageBreakBefore w:val="0"/>
        <w:widowControl w:val="0"/>
        <w:kinsoku/>
        <w:wordWrap w:val="0"/>
        <w:overflowPunct/>
        <w:bidi w:val="0"/>
        <w:adjustRightInd w:val="0"/>
        <w:snapToGrid w:val="0"/>
        <w:spacing w:line="276" w:lineRule="auto"/>
        <w:ind w:firstLine="3675" w:firstLineChars="17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投标人名称（公章）：</w:t>
      </w:r>
    </w:p>
    <w:p w14:paraId="28863A9D">
      <w:pPr>
        <w:pageBreakBefore w:val="0"/>
        <w:widowControl w:val="0"/>
        <w:kinsoku/>
        <w:wordWrap w:val="0"/>
        <w:overflowPunct/>
        <w:bidi w:val="0"/>
        <w:adjustRightInd w:val="0"/>
        <w:snapToGrid w:val="0"/>
        <w:spacing w:line="276" w:lineRule="auto"/>
        <w:ind w:firstLine="3675" w:firstLineChars="17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73D01116">
      <w:pPr>
        <w:pageBreakBefore w:val="0"/>
        <w:widowControl w:val="0"/>
        <w:kinsoku/>
        <w:wordWrap w:val="0"/>
        <w:overflowPunct/>
        <w:bidi w:val="0"/>
        <w:adjustRightInd w:val="0"/>
        <w:snapToGrid w:val="0"/>
        <w:spacing w:line="276" w:lineRule="auto"/>
        <w:jc w:val="center"/>
        <w:rPr>
          <w:rFonts w:hint="eastAsia" w:ascii="宋体" w:hAnsi="宋体" w:eastAsia="宋体" w:cs="宋体"/>
          <w:color w:val="auto"/>
          <w:szCs w:val="21"/>
          <w:highlight w:val="none"/>
        </w:rPr>
      </w:pPr>
    </w:p>
    <w:p w14:paraId="11B79298">
      <w:pPr>
        <w:pageBreakBefore w:val="0"/>
        <w:widowControl w:val="0"/>
        <w:kinsoku/>
        <w:wordWrap w:val="0"/>
        <w:overflowPunct/>
        <w:bidi w:val="0"/>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-390525</wp:posOffset>
                </wp:positionH>
                <wp:positionV relativeFrom="paragraph">
                  <wp:posOffset>189230</wp:posOffset>
                </wp:positionV>
                <wp:extent cx="3000375" cy="1714500"/>
                <wp:effectExtent l="13335" t="7620" r="5715" b="11430"/>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6B582B1B">
                            <w:pPr>
                              <w:ind w:firstLine="480"/>
                              <w:jc w:val="left"/>
                              <w:rPr>
                                <w:sz w:val="24"/>
                              </w:rPr>
                            </w:pPr>
                            <w:permStart w:id="0" w:edGrp="everyone"/>
                            <w:r>
                              <w:rPr>
                                <w:rFonts w:hint="eastAsia"/>
                                <w:sz w:val="24"/>
                              </w:rPr>
                              <w:t>附：法定代表人身份证复印件（正面）</w:t>
                            </w:r>
                            <w:permEnd w:id="0"/>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64384;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M3S9UAAAAKAQAADwAAAAAAAAABACAAAAAiAAAAZHJzL2Rvd25y&#10;ZXYueG1sUEsBAhQAFAAAAAgAh07iQPCTxDlzAgAA+AQAAA4AAAAAAAAAAQAgAAAAJA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14:paraId="6B582B1B">
                      <w:pPr>
                        <w:ind w:firstLine="480"/>
                        <w:jc w:val="left"/>
                        <w:rPr>
                          <w:sz w:val="24"/>
                        </w:rPr>
                      </w:pPr>
                      <w:permStart w:id="0" w:edGrp="everyone"/>
                      <w:r>
                        <w:rPr>
                          <w:rFonts w:hint="eastAsia"/>
                          <w:sz w:val="24"/>
                        </w:rPr>
                        <w:t>附：法定代表人身份证复印件（正面）</w:t>
                      </w:r>
                      <w:permEnd w:id="0"/>
                    </w:p>
                  </w:txbxContent>
                </v:textbox>
              </v:rect>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2686050</wp:posOffset>
                </wp:positionH>
                <wp:positionV relativeFrom="paragraph">
                  <wp:posOffset>170815</wp:posOffset>
                </wp:positionV>
                <wp:extent cx="3000375" cy="1714500"/>
                <wp:effectExtent l="13335" t="8255" r="5715" b="1079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646E47FA">
                            <w:pPr>
                              <w:ind w:firstLine="480"/>
                              <w:jc w:val="left"/>
                              <w:rPr>
                                <w:sz w:val="24"/>
                              </w:rPr>
                            </w:pPr>
                            <w:permStart w:id="1" w:edGrp="everyone"/>
                            <w:r>
                              <w:rPr>
                                <w:rFonts w:hint="eastAsia"/>
                                <w:sz w:val="24"/>
                              </w:rPr>
                              <w:t>附：法定代表人身份证复印件（反面）</w:t>
                            </w:r>
                            <w:permEnd w:id="1"/>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65408;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DGiiRfcwIAAPgE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EAbFC1wAAAAoBAAAPAAAAAAAAAAEAIAAAACIAAABkcnMvZG93&#10;bnJldi54bWxQSwECFAAUAAAACACHTuJAxookX3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646E47FA">
                      <w:pPr>
                        <w:ind w:firstLine="480"/>
                        <w:jc w:val="left"/>
                        <w:rPr>
                          <w:sz w:val="24"/>
                        </w:rPr>
                      </w:pPr>
                      <w:permStart w:id="1" w:edGrp="everyone"/>
                      <w:r>
                        <w:rPr>
                          <w:rFonts w:hint="eastAsia"/>
                          <w:sz w:val="24"/>
                        </w:rPr>
                        <w:t>附：法定代表人身份证复印件（反面）</w:t>
                      </w:r>
                      <w:permEnd w:id="1"/>
                    </w:p>
                  </w:txbxContent>
                </v:textbox>
              </v:rect>
            </w:pict>
          </mc:Fallback>
        </mc:AlternateContent>
      </w:r>
    </w:p>
    <w:p w14:paraId="1BA787EC">
      <w:pPr>
        <w:pageBreakBefore w:val="0"/>
        <w:widowControl w:val="0"/>
        <w:kinsoku/>
        <w:wordWrap w:val="0"/>
        <w:overflowPunct/>
        <w:bidi w:val="0"/>
        <w:adjustRightInd w:val="0"/>
        <w:snapToGrid w:val="0"/>
        <w:spacing w:line="276" w:lineRule="auto"/>
        <w:jc w:val="center"/>
        <w:rPr>
          <w:rFonts w:hint="eastAsia" w:ascii="宋体" w:hAnsi="宋体" w:eastAsia="宋体" w:cs="宋体"/>
          <w:color w:val="auto"/>
          <w:szCs w:val="21"/>
          <w:highlight w:val="none"/>
        </w:rPr>
      </w:pPr>
    </w:p>
    <w:p w14:paraId="746C73BF">
      <w:pPr>
        <w:pageBreakBefore w:val="0"/>
        <w:widowControl w:val="0"/>
        <w:kinsoku/>
        <w:wordWrap w:val="0"/>
        <w:overflowPunct/>
        <w:bidi w:val="0"/>
        <w:adjustRightInd w:val="0"/>
        <w:snapToGrid w:val="0"/>
        <w:spacing w:line="276" w:lineRule="auto"/>
        <w:jc w:val="center"/>
        <w:rPr>
          <w:rFonts w:hint="eastAsia" w:ascii="宋体" w:hAnsi="宋体" w:eastAsia="宋体" w:cs="宋体"/>
          <w:color w:val="auto"/>
          <w:szCs w:val="21"/>
          <w:highlight w:val="none"/>
        </w:rPr>
      </w:pPr>
    </w:p>
    <w:p w14:paraId="68D099BC">
      <w:pPr>
        <w:pageBreakBefore w:val="0"/>
        <w:widowControl w:val="0"/>
        <w:kinsoku/>
        <w:wordWrap w:val="0"/>
        <w:overflowPunct/>
        <w:bidi w:val="0"/>
        <w:adjustRightInd w:val="0"/>
        <w:snapToGrid w:val="0"/>
        <w:spacing w:line="276" w:lineRule="auto"/>
        <w:jc w:val="center"/>
        <w:rPr>
          <w:rFonts w:hint="eastAsia" w:ascii="宋体" w:hAnsi="宋体" w:eastAsia="宋体" w:cs="宋体"/>
          <w:color w:val="auto"/>
          <w:szCs w:val="21"/>
          <w:highlight w:val="none"/>
        </w:rPr>
      </w:pPr>
    </w:p>
    <w:p w14:paraId="0B05FDAF">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2DD9AC31">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1D9AD162">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0ACDFB2A">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0EF0A9C3">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76898E95">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367B8217">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7E65121E">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06085EE2">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4C388D4D">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60A711B2">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6037233B">
      <w:pPr>
        <w:pageBreakBefore w:val="0"/>
        <w:widowControl w:val="0"/>
        <w:kinsoku/>
        <w:wordWrap w:val="0"/>
        <w:overflowPunct/>
        <w:bidi w:val="0"/>
        <w:adjustRightInd w:val="0"/>
        <w:snapToGrid w:val="0"/>
        <w:spacing w:line="276"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适用于投标人不授权代理人，而由法定代表人直接参加投标并签署投标文件的情况。</w:t>
      </w:r>
    </w:p>
    <w:p w14:paraId="618FFD95">
      <w:pPr>
        <w:pageBreakBefore w:val="0"/>
        <w:widowControl w:val="0"/>
        <w:kinsoku/>
        <w:wordWrap w:val="0"/>
        <w:overflowPunct/>
        <w:bidi w:val="0"/>
        <w:adjustRightInd w:val="0"/>
        <w:snapToGrid w:val="0"/>
        <w:spacing w:line="276"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如投标人为自然人，可在此页作出说明并粘贴本人身份证复印件即可。</w:t>
      </w:r>
    </w:p>
    <w:p w14:paraId="6B5D6EAF">
      <w:pPr>
        <w:pageBreakBefore w:val="0"/>
        <w:widowControl w:val="0"/>
        <w:kinsoku/>
        <w:wordWrap w:val="0"/>
        <w:overflowPunct/>
        <w:bidi w:val="0"/>
        <w:adjustRightInd w:val="0"/>
        <w:snapToGrid w:val="0"/>
        <w:spacing w:line="276" w:lineRule="auto"/>
        <w:jc w:val="left"/>
        <w:rPr>
          <w:rFonts w:hint="eastAsia" w:ascii="宋体" w:hAnsi="宋体" w:eastAsia="宋体" w:cs="宋体"/>
          <w:color w:val="auto"/>
          <w:szCs w:val="21"/>
          <w:highlight w:val="none"/>
        </w:rPr>
      </w:pPr>
    </w:p>
    <w:p w14:paraId="40FAE4F0">
      <w:pPr>
        <w:pageBreakBefore w:val="0"/>
        <w:widowControl w:val="0"/>
        <w:kinsoku/>
        <w:wordWrap w:val="0"/>
        <w:overflowPunct/>
        <w:bidi w:val="0"/>
        <w:adjustRightInd w:val="0"/>
        <w:snapToGrid w:val="0"/>
        <w:spacing w:line="276" w:lineRule="auto"/>
        <w:jc w:val="center"/>
        <w:rPr>
          <w:rFonts w:hint="eastAsia" w:ascii="宋体" w:hAnsi="宋体" w:eastAsia="宋体" w:cs="宋体"/>
          <w:color w:val="auto"/>
          <w:szCs w:val="21"/>
          <w:highlight w:val="none"/>
        </w:rPr>
      </w:pPr>
    </w:p>
    <w:p w14:paraId="4277D900">
      <w:pPr>
        <w:pageBreakBefore w:val="0"/>
        <w:widowControl w:val="0"/>
        <w:tabs>
          <w:tab w:val="center" w:pos="4153"/>
          <w:tab w:val="right" w:pos="8306"/>
        </w:tabs>
        <w:kinsoku/>
        <w:wordWrap w:val="0"/>
        <w:overflowPunct/>
        <w:bidi w:val="0"/>
        <w:snapToGrid w:val="0"/>
        <w:spacing w:line="276" w:lineRule="auto"/>
        <w:jc w:val="center"/>
        <w:rPr>
          <w:rFonts w:hint="eastAsia" w:ascii="宋体" w:hAnsi="宋体" w:eastAsia="宋体" w:cs="宋体"/>
          <w:color w:val="auto"/>
          <w:szCs w:val="21"/>
          <w:highlight w:val="none"/>
        </w:rPr>
      </w:pPr>
    </w:p>
    <w:p w14:paraId="583C31B6">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bookmarkEnd w:id="108"/>
      <w:bookmarkEnd w:id="109"/>
      <w:bookmarkEnd w:id="110"/>
      <w:bookmarkEnd w:id="111"/>
      <w:bookmarkEnd w:id="112"/>
      <w:bookmarkEnd w:id="113"/>
      <w:bookmarkEnd w:id="114"/>
      <w:bookmarkEnd w:id="115"/>
      <w:r>
        <w:rPr>
          <w:rFonts w:hint="eastAsia" w:ascii="宋体" w:hAnsi="宋体" w:eastAsia="宋体" w:cs="宋体"/>
          <w:color w:val="auto"/>
          <w:szCs w:val="21"/>
          <w:highlight w:val="none"/>
        </w:rPr>
        <w:t>法定代表人授权委托书</w:t>
      </w:r>
    </w:p>
    <w:p w14:paraId="4FC7E129">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法定代表人授权委托书</w:t>
      </w:r>
    </w:p>
    <w:p w14:paraId="293E1C40">
      <w:pPr>
        <w:pageBreakBefore w:val="0"/>
        <w:widowControl w:val="0"/>
        <w:kinsoku/>
        <w:wordWrap w:val="0"/>
        <w:overflowPunct/>
        <w:bidi w:val="0"/>
        <w:spacing w:line="276"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武汉理工大学、</w:t>
      </w: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DOCVARIABLE 招标机构名称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szCs w:val="21"/>
          <w:highlight w:val="none"/>
        </w:rPr>
        <w:t>${招标机构名称}</w:t>
      </w:r>
      <w:r>
        <w:rPr>
          <w:rFonts w:hint="eastAsia" w:ascii="宋体" w:hAnsi="宋体" w:eastAsia="宋体" w:cs="宋体"/>
          <w:b/>
          <w:color w:val="auto"/>
          <w:szCs w:val="21"/>
          <w:highlight w:val="none"/>
        </w:rPr>
        <w:fldChar w:fldCharType="end"/>
      </w:r>
      <w:r>
        <w:rPr>
          <w:rFonts w:hint="eastAsia" w:ascii="宋体" w:hAnsi="宋体" w:eastAsia="宋体" w:cs="宋体"/>
          <w:b/>
          <w:color w:val="auto"/>
          <w:szCs w:val="21"/>
          <w:highlight w:val="none"/>
        </w:rPr>
        <w:t>：</w:t>
      </w:r>
    </w:p>
    <w:p w14:paraId="1B2E914B">
      <w:pPr>
        <w:pageBreakBefore w:val="0"/>
        <w:widowControl w:val="0"/>
        <w:kinsoku/>
        <w:wordWrap w:val="0"/>
        <w:overflowPunct/>
        <w:bidi w:val="0"/>
        <w:spacing w:line="276"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（投标人名称）在下面签名的（法定代表人姓名）代表本公司授权</w:t>
      </w:r>
      <w:r>
        <w:rPr>
          <w:rFonts w:hint="eastAsia" w:ascii="宋体" w:hAnsi="宋体" w:eastAsia="宋体" w:cs="宋体"/>
          <w:color w:val="auto"/>
          <w:szCs w:val="21"/>
          <w:highlight w:val="none"/>
        </w:rPr>
        <w:t>同志为我公司参加贵方组织的项目（项目编号：_____</w:t>
      </w:r>
      <w:r>
        <w:rPr>
          <w:rFonts w:hint="eastAsia" w:ascii="宋体" w:hAnsi="宋体" w:eastAsia="宋体" w:cs="宋体"/>
          <w:color w:val="auto"/>
          <w:szCs w:val="21"/>
          <w:highlight w:val="none"/>
          <w:u w:val="single"/>
        </w:rPr>
        <w:t>_</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lang w:val="en-US" w:eastAsia="zh-CN"/>
        </w:rPr>
        <w:t>项目包号：</w:t>
      </w:r>
      <w:r>
        <w:rPr>
          <w:rFonts w:hint="eastAsia" w:ascii="宋体" w:hAnsi="宋体" w:eastAsia="宋体" w:cs="宋体"/>
          <w:color w:val="auto"/>
          <w:szCs w:val="21"/>
          <w:highlight w:val="none"/>
          <w:lang w:val="zh-CN"/>
        </w:rPr>
        <w:t>______</w:t>
      </w:r>
      <w:r>
        <w:rPr>
          <w:rFonts w:hint="eastAsia" w:ascii="宋体" w:hAnsi="宋体" w:eastAsia="宋体" w:cs="宋体"/>
          <w:color w:val="auto"/>
          <w:szCs w:val="21"/>
          <w:highlight w:val="none"/>
        </w:rPr>
        <w:t>）采购活动的投标人授权代表，全权代表我公司处理在该项目投标活动中的一切事宜。代理期限从年月日起至年月日止。</w:t>
      </w:r>
    </w:p>
    <w:p w14:paraId="6F452EA6">
      <w:pPr>
        <w:pageBreakBefore w:val="0"/>
        <w:widowControl w:val="0"/>
        <w:kinsoku/>
        <w:wordWrap w:val="0"/>
        <w:overflowPunct/>
        <w:bidi w:val="0"/>
        <w:spacing w:line="276" w:lineRule="auto"/>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授权代表无转委托权。</w:t>
      </w:r>
    </w:p>
    <w:p w14:paraId="00ED469A">
      <w:pPr>
        <w:pageBreakBefore w:val="0"/>
        <w:widowControl w:val="0"/>
        <w:kinsoku/>
        <w:wordWrap w:val="0"/>
        <w:overflowPunct/>
        <w:bidi w:val="0"/>
        <w:spacing w:line="276" w:lineRule="auto"/>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特此声明。</w:t>
      </w:r>
    </w:p>
    <w:p w14:paraId="3AF14F04">
      <w:pPr>
        <w:pageBreakBefore w:val="0"/>
        <w:widowControl w:val="0"/>
        <w:kinsoku/>
        <w:wordWrap w:val="0"/>
        <w:overflowPunct/>
        <w:bidi w:val="0"/>
        <w:spacing w:line="276" w:lineRule="auto"/>
        <w:ind w:firstLine="3595" w:firstLineChars="1712"/>
        <w:rPr>
          <w:rFonts w:hint="eastAsia" w:ascii="宋体" w:hAnsi="宋体" w:eastAsia="宋体" w:cs="宋体"/>
          <w:bCs/>
          <w:color w:val="auto"/>
          <w:szCs w:val="21"/>
          <w:highlight w:val="none"/>
        </w:rPr>
      </w:pPr>
    </w:p>
    <w:p w14:paraId="5973121B">
      <w:pPr>
        <w:pageBreakBefore w:val="0"/>
        <w:widowControl w:val="0"/>
        <w:kinsoku/>
        <w:wordWrap w:val="0"/>
        <w:overflowPunct/>
        <w:bidi w:val="0"/>
        <w:spacing w:line="276" w:lineRule="auto"/>
        <w:ind w:firstLine="3595" w:firstLineChars="1712"/>
        <w:rPr>
          <w:rFonts w:hint="eastAsia" w:ascii="宋体" w:hAnsi="宋体" w:eastAsia="宋体" w:cs="宋体"/>
          <w:b/>
          <w:bCs/>
          <w:color w:val="auto"/>
          <w:szCs w:val="21"/>
          <w:highlight w:val="none"/>
          <w:u w:val="single"/>
        </w:rPr>
      </w:pPr>
      <w:r>
        <w:rPr>
          <w:rFonts w:hint="eastAsia" w:ascii="宋体" w:hAnsi="宋体" w:eastAsia="宋体" w:cs="宋体"/>
          <w:bCs/>
          <w:color w:val="auto"/>
          <w:szCs w:val="21"/>
          <w:highlight w:val="none"/>
        </w:rPr>
        <w:t>日期：年月日</w:t>
      </w:r>
    </w:p>
    <w:p w14:paraId="756AEB2E">
      <w:pPr>
        <w:pageBreakBefore w:val="0"/>
        <w:widowControl w:val="0"/>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p>
    <w:p w14:paraId="1345AE1F">
      <w:pPr>
        <w:pageBreakBefore w:val="0"/>
        <w:widowControl w:val="0"/>
        <w:kinsoku/>
        <w:wordWrap w:val="0"/>
        <w:overflowPunct/>
        <w:bidi w:val="0"/>
        <w:adjustRightInd w:val="0"/>
        <w:snapToGrid w:val="0"/>
        <w:spacing w:line="276" w:lineRule="auto"/>
        <w:ind w:firstLine="630" w:firstLineChars="30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投标人名称（公章）：</w:t>
      </w:r>
    </w:p>
    <w:p w14:paraId="3833780D">
      <w:pPr>
        <w:pageBreakBefore w:val="0"/>
        <w:widowControl w:val="0"/>
        <w:kinsoku/>
        <w:wordWrap w:val="0"/>
        <w:overflowPunct/>
        <w:bidi w:val="0"/>
        <w:adjustRightInd w:val="0"/>
        <w:snapToGrid w:val="0"/>
        <w:spacing w:line="276" w:lineRule="auto"/>
        <w:ind w:firstLine="630" w:firstLineChars="30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法定代表人（签名或盖章）：</w:t>
      </w:r>
    </w:p>
    <w:p w14:paraId="5DC80AFC">
      <w:pPr>
        <w:pageBreakBefore w:val="0"/>
        <w:widowControl w:val="0"/>
        <w:kinsoku/>
        <w:wordWrap w:val="0"/>
        <w:overflowPunct/>
        <w:bidi w:val="0"/>
        <w:spacing w:line="276" w:lineRule="auto"/>
        <w:ind w:firstLine="630" w:firstLineChars="3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授权代表</w:t>
      </w:r>
      <w:r>
        <w:rPr>
          <w:rFonts w:hint="eastAsia" w:ascii="宋体" w:hAnsi="宋体" w:eastAsia="宋体" w:cs="宋体"/>
          <w:color w:val="auto"/>
          <w:kern w:val="0"/>
          <w:szCs w:val="21"/>
          <w:highlight w:val="none"/>
        </w:rPr>
        <w:t>（签名）</w:t>
      </w:r>
      <w:r>
        <w:rPr>
          <w:rFonts w:hint="eastAsia" w:ascii="宋体" w:hAnsi="宋体" w:eastAsia="宋体" w:cs="宋体"/>
          <w:color w:val="auto"/>
          <w:szCs w:val="21"/>
          <w:highlight w:val="none"/>
        </w:rPr>
        <w:t>：</w:t>
      </w:r>
    </w:p>
    <w:p w14:paraId="1C91265F">
      <w:pPr>
        <w:pageBreakBefore w:val="0"/>
        <w:widowControl w:val="0"/>
        <w:kinsoku/>
        <w:wordWrap w:val="0"/>
        <w:overflowPunct/>
        <w:bidi w:val="0"/>
        <w:spacing w:line="276" w:lineRule="auto"/>
        <w:ind w:firstLine="630" w:firstLineChars="3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授权代表</w:t>
      </w:r>
      <w:r>
        <w:rPr>
          <w:rFonts w:hint="eastAsia" w:ascii="宋体" w:hAnsi="宋体" w:eastAsia="宋体" w:cs="宋体"/>
          <w:color w:val="auto"/>
          <w:kern w:val="0"/>
          <w:szCs w:val="21"/>
          <w:highlight w:val="none"/>
        </w:rPr>
        <w:t>身份证号码：</w:t>
      </w:r>
    </w:p>
    <w:p w14:paraId="23BD9174">
      <w:pPr>
        <w:pageBreakBefore w:val="0"/>
        <w:widowControl w:val="0"/>
        <w:kinsoku/>
        <w:wordWrap w:val="0"/>
        <w:overflowPunct/>
        <w:bidi w:val="0"/>
        <w:spacing w:line="276" w:lineRule="auto"/>
        <w:ind w:firstLine="630" w:firstLineChars="300"/>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-444500</wp:posOffset>
                </wp:positionH>
                <wp:positionV relativeFrom="paragraph">
                  <wp:posOffset>251460</wp:posOffset>
                </wp:positionV>
                <wp:extent cx="3000375" cy="1714500"/>
                <wp:effectExtent l="6985" t="6350" r="12065" b="12700"/>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1572F58C">
                            <w:pPr>
                              <w:ind w:firstLine="480"/>
                              <w:jc w:val="left"/>
                              <w:rPr>
                                <w:sz w:val="24"/>
                              </w:rPr>
                            </w:pPr>
                            <w:permStart w:id="2" w:edGrp="everyone"/>
                            <w:r>
                              <w:rPr>
                                <w:rFonts w:hint="eastAsia"/>
                                <w:sz w:val="24"/>
                              </w:rPr>
                              <w:t>附：法定代表人身份证复印件（正面）</w:t>
                            </w:r>
                            <w:permEnd w:id="2"/>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35pt;width:236.25pt;z-index:251660288;mso-width-relative:page;mso-height-relative:page;" fillcolor="#FFFFFF" filled="t" stroked="t" coordsize="21600,21600" o:gfxdata="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MRQJzWAAAACgEAAA8AAAAAAAAAAQAgAAAAIgAAAGRycy9kb3du&#10;cmV2LnhtbFBLAQIUABQAAAAIAIdO4kB8rbGc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1572F58C">
                      <w:pPr>
                        <w:ind w:firstLine="480"/>
                        <w:jc w:val="left"/>
                        <w:rPr>
                          <w:sz w:val="24"/>
                        </w:rPr>
                      </w:pPr>
                      <w:permStart w:id="2" w:edGrp="everyone"/>
                      <w:r>
                        <w:rPr>
                          <w:rFonts w:hint="eastAsia"/>
                          <w:sz w:val="24"/>
                        </w:rPr>
                        <w:t>附：法定代表人身份证复印件（正面）</w:t>
                      </w:r>
                      <w:permEnd w:id="2"/>
                    </w:p>
                  </w:txbxContent>
                </v:textbox>
              </v:rect>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2733675</wp:posOffset>
                </wp:positionH>
                <wp:positionV relativeFrom="paragraph">
                  <wp:posOffset>256540</wp:posOffset>
                </wp:positionV>
                <wp:extent cx="3000375" cy="1714500"/>
                <wp:effectExtent l="13335" t="11430" r="5715" b="762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37066225">
                            <w:pPr>
                              <w:ind w:firstLine="480"/>
                              <w:jc w:val="left"/>
                              <w:rPr>
                                <w:sz w:val="24"/>
                              </w:rPr>
                            </w:pPr>
                            <w:permStart w:id="3" w:edGrp="everyone"/>
                            <w:r>
                              <w:rPr>
                                <w:rFonts w:hint="eastAsia"/>
                                <w:sz w:val="24"/>
                              </w:rPr>
                              <w:t>附：法定代表人身份证复印件（反面）</w:t>
                            </w:r>
                            <w:permEnd w:id="3"/>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35pt;width:236.25pt;z-index:251661312;mso-width-relative:page;mso-height-relative:page;" fillcolor="#FFFFFF" filled="t" stroked="t" coordsize="21600,21600" o:gfxdata="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4Wn0j1wAAAAoBAAAPAAAAAAAAAAEAIAAAACIAAABkcnMvZG93&#10;bnJldi54bWxQSwECFAAUAAAACACHTuJAqrjkkn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37066225">
                      <w:pPr>
                        <w:ind w:firstLine="480"/>
                        <w:jc w:val="left"/>
                        <w:rPr>
                          <w:sz w:val="24"/>
                        </w:rPr>
                      </w:pPr>
                      <w:permStart w:id="3" w:edGrp="everyone"/>
                      <w:r>
                        <w:rPr>
                          <w:rFonts w:hint="eastAsia"/>
                          <w:sz w:val="24"/>
                        </w:rPr>
                        <w:t>附：法定代表人身份证复印件（反面）</w:t>
                      </w:r>
                      <w:permEnd w:id="3"/>
                    </w:p>
                  </w:txbxContent>
                </v:textbox>
              </v:rect>
            </w:pict>
          </mc:Fallback>
        </mc:AlternateContent>
      </w:r>
      <w:r>
        <w:rPr>
          <w:rFonts w:hint="eastAsia" w:ascii="宋体" w:hAnsi="宋体" w:eastAsia="宋体" w:cs="宋体"/>
          <w:color w:val="auto"/>
          <w:szCs w:val="21"/>
          <w:highlight w:val="none"/>
        </w:rPr>
        <w:t>电话：</w:t>
      </w:r>
    </w:p>
    <w:p w14:paraId="1D5ACE4A">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4EBD181C">
      <w:pPr>
        <w:pageBreakBefore w:val="0"/>
        <w:widowControl w:val="0"/>
        <w:kinsoku/>
        <w:wordWrap w:val="0"/>
        <w:overflowPunct/>
        <w:bidi w:val="0"/>
        <w:spacing w:line="276" w:lineRule="auto"/>
        <w:rPr>
          <w:rFonts w:hint="eastAsia" w:ascii="宋体" w:hAnsi="宋体" w:eastAsia="宋体" w:cs="宋体"/>
          <w:color w:val="auto"/>
          <w:szCs w:val="21"/>
          <w:highlight w:val="none"/>
          <w:lang w:eastAsia="zh-CN"/>
        </w:rPr>
      </w:pPr>
    </w:p>
    <w:p w14:paraId="0F99C3CE">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1773E593">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1A2AA459">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6B613B1E">
      <w:pPr>
        <w:pageBreakBefore w:val="0"/>
        <w:widowControl w:val="0"/>
        <w:kinsoku/>
        <w:wordWrap w:val="0"/>
        <w:overflowPunct/>
        <w:autoSpaceDE w:val="0"/>
        <w:autoSpaceDN w:val="0"/>
        <w:bidi w:val="0"/>
        <w:spacing w:line="276" w:lineRule="auto"/>
        <w:ind w:left="268" w:leftChars="128" w:firstLine="420"/>
        <w:jc w:val="right"/>
        <w:rPr>
          <w:rFonts w:hint="eastAsia" w:ascii="宋体" w:hAnsi="宋体" w:eastAsia="宋体" w:cs="宋体"/>
          <w:color w:val="auto"/>
          <w:szCs w:val="21"/>
          <w:highlight w:val="none"/>
          <w:lang w:eastAsia="zh-CN"/>
        </w:rPr>
      </w:pPr>
    </w:p>
    <w:p w14:paraId="5C7A6D69">
      <w:pPr>
        <w:pageBreakBefore w:val="0"/>
        <w:widowControl w:val="0"/>
        <w:kinsoku/>
        <w:wordWrap w:val="0"/>
        <w:overflowPunct/>
        <w:autoSpaceDE w:val="0"/>
        <w:autoSpaceDN w:val="0"/>
        <w:bidi w:val="0"/>
        <w:spacing w:line="276" w:lineRule="auto"/>
        <w:ind w:left="268" w:leftChars="128" w:firstLine="420"/>
        <w:jc w:val="right"/>
        <w:rPr>
          <w:rFonts w:hint="eastAsia" w:ascii="宋体" w:hAnsi="宋体" w:eastAsia="宋体" w:cs="宋体"/>
          <w:color w:val="auto"/>
          <w:szCs w:val="21"/>
          <w:highlight w:val="none"/>
        </w:rPr>
      </w:pPr>
    </w:p>
    <w:p w14:paraId="602214A6">
      <w:pPr>
        <w:pageBreakBefore w:val="0"/>
        <w:widowControl w:val="0"/>
        <w:kinsoku/>
        <w:wordWrap w:val="0"/>
        <w:overflowPunct/>
        <w:bidi w:val="0"/>
        <w:spacing w:line="276" w:lineRule="auto"/>
        <w:ind w:left="480" w:hanging="480"/>
        <w:jc w:val="right"/>
        <w:rPr>
          <w:rFonts w:hint="eastAsia" w:ascii="宋体" w:hAnsi="宋体" w:eastAsia="宋体" w:cs="宋体"/>
          <w:color w:val="auto"/>
          <w:szCs w:val="21"/>
          <w:highlight w:val="none"/>
        </w:rPr>
      </w:pPr>
    </w:p>
    <w:p w14:paraId="45AA171D">
      <w:pPr>
        <w:pageBreakBefore w:val="0"/>
        <w:widowControl w:val="0"/>
        <w:kinsoku/>
        <w:wordWrap w:val="0"/>
        <w:overflowPunct/>
        <w:bidi w:val="0"/>
        <w:spacing w:line="276" w:lineRule="auto"/>
        <w:ind w:left="480" w:hanging="480"/>
        <w:jc w:val="right"/>
        <w:rPr>
          <w:rFonts w:hint="eastAsia" w:ascii="宋体" w:hAnsi="宋体" w:eastAsia="宋体" w:cs="宋体"/>
          <w:color w:val="auto"/>
          <w:szCs w:val="21"/>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-408940</wp:posOffset>
                </wp:positionH>
                <wp:positionV relativeFrom="paragraph">
                  <wp:posOffset>104775</wp:posOffset>
                </wp:positionV>
                <wp:extent cx="3000375" cy="1714500"/>
                <wp:effectExtent l="13970" t="5080" r="5080" b="13970"/>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61C8C2A3">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C261D73">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2.2pt;margin-top:8.25pt;height:135pt;width:236.25pt;z-index:251662336;mso-width-relative:page;mso-height-relative:page;" fillcolor="#FFFFFF" filled="t" stroked="t" coordsize="21600,21600" o:gfxdata="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A7vjX1gAAAAoBAAAPAAAAAAAAAAEAIAAAACIAAABkcnMvZG93bnJl&#10;di54bWxQSwECFAAUAAAACACHTuJAqehfqH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61C8C2A3">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C261D73">
                      <w:pPr>
                        <w:ind w:firstLine="420"/>
                      </w:pPr>
                    </w:p>
                  </w:txbxContent>
                </v:textbox>
              </v:rect>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2748915</wp:posOffset>
                </wp:positionH>
                <wp:positionV relativeFrom="paragraph">
                  <wp:posOffset>77470</wp:posOffset>
                </wp:positionV>
                <wp:extent cx="3000375" cy="1714500"/>
                <wp:effectExtent l="9525" t="6350" r="9525" b="12700"/>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15CE94B7">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4BF88043">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6.45pt;margin-top:6.1pt;height:135pt;width:236.25pt;z-index:251663360;mso-width-relative:page;mso-height-relative:page;" fillcolor="#FFFFFF" filled="t" stroked="t" coordsize="21600,21600" o:gfxdata="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mAGZXWAAAACgEAAA8AAAAAAAAAAQAgAAAAIgAAAGRycy9kb3du&#10;cmV2LnhtbFBLAQIUABQAAAAIAIdO4kCf8b/O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15CE94B7">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4BF88043">
                      <w:pPr>
                        <w:ind w:firstLine="420"/>
                      </w:pPr>
                    </w:p>
                  </w:txbxContent>
                </v:textbox>
              </v:rect>
            </w:pict>
          </mc:Fallback>
        </mc:AlternateContent>
      </w:r>
    </w:p>
    <w:p w14:paraId="63CC1732">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56AB886A">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1CB6AE4A">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771225D2">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6A6F4403">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0ED6A286">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37DC61F6">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6298B2B3">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79F40A26">
      <w:pPr>
        <w:pageBreakBefore w:val="0"/>
        <w:widowControl w:val="0"/>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说明：投标人不委托授权代表，而由法定代表人直接参加投标时不需要此授权书。</w:t>
      </w:r>
    </w:p>
    <w:p w14:paraId="06A8FED8">
      <w:pPr>
        <w:pageBreakBefore w:val="0"/>
        <w:widowControl w:val="0"/>
        <w:kinsoku/>
        <w:wordWrap w:val="0"/>
        <w:overflowPunct/>
        <w:bidi w:val="0"/>
        <w:spacing w:line="276" w:lineRule="auto"/>
        <w:ind w:firstLine="634" w:firstLineChars="302"/>
        <w:rPr>
          <w:rFonts w:hint="eastAsia" w:ascii="宋体" w:hAnsi="宋体" w:eastAsia="宋体" w:cs="宋体"/>
          <w:color w:val="auto"/>
          <w:szCs w:val="21"/>
          <w:highlight w:val="none"/>
        </w:rPr>
      </w:pPr>
      <w:r>
        <w:rPr>
          <w:rFonts w:hint="eastAsia" w:ascii="宋体" w:hAnsi="宋体" w:eastAsia="宋体" w:cs="宋体"/>
          <w:color w:val="auto"/>
          <w:szCs w:val="21"/>
          <w:highlight w:val="none"/>
        </w:rPr>
        <w:t>自然人投标时不需要此授权书。</w:t>
      </w:r>
    </w:p>
    <w:p w14:paraId="28B7C2FD">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r>
        <w:rPr>
          <w:rFonts w:hint="eastAsia" w:ascii="宋体" w:hAnsi="宋体" w:eastAsia="宋体" w:cs="宋体"/>
          <w:color w:val="auto"/>
          <w:szCs w:val="21"/>
          <w:highlight w:val="none"/>
        </w:rPr>
        <w:t>资格证明材料</w:t>
      </w:r>
    </w:p>
    <w:p w14:paraId="02CA5E95">
      <w:pPr>
        <w:pageBreakBefore w:val="0"/>
        <w:widowControl w:val="0"/>
        <w:kinsoku/>
        <w:wordWrap w:val="0"/>
        <w:overflowPunct/>
        <w:bidi w:val="0"/>
        <w:spacing w:line="276"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13DA445C">
      <w:pPr>
        <w:pageBreakBefore w:val="0"/>
        <w:widowControl w:val="0"/>
        <w:kinsoku/>
        <w:wordWrap w:val="0"/>
        <w:overflowPunct/>
        <w:bidi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1）投标人应按招标文件第四章——资格审查方法及标准《资格审查表》要求内容逐项提供相应证明文件；</w:t>
      </w:r>
    </w:p>
    <w:p w14:paraId="22159ADF">
      <w:pPr>
        <w:pageBreakBefore w:val="0"/>
        <w:widowControl w:val="0"/>
        <w:kinsoku/>
        <w:wordWrap w:val="0"/>
        <w:overflowPunct/>
        <w:bidi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2）证明材料仅限于投标单位本身，参股或控股单位及独立法人子公司的材料不能作为证明材料，但投标单位兼并的企业的材料可作为证明材料。</w:t>
      </w:r>
    </w:p>
    <w:p w14:paraId="17EA4E1F">
      <w:pPr>
        <w:pageBreakBefore w:val="0"/>
        <w:widowControl w:val="0"/>
        <w:kinsoku/>
        <w:wordWrap w:val="0"/>
        <w:overflowPunct/>
        <w:bidi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C7FF13B">
      <w:pPr>
        <w:pageBreakBefore w:val="0"/>
        <w:widowControl w:val="0"/>
        <w:kinsoku/>
        <w:wordWrap w:val="0"/>
        <w:overflowPunct/>
        <w:bidi w:val="0"/>
        <w:spacing w:line="276" w:lineRule="auto"/>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附件一：部分资格材料格式要求——联合体协议书格式</w:t>
      </w:r>
      <w:r>
        <w:rPr>
          <w:rFonts w:hint="eastAsia" w:ascii="宋体" w:hAnsi="宋体" w:eastAsia="宋体" w:cs="宋体"/>
          <w:color w:val="auto"/>
          <w:szCs w:val="21"/>
          <w:highlight w:val="none"/>
          <w:lang w:val="zh-CN"/>
        </w:rPr>
        <w:t>（适用于接受联合体投标的项目，如非联合体投标或项目不接受联合体投标，则无需提供）</w:t>
      </w:r>
    </w:p>
    <w:p w14:paraId="29335BF0">
      <w:pPr>
        <w:pageBreakBefore w:val="0"/>
        <w:widowControl w:val="0"/>
        <w:kinsoku/>
        <w:wordWrap w:val="0"/>
        <w:overflowPunct/>
        <w:bidi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联合体协议书</w:t>
      </w:r>
    </w:p>
    <w:p w14:paraId="1852FF86">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所有成员单位名称）均具备《中华人民共和国政府采购法》第二十二条规定的条件，自愿组成（联合体名称）联合体，共同参加（项目编号/包号、项目名称）的投标并争取赢得本项目采购合同（以下简称合同）。现就联合体投标事宜订立如下协议。</w:t>
      </w:r>
    </w:p>
    <w:p w14:paraId="0DD6EB88">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1、（某成员单位名称）为（联合体名称）牵头人。</w:t>
      </w:r>
    </w:p>
    <w:p w14:paraId="5D117EED">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695B8BBE">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3B37B350">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4、联合体各成员单位内部的职责分工如下：</w:t>
      </w:r>
    </w:p>
    <w:p w14:paraId="3B5FAA16">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承担项目采购合同金额的%，负责的工作为：；</w:t>
      </w:r>
    </w:p>
    <w:p w14:paraId="1BE294A4">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承担项目采购合同金额的%，负责的工作为：；</w:t>
      </w:r>
    </w:p>
    <w:p w14:paraId="5E9CA40C">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30BF94B6">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5、投标工作以及联合体在中标后项目实施过程中的有关费用按各自承担的工作量分摊。</w:t>
      </w:r>
    </w:p>
    <w:p w14:paraId="6CC24D9D">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6、联合体中标后，本联合体协议是合同的附件，对联合体各成员单位有合同约束力。</w:t>
      </w:r>
    </w:p>
    <w:p w14:paraId="28D69B5E">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7、本协议书自签署之日起生效，联合体未中标或者中标时合同履行完毕后自动失效。</w:t>
      </w:r>
    </w:p>
    <w:p w14:paraId="4F6A945E">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8、本协议书一式份，联合体成员和采购人各执一份。</w:t>
      </w:r>
    </w:p>
    <w:p w14:paraId="62D489E8">
      <w:pPr>
        <w:pageBreakBefore w:val="0"/>
        <w:widowControl w:val="0"/>
        <w:kinsoku/>
        <w:wordWrap w:val="0"/>
        <w:overflowPunct/>
        <w:topLinePunct/>
        <w:bidi w:val="0"/>
        <w:snapToGrid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注：本协议书由授权代表</w:t>
      </w:r>
      <w:r>
        <w:rPr>
          <w:rFonts w:hint="eastAsia" w:ascii="宋体" w:hAnsi="宋体" w:eastAsia="宋体" w:cs="宋体"/>
          <w:bCs/>
          <w:color w:val="auto"/>
          <w:szCs w:val="21"/>
          <w:highlight w:val="none"/>
        </w:rPr>
        <w:t>签名</w:t>
      </w:r>
      <w:r>
        <w:rPr>
          <w:rFonts w:hint="eastAsia" w:ascii="宋体" w:hAnsi="宋体" w:eastAsia="宋体" w:cs="宋体"/>
          <w:color w:val="auto"/>
          <w:szCs w:val="21"/>
          <w:highlight w:val="none"/>
        </w:rPr>
        <w:t>的，应附法定代表人签名的授权委托书。</w:t>
      </w:r>
    </w:p>
    <w:p w14:paraId="3787455E">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p>
    <w:p w14:paraId="5BADBA8F">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牵头人名称：（盖单位章）</w:t>
      </w:r>
    </w:p>
    <w:p w14:paraId="4CFCD48A">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授权代表：（签名）</w:t>
      </w:r>
    </w:p>
    <w:p w14:paraId="02722AA9">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成员一名称：（盖单位章）</w:t>
      </w:r>
    </w:p>
    <w:p w14:paraId="00564964">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授权代表：（签名）</w:t>
      </w:r>
    </w:p>
    <w:p w14:paraId="5B1B7CB1">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成员二名称：（盖单位章）</w:t>
      </w:r>
    </w:p>
    <w:p w14:paraId="70DF42E6">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授权代表：（签名）</w:t>
      </w:r>
    </w:p>
    <w:p w14:paraId="0EBD0C70">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p>
    <w:p w14:paraId="4C4248EC">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年月日</w:t>
      </w:r>
      <w:r>
        <w:rPr>
          <w:rFonts w:hint="eastAsia" w:ascii="宋体" w:hAnsi="宋体" w:eastAsia="宋体" w:cs="宋体"/>
          <w:color w:val="auto"/>
          <w:szCs w:val="21"/>
          <w:highlight w:val="none"/>
        </w:rPr>
        <w:br w:type="page"/>
      </w:r>
    </w:p>
    <w:p w14:paraId="33BB50AE">
      <w:pPr>
        <w:pageBreakBefore w:val="0"/>
        <w:widowControl w:val="0"/>
        <w:kinsoku/>
        <w:wordWrap w:val="0"/>
        <w:overflowPunct/>
        <w:bidi w:val="0"/>
        <w:spacing w:before="100" w:beforeAutospacing="1" w:after="100" w:afterAutospacing="1" w:line="276" w:lineRule="auto"/>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附件二：部分资格材料格式要求——无重大违法记录声明格式</w:t>
      </w:r>
    </w:p>
    <w:p w14:paraId="0D3FF972">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无重大违法记录声明</w:t>
      </w:r>
    </w:p>
    <w:p w14:paraId="195106FB">
      <w:pPr>
        <w:pageBreakBefore w:val="0"/>
        <w:widowControl w:val="0"/>
        <w:kinsoku/>
        <w:wordWrap w:val="0"/>
        <w:overflowPunct/>
        <w:bidi w:val="0"/>
        <w:spacing w:before="100" w:beforeAutospacing="1" w:after="100" w:afterAutospacing="1"/>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武汉理工大学、</w:t>
      </w: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DOCVARIABLE 招标机构名称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szCs w:val="21"/>
          <w:highlight w:val="none"/>
        </w:rPr>
        <w:t>${招标机构名称}</w:t>
      </w:r>
      <w:r>
        <w:rPr>
          <w:rFonts w:hint="eastAsia" w:ascii="宋体" w:hAnsi="宋体" w:eastAsia="宋体" w:cs="宋体"/>
          <w:b/>
          <w:color w:val="auto"/>
          <w:szCs w:val="21"/>
          <w:highlight w:val="none"/>
        </w:rPr>
        <w:fldChar w:fldCharType="end"/>
      </w:r>
      <w:r>
        <w:rPr>
          <w:rFonts w:hint="eastAsia" w:ascii="宋体" w:hAnsi="宋体" w:eastAsia="宋体" w:cs="宋体"/>
          <w:color w:val="auto"/>
          <w:szCs w:val="21"/>
          <w:highlight w:val="none"/>
        </w:rPr>
        <w:t>：</w:t>
      </w:r>
    </w:p>
    <w:p w14:paraId="48C191C5">
      <w:pPr>
        <w:pageBreakBefore w:val="0"/>
        <w:widowControl w:val="0"/>
        <w:kinsoku/>
        <w:wordWrap w:val="0"/>
        <w:overflowPunct/>
        <w:bidi w:val="0"/>
        <w:spacing w:before="100" w:beforeAutospacing="1" w:after="100" w:afterAutospacing="1"/>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(投标人全称)参加（项目名称）(</w:t>
      </w:r>
      <w:r>
        <w:rPr>
          <w:rFonts w:hint="eastAsia" w:ascii="宋体" w:hAnsi="宋体" w:eastAsia="宋体" w:cs="宋体"/>
          <w:color w:val="auto"/>
          <w:szCs w:val="21"/>
          <w:highlight w:val="none"/>
          <w:u w:val="single"/>
        </w:rPr>
        <w:t>项目编号</w:t>
      </w:r>
      <w:r>
        <w:rPr>
          <w:rFonts w:hint="eastAsia" w:ascii="宋体" w:hAnsi="宋体" w:cs="宋体"/>
          <w:color w:val="auto"/>
          <w:szCs w:val="21"/>
          <w:highlight w:val="none"/>
          <w:u w:val="single"/>
          <w:lang w:val="en-US" w:eastAsia="zh-CN"/>
        </w:rPr>
        <w:t>/包号</w:t>
      </w:r>
      <w:r>
        <w:rPr>
          <w:rFonts w:hint="eastAsia" w:ascii="宋体" w:hAnsi="宋体" w:eastAsia="宋体" w:cs="宋体"/>
          <w:color w:val="auto"/>
          <w:szCs w:val="21"/>
          <w:highlight w:val="none"/>
        </w:rPr>
        <w:t>)的政府采购活动，本单位郑重声明如下：</w:t>
      </w:r>
    </w:p>
    <w:p w14:paraId="48A8A6DA">
      <w:pPr>
        <w:pageBreakBefore w:val="0"/>
        <w:widowControl w:val="0"/>
        <w:kinsoku/>
        <w:wordWrap w:val="0"/>
        <w:overflowPunct/>
        <w:bidi w:val="0"/>
        <w:spacing w:before="100" w:beforeAutospacing="1" w:after="100" w:afterAutospacing="1"/>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参加本项目政府采购活动前三年内，本单位未因违法经营受到刑事处罚或者责令停产停业、吊销许可证或者执照、较大数额罚款等行政处罚；</w:t>
      </w:r>
    </w:p>
    <w:p w14:paraId="1BFC853B">
      <w:pPr>
        <w:pageBreakBefore w:val="0"/>
        <w:widowControl w:val="0"/>
        <w:kinsoku/>
        <w:wordWrap w:val="0"/>
        <w:overflowPunct/>
        <w:bidi w:val="0"/>
        <w:spacing w:before="100" w:beforeAutospacing="1" w:after="100" w:afterAutospacing="1"/>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参加本项目政府采购活动前三年内，本单位未受到过全国各级人民政府财政部门依法作出的禁止参加政府采购活动等行政处罚决定；</w:t>
      </w:r>
    </w:p>
    <w:p w14:paraId="74A3BB58">
      <w:pPr>
        <w:pageBreakBefore w:val="0"/>
        <w:widowControl w:val="0"/>
        <w:kinsoku/>
        <w:wordWrap w:val="0"/>
        <w:overflowPunct/>
        <w:bidi w:val="0"/>
        <w:spacing w:before="100" w:beforeAutospacing="1" w:after="100" w:afterAutospacing="1"/>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如上述声明内容不实，本单位自愿接受政府采购监管部门按照</w:t>
      </w:r>
      <w:r>
        <w:rPr>
          <w:rFonts w:hint="eastAsia" w:ascii="宋体" w:hAnsi="宋体" w:eastAsia="宋体" w:cs="宋体"/>
          <w:bCs/>
          <w:color w:val="auto"/>
          <w:szCs w:val="21"/>
          <w:highlight w:val="none"/>
          <w:lang w:val="zh-CN"/>
        </w:rPr>
        <w:t>《中华人民共和国政府采购法》</w:t>
      </w:r>
      <w:r>
        <w:rPr>
          <w:rFonts w:hint="eastAsia" w:ascii="宋体" w:hAnsi="宋体" w:eastAsia="宋体" w:cs="宋体"/>
          <w:color w:val="auto"/>
          <w:szCs w:val="21"/>
          <w:highlight w:val="none"/>
        </w:rPr>
        <w:t>关于提供虚假材料的规定给予处罚。</w:t>
      </w:r>
    </w:p>
    <w:p w14:paraId="6FB7C081">
      <w:pPr>
        <w:pageBreakBefore w:val="0"/>
        <w:widowControl w:val="0"/>
        <w:kinsoku/>
        <w:wordWrap w:val="0"/>
        <w:overflowPunct/>
        <w:bidi w:val="0"/>
        <w:spacing w:before="100" w:beforeAutospacing="1" w:after="100" w:afterAutospacing="1"/>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我方保证上述信息的完整、客观、真实、准确，并愿意承担我方因提供虚假材料谋骗取中标、成交所引起的一切法律后果。</w:t>
      </w:r>
    </w:p>
    <w:p w14:paraId="2B2D3243">
      <w:pPr>
        <w:pageBreakBefore w:val="0"/>
        <w:widowControl w:val="0"/>
        <w:kinsoku/>
        <w:wordWrap w:val="0"/>
        <w:overflowPunct/>
        <w:bidi w:val="0"/>
        <w:spacing w:before="100" w:beforeAutospacing="1" w:after="100" w:afterAutospacing="1" w:line="276"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特此声明！</w:t>
      </w:r>
    </w:p>
    <w:p w14:paraId="7AD80FCE">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4F0BD02A">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年月日</w:t>
      </w:r>
    </w:p>
    <w:p w14:paraId="0DEA09F8">
      <w:pPr>
        <w:pageBreakBefore w:val="0"/>
        <w:widowControl w:val="0"/>
        <w:kinsoku/>
        <w:wordWrap w:val="0"/>
        <w:overflowPunct/>
        <w:topLinePunct/>
        <w:bidi w:val="0"/>
        <w:ind w:left="2310" w:leftChars="1100" w:firstLine="420"/>
        <w:rPr>
          <w:rFonts w:hint="eastAsia" w:ascii="宋体" w:hAnsi="宋体" w:eastAsia="宋体" w:cs="宋体"/>
          <w:color w:val="auto"/>
          <w:szCs w:val="21"/>
          <w:highlight w:val="none"/>
        </w:rPr>
      </w:pPr>
    </w:p>
    <w:p w14:paraId="17B7AFE5">
      <w:pPr>
        <w:pageBreakBefore w:val="0"/>
        <w:widowControl w:val="0"/>
        <w:kinsoku/>
        <w:wordWrap w:val="0"/>
        <w:overflowPunct/>
        <w:bidi w:val="0"/>
        <w:jc w:val="left"/>
        <w:rPr>
          <w:rFonts w:hint="eastAsia" w:ascii="宋体" w:hAnsi="宋体" w:eastAsia="宋体" w:cs="宋体"/>
          <w:color w:val="auto"/>
          <w:szCs w:val="21"/>
          <w:highlight w:val="none"/>
        </w:rPr>
      </w:pPr>
      <w:bookmarkStart w:id="116" w:name="_Toc494721102"/>
      <w:bookmarkStart w:id="117" w:name="_Toc494665555"/>
      <w:bookmarkStart w:id="118" w:name="_Toc494665002"/>
      <w:bookmarkStart w:id="119" w:name="_Toc494702272"/>
      <w:bookmarkStart w:id="120" w:name="_Toc494665952"/>
      <w:bookmarkStart w:id="121" w:name="_Toc494745319"/>
      <w:r>
        <w:rPr>
          <w:rFonts w:hint="eastAsia" w:ascii="宋体" w:hAnsi="宋体" w:eastAsia="宋体" w:cs="宋体"/>
          <w:color w:val="auto"/>
          <w:szCs w:val="21"/>
          <w:highlight w:val="none"/>
        </w:rPr>
        <w:br w:type="page"/>
      </w:r>
    </w:p>
    <w:p w14:paraId="2D8914CA">
      <w:pPr>
        <w:pageBreakBefore w:val="0"/>
        <w:widowControl w:val="0"/>
        <w:kinsoku/>
        <w:wordWrap w:val="0"/>
        <w:overflowPunct/>
        <w:bidi w:val="0"/>
        <w:spacing w:before="100" w:beforeAutospacing="1" w:after="100" w:afterAutospacing="1" w:line="276" w:lineRule="auto"/>
        <w:outlineLvl w:val="4"/>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附件三：部分资格材料格式要求——中小企业声明函</w:t>
      </w:r>
      <w:bookmarkEnd w:id="116"/>
      <w:bookmarkEnd w:id="117"/>
      <w:bookmarkEnd w:id="118"/>
      <w:bookmarkEnd w:id="119"/>
      <w:bookmarkEnd w:id="120"/>
      <w:bookmarkEnd w:id="121"/>
      <w:r>
        <w:rPr>
          <w:rFonts w:hint="eastAsia" w:ascii="宋体" w:hAnsi="宋体" w:eastAsia="宋体" w:cs="宋体"/>
          <w:b w:val="0"/>
          <w:bCs w:val="0"/>
          <w:color w:val="auto"/>
          <w:szCs w:val="21"/>
          <w:highlight w:val="none"/>
        </w:rPr>
        <w:t>（非此类企业则无需提供）</w:t>
      </w:r>
    </w:p>
    <w:p w14:paraId="410FD302">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中小企业声明函</w:t>
      </w:r>
    </w:p>
    <w:p w14:paraId="103AB914">
      <w:pPr>
        <w:pageBreakBefore w:val="0"/>
        <w:widowControl w:val="0"/>
        <w:kinsoku/>
        <w:wordWrap w:val="0"/>
        <w:overflowPunct/>
        <w:bidi w:val="0"/>
        <w:spacing w:line="276" w:lineRule="auto"/>
        <w:jc w:val="center"/>
        <w:rPr>
          <w:rFonts w:hint="eastAsia" w:ascii="宋体" w:hAnsi="宋体" w:eastAsia="宋体" w:cs="宋体"/>
          <w:color w:val="auto"/>
          <w:szCs w:val="21"/>
          <w:highlight w:val="none"/>
        </w:rPr>
      </w:pPr>
    </w:p>
    <w:p w14:paraId="352F7D7F">
      <w:pPr>
        <w:pageBreakBefore w:val="0"/>
        <w:widowControl w:val="0"/>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武汉理工大学、</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DOCVARIABLE 招标机构名称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${招标机构名称}</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w:t>
      </w:r>
    </w:p>
    <w:p w14:paraId="4AE3C575">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p>
    <w:p w14:paraId="0B6FD382">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本公司（联合体）郑重声明，根据《政府采购促进中小企业发展管理办法》（财库﹝2020﹞46号）的规定，本公司（联合体）参加</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（单位名称）</w:t>
      </w:r>
      <w:r>
        <w:rPr>
          <w:rFonts w:hint="eastAsia" w:ascii="宋体" w:hAnsi="宋体" w:eastAsia="宋体" w:cs="宋体"/>
          <w:color w:val="auto"/>
          <w:szCs w:val="21"/>
          <w:highlight w:val="none"/>
        </w:rPr>
        <w:t>的</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（项目名称</w:t>
      </w:r>
      <w:r>
        <w:rPr>
          <w:rFonts w:hint="eastAsia" w:ascii="宋体" w:hAnsi="宋体" w:cs="宋体"/>
          <w:color w:val="auto"/>
          <w:szCs w:val="21"/>
          <w:highlight w:val="none"/>
          <w:u w:val="single"/>
          <w:lang w:val="en-US" w:eastAsia="zh-CN"/>
        </w:rPr>
        <w:t>/包号</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采购活动，提供的货物全部由符合政策要求的中小企业制造。相关企业（含联合体中的中小企业、签订分包意向协议的中小企业）的具体情况如下：</w:t>
      </w:r>
    </w:p>
    <w:p w14:paraId="6327C47E">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（标的名称）</w:t>
      </w:r>
      <w:r>
        <w:rPr>
          <w:rFonts w:hint="eastAsia" w:ascii="宋体" w:hAnsi="宋体" w:eastAsia="宋体" w:cs="宋体"/>
          <w:color w:val="auto"/>
          <w:szCs w:val="21"/>
          <w:highlight w:val="none"/>
        </w:rPr>
        <w:t>，属于</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（采购文件中明确的所属行业）行业</w:t>
      </w:r>
      <w:r>
        <w:rPr>
          <w:rFonts w:hint="eastAsia" w:ascii="宋体" w:hAnsi="宋体" w:eastAsia="宋体" w:cs="宋体"/>
          <w:color w:val="auto"/>
          <w:szCs w:val="21"/>
          <w:highlight w:val="none"/>
        </w:rPr>
        <w:t>；制造商为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（企业名称）</w:t>
      </w:r>
      <w:r>
        <w:rPr>
          <w:rFonts w:hint="eastAsia" w:ascii="宋体" w:hAnsi="宋体" w:eastAsia="宋体" w:cs="宋体"/>
          <w:color w:val="auto"/>
          <w:szCs w:val="21"/>
          <w:highlight w:val="none"/>
        </w:rPr>
        <w:t>，从业人员</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人，营业收入为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万元，资产总额为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万元¹，属于</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（中型企业、小型企业、微型企业）</w:t>
      </w:r>
      <w:r>
        <w:rPr>
          <w:rFonts w:hint="eastAsia" w:ascii="宋体" w:hAnsi="宋体" w:eastAsia="宋体" w:cs="宋体"/>
          <w:color w:val="auto"/>
          <w:szCs w:val="21"/>
          <w:highlight w:val="none"/>
        </w:rPr>
        <w:t>；</w:t>
      </w:r>
    </w:p>
    <w:p w14:paraId="46E84409">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（标的名称）</w:t>
      </w:r>
      <w:r>
        <w:rPr>
          <w:rFonts w:hint="eastAsia" w:ascii="宋体" w:hAnsi="宋体" w:eastAsia="宋体" w:cs="宋体"/>
          <w:color w:val="auto"/>
          <w:szCs w:val="21"/>
          <w:highlight w:val="none"/>
        </w:rPr>
        <w:t>，属于</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（采购文件中明确的所属行业）行业</w:t>
      </w:r>
      <w:r>
        <w:rPr>
          <w:rFonts w:hint="eastAsia" w:ascii="宋体" w:hAnsi="宋体" w:eastAsia="宋体" w:cs="宋体"/>
          <w:color w:val="auto"/>
          <w:szCs w:val="21"/>
          <w:highlight w:val="none"/>
        </w:rPr>
        <w:t>；制造商为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（企业名称）</w:t>
      </w:r>
      <w:r>
        <w:rPr>
          <w:rFonts w:hint="eastAsia" w:ascii="宋体" w:hAnsi="宋体" w:eastAsia="宋体" w:cs="宋体"/>
          <w:color w:val="auto"/>
          <w:szCs w:val="21"/>
          <w:highlight w:val="none"/>
        </w:rPr>
        <w:t>，从业人员</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人，营业收入为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万元，资产总额为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万元¹，属于</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（中型企业、小型企业、微型企业）</w:t>
      </w:r>
      <w:r>
        <w:rPr>
          <w:rFonts w:hint="eastAsia" w:ascii="宋体" w:hAnsi="宋体" w:eastAsia="宋体" w:cs="宋体"/>
          <w:color w:val="auto"/>
          <w:szCs w:val="21"/>
          <w:highlight w:val="none"/>
        </w:rPr>
        <w:t>；</w:t>
      </w:r>
    </w:p>
    <w:p w14:paraId="62521DFF">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6EC89279">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以上企业，不属于大企业的分支机构，不存在控股股东为大企业的情形，也不存在与大企业的负责人为同一人的情形。</w:t>
      </w:r>
    </w:p>
    <w:p w14:paraId="32A2326C">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本企业对上述声明内容的真实性负责。如有虚假，将依法承担相应责任。</w:t>
      </w:r>
    </w:p>
    <w:p w14:paraId="1A89E75B">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p>
    <w:p w14:paraId="609347DC">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p>
    <w:p w14:paraId="64E0A695">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企业名称（盖章）：</w:t>
      </w:r>
    </w:p>
    <w:p w14:paraId="1A9EE6DD">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5160E5D6">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p>
    <w:p w14:paraId="0EC7BDC5">
      <w:pPr>
        <w:pageBreakBefore w:val="0"/>
        <w:widowControl w:val="0"/>
        <w:kinsoku/>
        <w:wordWrap w:val="0"/>
        <w:overflowPunct/>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注：从业人员、营业收入、资产总额填报上一年度数据，无上一年度数据的新成立企业可不填报。</w:t>
      </w:r>
    </w:p>
    <w:p w14:paraId="0DD7FC0C">
      <w:pPr>
        <w:pageBreakBefore w:val="0"/>
        <w:widowControl w:val="0"/>
        <w:kinsoku/>
        <w:wordWrap w:val="0"/>
        <w:overflowPunct/>
        <w:bidi w:val="0"/>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说明：如以联合体方式参与本项目投标的投标人，则应由联合体各方盖章。</w:t>
      </w:r>
    </w:p>
    <w:p w14:paraId="20D20118">
      <w:pPr>
        <w:pageBreakBefore w:val="0"/>
        <w:widowControl w:val="0"/>
        <w:kinsoku/>
        <w:wordWrap w:val="0"/>
        <w:overflowPunct/>
        <w:bidi w:val="0"/>
        <w:spacing w:line="276" w:lineRule="auto"/>
        <w:jc w:val="left"/>
        <w:rPr>
          <w:rFonts w:hint="eastAsia" w:ascii="宋体" w:hAnsi="宋体" w:eastAsia="宋体" w:cs="宋体"/>
          <w:color w:val="auto"/>
          <w:kern w:val="0"/>
          <w:szCs w:val="21"/>
          <w:highlight w:val="none"/>
        </w:rPr>
      </w:pPr>
    </w:p>
    <w:p w14:paraId="4EB0F2CC">
      <w:pPr>
        <w:pageBreakBefore w:val="0"/>
        <w:widowControl w:val="0"/>
        <w:kinsoku/>
        <w:wordWrap w:val="0"/>
        <w:overflowPunct/>
        <w:bidi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14:paraId="2C0363ED">
      <w:pPr>
        <w:pageBreakBefore w:val="0"/>
        <w:widowControl w:val="0"/>
        <w:kinsoku/>
        <w:wordWrap w:val="0"/>
        <w:overflowPunct/>
        <w:bidi w:val="0"/>
        <w:jc w:val="left"/>
        <w:rPr>
          <w:rFonts w:hint="eastAsia" w:ascii="宋体" w:hAnsi="宋体" w:eastAsia="宋体" w:cs="宋体"/>
          <w:color w:val="auto"/>
          <w:highlight w:val="none"/>
        </w:rPr>
      </w:pPr>
    </w:p>
    <w:p w14:paraId="6499FFCD">
      <w:pPr>
        <w:pageBreakBefore w:val="0"/>
        <w:widowControl w:val="0"/>
        <w:kinsoku/>
        <w:wordWrap w:val="0"/>
        <w:overflowPunct/>
        <w:bidi w:val="0"/>
        <w:spacing w:line="600" w:lineRule="exac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附表</w:t>
      </w:r>
    </w:p>
    <w:p w14:paraId="11F67EBE">
      <w:pPr>
        <w:pageBreakBefore w:val="0"/>
        <w:widowControl w:val="0"/>
        <w:kinsoku/>
        <w:wordWrap w:val="0"/>
        <w:overflowPunct/>
        <w:bidi w:val="0"/>
        <w:spacing w:line="330" w:lineRule="atLeas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统计上大中小微型企业划分标准</w:t>
      </w:r>
    </w:p>
    <w:tbl>
      <w:tblPr>
        <w:tblStyle w:val="25"/>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10D2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shd w:val="clear" w:color="auto" w:fill="auto"/>
            <w:vAlign w:val="center"/>
          </w:tcPr>
          <w:p w14:paraId="261588EF">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行业名称</w:t>
            </w:r>
          </w:p>
        </w:tc>
        <w:tc>
          <w:tcPr>
            <w:tcW w:w="740" w:type="pct"/>
            <w:shd w:val="clear" w:color="auto" w:fill="auto"/>
            <w:vAlign w:val="center"/>
          </w:tcPr>
          <w:p w14:paraId="32AF963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指标名称</w:t>
            </w:r>
          </w:p>
        </w:tc>
        <w:tc>
          <w:tcPr>
            <w:tcW w:w="384" w:type="pct"/>
            <w:shd w:val="clear" w:color="auto" w:fill="auto"/>
            <w:vAlign w:val="center"/>
          </w:tcPr>
          <w:p w14:paraId="43BD83B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计量</w:t>
            </w:r>
            <w:r>
              <w:rPr>
                <w:rFonts w:hint="eastAsia" w:ascii="宋体" w:hAnsi="宋体" w:eastAsia="宋体" w:cs="宋体"/>
                <w:b/>
                <w:bCs/>
                <w:color w:val="auto"/>
                <w:kern w:val="0"/>
                <w:szCs w:val="21"/>
                <w:highlight w:val="none"/>
              </w:rPr>
              <w:br w:type="textWrapping"/>
            </w:r>
            <w:r>
              <w:rPr>
                <w:rFonts w:hint="eastAsia" w:ascii="宋体" w:hAnsi="宋体" w:eastAsia="宋体" w:cs="宋体"/>
                <w:b/>
                <w:bCs/>
                <w:color w:val="auto"/>
                <w:kern w:val="0"/>
                <w:szCs w:val="21"/>
                <w:highlight w:val="none"/>
              </w:rPr>
              <w:t>单位</w:t>
            </w:r>
          </w:p>
        </w:tc>
        <w:tc>
          <w:tcPr>
            <w:tcW w:w="611" w:type="pct"/>
            <w:shd w:val="clear" w:color="auto" w:fill="auto"/>
            <w:vAlign w:val="center"/>
          </w:tcPr>
          <w:p w14:paraId="5FFA8BF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大型</w:t>
            </w:r>
          </w:p>
        </w:tc>
        <w:tc>
          <w:tcPr>
            <w:tcW w:w="986" w:type="pct"/>
            <w:shd w:val="clear" w:color="auto" w:fill="auto"/>
            <w:vAlign w:val="center"/>
          </w:tcPr>
          <w:p w14:paraId="16AC136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中型</w:t>
            </w:r>
          </w:p>
        </w:tc>
        <w:tc>
          <w:tcPr>
            <w:tcW w:w="889" w:type="pct"/>
            <w:shd w:val="clear" w:color="auto" w:fill="auto"/>
            <w:vAlign w:val="center"/>
          </w:tcPr>
          <w:p w14:paraId="7A62CE8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小型</w:t>
            </w:r>
          </w:p>
        </w:tc>
        <w:tc>
          <w:tcPr>
            <w:tcW w:w="535" w:type="pct"/>
            <w:shd w:val="clear" w:color="auto" w:fill="auto"/>
            <w:vAlign w:val="center"/>
          </w:tcPr>
          <w:p w14:paraId="3B6E948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微型</w:t>
            </w:r>
          </w:p>
        </w:tc>
      </w:tr>
      <w:tr w14:paraId="271D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79636C67">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农、林、牧、渔业</w:t>
            </w:r>
          </w:p>
        </w:tc>
        <w:tc>
          <w:tcPr>
            <w:tcW w:w="740" w:type="pct"/>
            <w:shd w:val="clear" w:color="auto" w:fill="auto"/>
            <w:vAlign w:val="center"/>
          </w:tcPr>
          <w:p w14:paraId="26C33DB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5C1C2F3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0CC8584D">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Y≥20000</w:t>
            </w:r>
          </w:p>
        </w:tc>
        <w:tc>
          <w:tcPr>
            <w:tcW w:w="986" w:type="pct"/>
            <w:shd w:val="clear" w:color="auto" w:fill="auto"/>
            <w:vAlign w:val="center"/>
          </w:tcPr>
          <w:p w14:paraId="239855C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500≤Y＜20000</w:t>
            </w:r>
          </w:p>
        </w:tc>
        <w:tc>
          <w:tcPr>
            <w:tcW w:w="889" w:type="pct"/>
            <w:shd w:val="clear" w:color="auto" w:fill="auto"/>
            <w:vAlign w:val="center"/>
          </w:tcPr>
          <w:p w14:paraId="1E543F6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50≤Y＜500</w:t>
            </w:r>
          </w:p>
        </w:tc>
        <w:tc>
          <w:tcPr>
            <w:tcW w:w="535" w:type="pct"/>
            <w:shd w:val="clear" w:color="auto" w:fill="auto"/>
            <w:vAlign w:val="center"/>
          </w:tcPr>
          <w:p w14:paraId="7CB485C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Y＜50</w:t>
            </w:r>
          </w:p>
        </w:tc>
      </w:tr>
      <w:tr w14:paraId="55766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79F302B">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工业*</w:t>
            </w:r>
          </w:p>
        </w:tc>
        <w:tc>
          <w:tcPr>
            <w:tcW w:w="740" w:type="pct"/>
            <w:shd w:val="clear" w:color="auto" w:fill="auto"/>
            <w:vAlign w:val="center"/>
          </w:tcPr>
          <w:p w14:paraId="08984C2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3235AC0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51AC6BEB">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X≥1000</w:t>
            </w:r>
          </w:p>
        </w:tc>
        <w:tc>
          <w:tcPr>
            <w:tcW w:w="986" w:type="pct"/>
            <w:shd w:val="clear" w:color="auto" w:fill="auto"/>
            <w:vAlign w:val="center"/>
          </w:tcPr>
          <w:p w14:paraId="022AAB9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300≤X＜1000</w:t>
            </w:r>
          </w:p>
        </w:tc>
        <w:tc>
          <w:tcPr>
            <w:tcW w:w="889" w:type="pct"/>
            <w:shd w:val="clear" w:color="auto" w:fill="auto"/>
            <w:vAlign w:val="center"/>
          </w:tcPr>
          <w:p w14:paraId="5E83636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20≤X＜300</w:t>
            </w:r>
          </w:p>
        </w:tc>
        <w:tc>
          <w:tcPr>
            <w:tcW w:w="535" w:type="pct"/>
            <w:shd w:val="clear" w:color="auto" w:fill="auto"/>
            <w:vAlign w:val="center"/>
          </w:tcPr>
          <w:p w14:paraId="70A7F6A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w:t>
            </w:r>
          </w:p>
        </w:tc>
      </w:tr>
      <w:tr w14:paraId="43221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F13C06E">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3D77067C">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74739346">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6307E6C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Y≥40000</w:t>
            </w:r>
          </w:p>
        </w:tc>
        <w:tc>
          <w:tcPr>
            <w:tcW w:w="986" w:type="pct"/>
            <w:shd w:val="clear" w:color="auto" w:fill="auto"/>
            <w:vAlign w:val="center"/>
          </w:tcPr>
          <w:p w14:paraId="1CA9F34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2000≤Y＜40000</w:t>
            </w:r>
          </w:p>
        </w:tc>
        <w:tc>
          <w:tcPr>
            <w:tcW w:w="889" w:type="pct"/>
            <w:shd w:val="clear" w:color="auto" w:fill="auto"/>
            <w:vAlign w:val="center"/>
          </w:tcPr>
          <w:p w14:paraId="33C5553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300≤Y＜2000</w:t>
            </w:r>
          </w:p>
        </w:tc>
        <w:tc>
          <w:tcPr>
            <w:tcW w:w="535" w:type="pct"/>
            <w:shd w:val="clear" w:color="auto" w:fill="auto"/>
            <w:vAlign w:val="center"/>
          </w:tcPr>
          <w:p w14:paraId="29B9276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w:t>
            </w:r>
          </w:p>
        </w:tc>
      </w:tr>
      <w:tr w14:paraId="5F04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AD55248">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建筑业</w:t>
            </w:r>
          </w:p>
        </w:tc>
        <w:tc>
          <w:tcPr>
            <w:tcW w:w="740" w:type="pct"/>
            <w:shd w:val="clear" w:color="auto" w:fill="auto"/>
            <w:vAlign w:val="center"/>
          </w:tcPr>
          <w:p w14:paraId="73E84FE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1A5DD71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1112235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Y≥80000</w:t>
            </w:r>
          </w:p>
        </w:tc>
        <w:tc>
          <w:tcPr>
            <w:tcW w:w="986" w:type="pct"/>
            <w:shd w:val="clear" w:color="auto" w:fill="auto"/>
            <w:vAlign w:val="center"/>
          </w:tcPr>
          <w:p w14:paraId="78659BB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6000≤Y＜80000</w:t>
            </w:r>
          </w:p>
        </w:tc>
        <w:tc>
          <w:tcPr>
            <w:tcW w:w="889" w:type="pct"/>
            <w:shd w:val="clear" w:color="auto" w:fill="auto"/>
            <w:vAlign w:val="center"/>
          </w:tcPr>
          <w:p w14:paraId="50C4CB2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300≤Y＜6000</w:t>
            </w:r>
          </w:p>
        </w:tc>
        <w:tc>
          <w:tcPr>
            <w:tcW w:w="535" w:type="pct"/>
            <w:shd w:val="clear" w:color="auto" w:fill="auto"/>
            <w:vAlign w:val="center"/>
          </w:tcPr>
          <w:p w14:paraId="6A89B99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w:t>
            </w:r>
          </w:p>
        </w:tc>
      </w:tr>
      <w:tr w14:paraId="7796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E522686">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0AE46B3F">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资产总额(Z)</w:t>
            </w:r>
          </w:p>
        </w:tc>
        <w:tc>
          <w:tcPr>
            <w:tcW w:w="384" w:type="pct"/>
            <w:shd w:val="clear" w:color="auto" w:fill="auto"/>
            <w:vAlign w:val="center"/>
          </w:tcPr>
          <w:p w14:paraId="493C192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1D77882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Z≥80000</w:t>
            </w:r>
          </w:p>
        </w:tc>
        <w:tc>
          <w:tcPr>
            <w:tcW w:w="986" w:type="pct"/>
            <w:shd w:val="clear" w:color="auto" w:fill="auto"/>
            <w:vAlign w:val="center"/>
          </w:tcPr>
          <w:p w14:paraId="111F915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5000≤Z＜80000</w:t>
            </w:r>
          </w:p>
        </w:tc>
        <w:tc>
          <w:tcPr>
            <w:tcW w:w="889" w:type="pct"/>
            <w:shd w:val="clear" w:color="auto" w:fill="auto"/>
            <w:vAlign w:val="center"/>
          </w:tcPr>
          <w:p w14:paraId="6452509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300≤Z＜5000</w:t>
            </w:r>
          </w:p>
        </w:tc>
        <w:tc>
          <w:tcPr>
            <w:tcW w:w="535" w:type="pct"/>
            <w:shd w:val="clear" w:color="auto" w:fill="auto"/>
            <w:vAlign w:val="center"/>
          </w:tcPr>
          <w:p w14:paraId="52E885D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Z＜300</w:t>
            </w:r>
          </w:p>
        </w:tc>
      </w:tr>
      <w:tr w14:paraId="3AF7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A29526F">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批发业</w:t>
            </w:r>
          </w:p>
        </w:tc>
        <w:tc>
          <w:tcPr>
            <w:tcW w:w="740" w:type="pct"/>
            <w:shd w:val="clear" w:color="auto" w:fill="auto"/>
            <w:vAlign w:val="center"/>
          </w:tcPr>
          <w:p w14:paraId="6F9FD33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666B904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74D505B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X≥200</w:t>
            </w:r>
          </w:p>
        </w:tc>
        <w:tc>
          <w:tcPr>
            <w:tcW w:w="986" w:type="pct"/>
            <w:shd w:val="clear" w:color="auto" w:fill="auto"/>
            <w:vAlign w:val="center"/>
          </w:tcPr>
          <w:p w14:paraId="54378D0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20≤X＜200</w:t>
            </w:r>
          </w:p>
        </w:tc>
        <w:tc>
          <w:tcPr>
            <w:tcW w:w="889" w:type="pct"/>
            <w:shd w:val="clear" w:color="auto" w:fill="auto"/>
            <w:vAlign w:val="center"/>
          </w:tcPr>
          <w:p w14:paraId="4DD2A74B">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5≤X＜20</w:t>
            </w:r>
          </w:p>
        </w:tc>
        <w:tc>
          <w:tcPr>
            <w:tcW w:w="535" w:type="pct"/>
            <w:shd w:val="clear" w:color="auto" w:fill="auto"/>
            <w:vAlign w:val="center"/>
          </w:tcPr>
          <w:p w14:paraId="16ED4F2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X＜5</w:t>
            </w:r>
          </w:p>
        </w:tc>
      </w:tr>
      <w:tr w14:paraId="2343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46128F6">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798218AE">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50B2221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4B2BAAC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Y≥40000</w:t>
            </w:r>
          </w:p>
        </w:tc>
        <w:tc>
          <w:tcPr>
            <w:tcW w:w="986" w:type="pct"/>
            <w:shd w:val="clear" w:color="auto" w:fill="auto"/>
            <w:vAlign w:val="center"/>
          </w:tcPr>
          <w:p w14:paraId="272C8D4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5000≤Y＜40000</w:t>
            </w:r>
          </w:p>
        </w:tc>
        <w:tc>
          <w:tcPr>
            <w:tcW w:w="889" w:type="pct"/>
            <w:shd w:val="clear" w:color="auto" w:fill="auto"/>
            <w:vAlign w:val="center"/>
          </w:tcPr>
          <w:p w14:paraId="783B1C16">
            <w:pPr>
              <w:keepNext w:val="0"/>
              <w:keepLines w:val="0"/>
              <w:pageBreakBefore w:val="0"/>
              <w:widowControl w:val="0"/>
              <w:suppressLineNumbers w:val="0"/>
              <w:kinsoku/>
              <w:wordWrap w:val="0"/>
              <w:overflowPunct/>
              <w:bidi w:val="0"/>
              <w:spacing w:before="0" w:beforeAutospacing="0" w:after="0" w:afterAutospacing="0"/>
              <w:ind w:left="-1" w:leftChars="-1" w:right="0" w:hanging="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1000≤Y＜5000</w:t>
            </w:r>
          </w:p>
        </w:tc>
        <w:tc>
          <w:tcPr>
            <w:tcW w:w="535" w:type="pct"/>
            <w:shd w:val="clear" w:color="auto" w:fill="auto"/>
            <w:vAlign w:val="center"/>
          </w:tcPr>
          <w:p w14:paraId="4CBE46C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w:t>
            </w:r>
          </w:p>
        </w:tc>
      </w:tr>
      <w:tr w14:paraId="2D5F8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1441E1E">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零售业</w:t>
            </w:r>
          </w:p>
        </w:tc>
        <w:tc>
          <w:tcPr>
            <w:tcW w:w="740" w:type="pct"/>
            <w:shd w:val="clear" w:color="auto" w:fill="auto"/>
            <w:vAlign w:val="center"/>
          </w:tcPr>
          <w:p w14:paraId="5FDDC94D">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4EA080C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3FD5BF1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986" w:type="pct"/>
            <w:shd w:val="clear" w:color="auto" w:fill="auto"/>
            <w:vAlign w:val="center"/>
          </w:tcPr>
          <w:p w14:paraId="71B3998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50≤X＜300</w:t>
            </w:r>
          </w:p>
        </w:tc>
        <w:tc>
          <w:tcPr>
            <w:tcW w:w="889" w:type="pct"/>
            <w:shd w:val="clear" w:color="auto" w:fill="auto"/>
            <w:vAlign w:val="center"/>
          </w:tcPr>
          <w:p w14:paraId="4721EA15">
            <w:pPr>
              <w:keepNext w:val="0"/>
              <w:keepLines w:val="0"/>
              <w:pageBreakBefore w:val="0"/>
              <w:widowControl w:val="0"/>
              <w:suppressLineNumbers w:val="0"/>
              <w:kinsoku/>
              <w:wordWrap w:val="0"/>
              <w:overflowPunct/>
              <w:bidi w:val="0"/>
              <w:spacing w:before="0" w:beforeAutospacing="0" w:after="0" w:afterAutospacing="0"/>
              <w:ind w:left="-1" w:leftChars="-1" w:right="0" w:hanging="1"/>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10≤X＜50</w:t>
            </w:r>
          </w:p>
        </w:tc>
        <w:tc>
          <w:tcPr>
            <w:tcW w:w="535" w:type="pct"/>
            <w:shd w:val="clear" w:color="auto" w:fill="auto"/>
            <w:vAlign w:val="center"/>
          </w:tcPr>
          <w:p w14:paraId="7694697B">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4579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A27C10A">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73717EF1">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0C6D083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0EDEBBE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Y≥20000</w:t>
            </w:r>
          </w:p>
        </w:tc>
        <w:tc>
          <w:tcPr>
            <w:tcW w:w="986" w:type="pct"/>
            <w:shd w:val="clear" w:color="auto" w:fill="auto"/>
            <w:vAlign w:val="center"/>
          </w:tcPr>
          <w:p w14:paraId="6B62921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500≤Y＜20000</w:t>
            </w:r>
          </w:p>
        </w:tc>
        <w:tc>
          <w:tcPr>
            <w:tcW w:w="889" w:type="pct"/>
            <w:shd w:val="clear" w:color="auto" w:fill="auto"/>
            <w:vAlign w:val="center"/>
          </w:tcPr>
          <w:p w14:paraId="53DF8DDE">
            <w:pPr>
              <w:keepNext w:val="0"/>
              <w:keepLines w:val="0"/>
              <w:pageBreakBefore w:val="0"/>
              <w:widowControl w:val="0"/>
              <w:suppressLineNumbers w:val="0"/>
              <w:kinsoku/>
              <w:wordWrap w:val="0"/>
              <w:overflowPunct/>
              <w:bidi w:val="0"/>
              <w:spacing w:before="0" w:beforeAutospacing="0" w:after="0" w:afterAutospacing="0"/>
              <w:ind w:left="-1" w:leftChars="-1" w:right="0" w:hanging="1"/>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100≤Y＜500</w:t>
            </w:r>
          </w:p>
        </w:tc>
        <w:tc>
          <w:tcPr>
            <w:tcW w:w="535" w:type="pct"/>
            <w:shd w:val="clear" w:color="auto" w:fill="auto"/>
            <w:vAlign w:val="center"/>
          </w:tcPr>
          <w:p w14:paraId="7CAD657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09768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4035A92">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交通运输业*</w:t>
            </w:r>
          </w:p>
        </w:tc>
        <w:tc>
          <w:tcPr>
            <w:tcW w:w="740" w:type="pct"/>
            <w:shd w:val="clear" w:color="auto" w:fill="auto"/>
            <w:vAlign w:val="center"/>
          </w:tcPr>
          <w:p w14:paraId="78EA5A8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4D5E43B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5F59286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X≥1000</w:t>
            </w:r>
          </w:p>
        </w:tc>
        <w:tc>
          <w:tcPr>
            <w:tcW w:w="986" w:type="pct"/>
            <w:shd w:val="clear" w:color="auto" w:fill="auto"/>
            <w:vAlign w:val="center"/>
          </w:tcPr>
          <w:p w14:paraId="17F8FA5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300≤X＜1000</w:t>
            </w:r>
          </w:p>
        </w:tc>
        <w:tc>
          <w:tcPr>
            <w:tcW w:w="889" w:type="pct"/>
            <w:shd w:val="clear" w:color="auto" w:fill="auto"/>
            <w:vAlign w:val="center"/>
          </w:tcPr>
          <w:p w14:paraId="7A8ACCD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20≤X＜300</w:t>
            </w:r>
          </w:p>
        </w:tc>
        <w:tc>
          <w:tcPr>
            <w:tcW w:w="535" w:type="pct"/>
            <w:shd w:val="clear" w:color="auto" w:fill="auto"/>
            <w:vAlign w:val="center"/>
          </w:tcPr>
          <w:p w14:paraId="46D5396B">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w:t>
            </w:r>
          </w:p>
        </w:tc>
      </w:tr>
      <w:tr w14:paraId="6165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4528CA5">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30162C26">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09B20B3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1E3F55C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Y≥30000</w:t>
            </w:r>
          </w:p>
        </w:tc>
        <w:tc>
          <w:tcPr>
            <w:tcW w:w="986" w:type="pct"/>
            <w:shd w:val="clear" w:color="auto" w:fill="auto"/>
            <w:vAlign w:val="center"/>
          </w:tcPr>
          <w:p w14:paraId="58ABCFF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3000≤Y＜30000</w:t>
            </w:r>
          </w:p>
        </w:tc>
        <w:tc>
          <w:tcPr>
            <w:tcW w:w="889" w:type="pct"/>
            <w:shd w:val="clear" w:color="auto" w:fill="auto"/>
            <w:vAlign w:val="center"/>
          </w:tcPr>
          <w:p w14:paraId="1F06E52D">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200≤Y＜3000</w:t>
            </w:r>
          </w:p>
        </w:tc>
        <w:tc>
          <w:tcPr>
            <w:tcW w:w="535" w:type="pct"/>
            <w:shd w:val="clear" w:color="auto" w:fill="auto"/>
            <w:vAlign w:val="center"/>
          </w:tcPr>
          <w:p w14:paraId="49E2E11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Y＜200</w:t>
            </w:r>
          </w:p>
        </w:tc>
      </w:tr>
      <w:tr w14:paraId="38AE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99D8D74">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仓储业*</w:t>
            </w:r>
          </w:p>
        </w:tc>
        <w:tc>
          <w:tcPr>
            <w:tcW w:w="740" w:type="pct"/>
            <w:shd w:val="clear" w:color="auto" w:fill="auto"/>
            <w:vAlign w:val="center"/>
          </w:tcPr>
          <w:p w14:paraId="06B0F33D">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40C22C3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19B886C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X≥200</w:t>
            </w:r>
          </w:p>
        </w:tc>
        <w:tc>
          <w:tcPr>
            <w:tcW w:w="986" w:type="pct"/>
            <w:shd w:val="clear" w:color="auto" w:fill="auto"/>
            <w:vAlign w:val="center"/>
          </w:tcPr>
          <w:p w14:paraId="6E6992FD">
            <w:pPr>
              <w:keepNext w:val="0"/>
              <w:keepLines w:val="0"/>
              <w:pageBreakBefore w:val="0"/>
              <w:widowControl w:val="0"/>
              <w:suppressLineNumbers w:val="0"/>
              <w:kinsoku/>
              <w:wordWrap w:val="0"/>
              <w:overflowPunct/>
              <w:bidi w:val="0"/>
              <w:spacing w:before="0" w:beforeAutospacing="0" w:after="0" w:afterAutospacing="0"/>
              <w:ind w:left="19" w:leftChars="-51" w:right="0" w:hanging="126" w:hangingChars="6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100≤X＜200</w:t>
            </w:r>
          </w:p>
        </w:tc>
        <w:tc>
          <w:tcPr>
            <w:tcW w:w="889" w:type="pct"/>
            <w:shd w:val="clear" w:color="auto" w:fill="auto"/>
            <w:vAlign w:val="center"/>
          </w:tcPr>
          <w:p w14:paraId="399E9FC6">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20≤X＜100</w:t>
            </w:r>
          </w:p>
        </w:tc>
        <w:tc>
          <w:tcPr>
            <w:tcW w:w="535" w:type="pct"/>
            <w:shd w:val="clear" w:color="auto" w:fill="auto"/>
            <w:vAlign w:val="center"/>
          </w:tcPr>
          <w:p w14:paraId="2F002CC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w:t>
            </w:r>
          </w:p>
        </w:tc>
      </w:tr>
      <w:tr w14:paraId="0866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86BB3D0">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1B2F2746">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167014D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569A0F2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Y≥30000</w:t>
            </w:r>
          </w:p>
        </w:tc>
        <w:tc>
          <w:tcPr>
            <w:tcW w:w="986" w:type="pct"/>
            <w:shd w:val="clear" w:color="auto" w:fill="auto"/>
            <w:vAlign w:val="center"/>
          </w:tcPr>
          <w:p w14:paraId="1C9707BB">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1000≤Y＜30000</w:t>
            </w:r>
          </w:p>
        </w:tc>
        <w:tc>
          <w:tcPr>
            <w:tcW w:w="889" w:type="pct"/>
            <w:shd w:val="clear" w:color="auto" w:fill="auto"/>
            <w:vAlign w:val="center"/>
          </w:tcPr>
          <w:p w14:paraId="189EEE4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100≤Y＜1000</w:t>
            </w:r>
          </w:p>
        </w:tc>
        <w:tc>
          <w:tcPr>
            <w:tcW w:w="535" w:type="pct"/>
            <w:shd w:val="clear" w:color="auto" w:fill="auto"/>
            <w:vAlign w:val="center"/>
          </w:tcPr>
          <w:p w14:paraId="76CC6A5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30AEC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15958B0">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邮政业</w:t>
            </w:r>
          </w:p>
        </w:tc>
        <w:tc>
          <w:tcPr>
            <w:tcW w:w="740" w:type="pct"/>
            <w:shd w:val="clear" w:color="auto" w:fill="auto"/>
            <w:vAlign w:val="center"/>
          </w:tcPr>
          <w:p w14:paraId="47D6BC4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100397F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699CA49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X≥1000</w:t>
            </w:r>
          </w:p>
        </w:tc>
        <w:tc>
          <w:tcPr>
            <w:tcW w:w="986" w:type="pct"/>
            <w:shd w:val="clear" w:color="auto" w:fill="auto"/>
            <w:vAlign w:val="center"/>
          </w:tcPr>
          <w:p w14:paraId="20CDFDC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300≤X＜1000</w:t>
            </w:r>
          </w:p>
        </w:tc>
        <w:tc>
          <w:tcPr>
            <w:tcW w:w="889" w:type="pct"/>
            <w:shd w:val="clear" w:color="auto" w:fill="auto"/>
            <w:vAlign w:val="center"/>
          </w:tcPr>
          <w:p w14:paraId="2E09912B">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20≤X＜300</w:t>
            </w:r>
          </w:p>
        </w:tc>
        <w:tc>
          <w:tcPr>
            <w:tcW w:w="535" w:type="pct"/>
            <w:shd w:val="clear" w:color="auto" w:fill="auto"/>
            <w:vAlign w:val="center"/>
          </w:tcPr>
          <w:p w14:paraId="1B39891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w:t>
            </w:r>
          </w:p>
        </w:tc>
      </w:tr>
      <w:tr w14:paraId="7954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B04F53E">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4AFF52D4">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165F116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07CB8B6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Y≥30000</w:t>
            </w:r>
          </w:p>
        </w:tc>
        <w:tc>
          <w:tcPr>
            <w:tcW w:w="986" w:type="pct"/>
            <w:shd w:val="clear" w:color="auto" w:fill="auto"/>
            <w:vAlign w:val="center"/>
          </w:tcPr>
          <w:p w14:paraId="54372B8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2000≤Y＜30000</w:t>
            </w:r>
          </w:p>
        </w:tc>
        <w:tc>
          <w:tcPr>
            <w:tcW w:w="889" w:type="pct"/>
            <w:shd w:val="clear" w:color="auto" w:fill="auto"/>
            <w:vAlign w:val="center"/>
          </w:tcPr>
          <w:p w14:paraId="717DE73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100≤Y＜2000</w:t>
            </w:r>
          </w:p>
        </w:tc>
        <w:tc>
          <w:tcPr>
            <w:tcW w:w="535" w:type="pct"/>
            <w:shd w:val="clear" w:color="auto" w:fill="auto"/>
            <w:vAlign w:val="center"/>
          </w:tcPr>
          <w:p w14:paraId="22A579B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7C53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8874BF8">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住宿业</w:t>
            </w:r>
          </w:p>
        </w:tc>
        <w:tc>
          <w:tcPr>
            <w:tcW w:w="740" w:type="pct"/>
            <w:shd w:val="clear" w:color="auto" w:fill="auto"/>
            <w:vAlign w:val="center"/>
          </w:tcPr>
          <w:p w14:paraId="5FB86FE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31CE0AE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109ED17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986" w:type="pct"/>
            <w:shd w:val="clear" w:color="auto" w:fill="auto"/>
            <w:vAlign w:val="center"/>
          </w:tcPr>
          <w:p w14:paraId="3C9D43FC">
            <w:pPr>
              <w:keepNext w:val="0"/>
              <w:keepLines w:val="0"/>
              <w:pageBreakBefore w:val="0"/>
              <w:widowControl w:val="0"/>
              <w:suppressLineNumbers w:val="0"/>
              <w:kinsoku/>
              <w:wordWrap w:val="0"/>
              <w:overflowPunct/>
              <w:bidi w:val="0"/>
              <w:spacing w:before="0" w:beforeAutospacing="0" w:after="0" w:afterAutospacing="0"/>
              <w:ind w:left="19" w:leftChars="-51" w:right="0" w:hanging="126" w:hangingChars="6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889" w:type="pct"/>
            <w:shd w:val="clear" w:color="auto" w:fill="auto"/>
            <w:vAlign w:val="center"/>
          </w:tcPr>
          <w:p w14:paraId="3B1253A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535" w:type="pct"/>
            <w:shd w:val="clear" w:color="auto" w:fill="auto"/>
            <w:vAlign w:val="center"/>
          </w:tcPr>
          <w:p w14:paraId="743588B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076B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CE85231">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3D7B914E">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78BC4E3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18D11A4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Y≥10000</w:t>
            </w:r>
          </w:p>
        </w:tc>
        <w:tc>
          <w:tcPr>
            <w:tcW w:w="986" w:type="pct"/>
            <w:shd w:val="clear" w:color="auto" w:fill="auto"/>
            <w:vAlign w:val="center"/>
          </w:tcPr>
          <w:p w14:paraId="0550412D">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2000≤Y＜10000</w:t>
            </w:r>
          </w:p>
        </w:tc>
        <w:tc>
          <w:tcPr>
            <w:tcW w:w="889" w:type="pct"/>
            <w:shd w:val="clear" w:color="auto" w:fill="auto"/>
            <w:vAlign w:val="center"/>
          </w:tcPr>
          <w:p w14:paraId="3530A4F6">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100≤Y＜2000</w:t>
            </w:r>
          </w:p>
        </w:tc>
        <w:tc>
          <w:tcPr>
            <w:tcW w:w="535" w:type="pct"/>
            <w:shd w:val="clear" w:color="auto" w:fill="auto"/>
            <w:vAlign w:val="center"/>
          </w:tcPr>
          <w:p w14:paraId="2823EA9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325F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F500079">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餐饮业</w:t>
            </w:r>
          </w:p>
        </w:tc>
        <w:tc>
          <w:tcPr>
            <w:tcW w:w="740" w:type="pct"/>
            <w:shd w:val="clear" w:color="auto" w:fill="auto"/>
            <w:vAlign w:val="center"/>
          </w:tcPr>
          <w:p w14:paraId="6868903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0ACB3ED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2A22A16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986" w:type="pct"/>
            <w:shd w:val="clear" w:color="auto" w:fill="auto"/>
            <w:vAlign w:val="center"/>
          </w:tcPr>
          <w:p w14:paraId="339E6300">
            <w:pPr>
              <w:keepNext w:val="0"/>
              <w:keepLines w:val="0"/>
              <w:pageBreakBefore w:val="0"/>
              <w:widowControl w:val="0"/>
              <w:suppressLineNumbers w:val="0"/>
              <w:kinsoku/>
              <w:wordWrap w:val="0"/>
              <w:overflowPunct/>
              <w:bidi w:val="0"/>
              <w:spacing w:before="0" w:beforeAutospacing="0" w:after="0" w:afterAutospacing="0"/>
              <w:ind w:left="19" w:leftChars="-51" w:right="0" w:hanging="126" w:hangingChars="6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889" w:type="pct"/>
            <w:shd w:val="clear" w:color="auto" w:fill="auto"/>
            <w:vAlign w:val="center"/>
          </w:tcPr>
          <w:p w14:paraId="766BDAC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535" w:type="pct"/>
            <w:shd w:val="clear" w:color="auto" w:fill="auto"/>
            <w:vAlign w:val="center"/>
          </w:tcPr>
          <w:p w14:paraId="66D8BE5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717B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9292CEA">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0C761DC2">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5B78B44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1EE0B73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Y≥10000</w:t>
            </w:r>
          </w:p>
        </w:tc>
        <w:tc>
          <w:tcPr>
            <w:tcW w:w="986" w:type="pct"/>
            <w:shd w:val="clear" w:color="auto" w:fill="auto"/>
            <w:vAlign w:val="center"/>
          </w:tcPr>
          <w:p w14:paraId="3BF992F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2000≤Y＜10000</w:t>
            </w:r>
          </w:p>
        </w:tc>
        <w:tc>
          <w:tcPr>
            <w:tcW w:w="889" w:type="pct"/>
            <w:shd w:val="clear" w:color="auto" w:fill="auto"/>
            <w:vAlign w:val="center"/>
          </w:tcPr>
          <w:p w14:paraId="43F181C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100≤Y＜2000</w:t>
            </w:r>
          </w:p>
        </w:tc>
        <w:tc>
          <w:tcPr>
            <w:tcW w:w="535" w:type="pct"/>
            <w:shd w:val="clear" w:color="auto" w:fill="auto"/>
            <w:vAlign w:val="center"/>
          </w:tcPr>
          <w:p w14:paraId="7D33092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2830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FA96F9B">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信息传输业*</w:t>
            </w:r>
          </w:p>
        </w:tc>
        <w:tc>
          <w:tcPr>
            <w:tcW w:w="740" w:type="pct"/>
            <w:shd w:val="clear" w:color="auto" w:fill="auto"/>
            <w:vAlign w:val="center"/>
          </w:tcPr>
          <w:p w14:paraId="70A2E49D">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6B32505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179C7C76">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X≥2000</w:t>
            </w:r>
          </w:p>
        </w:tc>
        <w:tc>
          <w:tcPr>
            <w:tcW w:w="986" w:type="pct"/>
            <w:shd w:val="clear" w:color="auto" w:fill="auto"/>
            <w:vAlign w:val="center"/>
          </w:tcPr>
          <w:p w14:paraId="6F0B26A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100≤X＜2000</w:t>
            </w:r>
          </w:p>
        </w:tc>
        <w:tc>
          <w:tcPr>
            <w:tcW w:w="889" w:type="pct"/>
            <w:shd w:val="clear" w:color="auto" w:fill="auto"/>
            <w:vAlign w:val="center"/>
          </w:tcPr>
          <w:p w14:paraId="08BEE9A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535" w:type="pct"/>
            <w:shd w:val="clear" w:color="auto" w:fill="auto"/>
            <w:vAlign w:val="center"/>
          </w:tcPr>
          <w:p w14:paraId="1610447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2160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35DB794">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6A2D8A4E">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718E54E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3526993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Y≥100000</w:t>
            </w:r>
          </w:p>
        </w:tc>
        <w:tc>
          <w:tcPr>
            <w:tcW w:w="986" w:type="pct"/>
            <w:shd w:val="clear" w:color="auto" w:fill="auto"/>
            <w:vAlign w:val="center"/>
          </w:tcPr>
          <w:p w14:paraId="79389A4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1000≤Y＜100000</w:t>
            </w:r>
          </w:p>
        </w:tc>
        <w:tc>
          <w:tcPr>
            <w:tcW w:w="889" w:type="pct"/>
            <w:shd w:val="clear" w:color="auto" w:fill="auto"/>
            <w:vAlign w:val="center"/>
          </w:tcPr>
          <w:p w14:paraId="1E265AEB">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100≤Y＜1000</w:t>
            </w:r>
          </w:p>
        </w:tc>
        <w:tc>
          <w:tcPr>
            <w:tcW w:w="535" w:type="pct"/>
            <w:shd w:val="clear" w:color="auto" w:fill="auto"/>
            <w:vAlign w:val="center"/>
          </w:tcPr>
          <w:p w14:paraId="7D86468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270F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C3B04AF">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spacing w:val="-12"/>
                <w:kern w:val="0"/>
                <w:szCs w:val="21"/>
                <w:highlight w:val="none"/>
              </w:rPr>
            </w:pPr>
            <w:r>
              <w:rPr>
                <w:rFonts w:hint="eastAsia" w:ascii="宋体" w:hAnsi="宋体" w:eastAsia="宋体" w:cs="宋体"/>
                <w:color w:val="auto"/>
                <w:spacing w:val="-12"/>
                <w:kern w:val="0"/>
                <w:szCs w:val="21"/>
                <w:highlight w:val="none"/>
              </w:rPr>
              <w:t>软件和信息技术服</w:t>
            </w:r>
            <w:r>
              <w:rPr>
                <w:rFonts w:hint="eastAsia" w:ascii="宋体" w:hAnsi="宋体" w:eastAsia="宋体" w:cs="宋体"/>
                <w:color w:val="auto"/>
                <w:kern w:val="0"/>
                <w:szCs w:val="21"/>
                <w:highlight w:val="none"/>
              </w:rPr>
              <w:t>务业</w:t>
            </w:r>
          </w:p>
        </w:tc>
        <w:tc>
          <w:tcPr>
            <w:tcW w:w="740" w:type="pct"/>
            <w:shd w:val="clear" w:color="auto" w:fill="auto"/>
            <w:vAlign w:val="center"/>
          </w:tcPr>
          <w:p w14:paraId="147D772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589E885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4FD243D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986" w:type="pct"/>
            <w:shd w:val="clear" w:color="auto" w:fill="auto"/>
            <w:vAlign w:val="center"/>
          </w:tcPr>
          <w:p w14:paraId="66E5D3C7">
            <w:pPr>
              <w:keepNext w:val="0"/>
              <w:keepLines w:val="0"/>
              <w:pageBreakBefore w:val="0"/>
              <w:widowControl w:val="0"/>
              <w:suppressLineNumbers w:val="0"/>
              <w:kinsoku/>
              <w:wordWrap w:val="0"/>
              <w:overflowPunct/>
              <w:bidi w:val="0"/>
              <w:spacing w:before="0" w:beforeAutospacing="0" w:after="0" w:afterAutospacing="0"/>
              <w:ind w:left="19" w:leftChars="-51" w:right="0" w:hanging="126" w:hangingChars="6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889" w:type="pct"/>
            <w:shd w:val="clear" w:color="auto" w:fill="auto"/>
            <w:vAlign w:val="center"/>
          </w:tcPr>
          <w:p w14:paraId="55518C5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535" w:type="pct"/>
            <w:shd w:val="clear" w:color="auto" w:fill="auto"/>
            <w:vAlign w:val="center"/>
          </w:tcPr>
          <w:p w14:paraId="43B93EED">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4C063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EB5F194">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spacing w:val="-12"/>
                <w:kern w:val="0"/>
                <w:szCs w:val="21"/>
                <w:highlight w:val="none"/>
              </w:rPr>
            </w:pPr>
          </w:p>
        </w:tc>
        <w:tc>
          <w:tcPr>
            <w:tcW w:w="740" w:type="pct"/>
            <w:shd w:val="clear" w:color="auto" w:fill="auto"/>
            <w:vAlign w:val="center"/>
          </w:tcPr>
          <w:p w14:paraId="11AA1EF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03A6F9D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4018930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Y≥10000</w:t>
            </w:r>
          </w:p>
        </w:tc>
        <w:tc>
          <w:tcPr>
            <w:tcW w:w="986" w:type="pct"/>
            <w:shd w:val="clear" w:color="auto" w:fill="auto"/>
            <w:vAlign w:val="center"/>
          </w:tcPr>
          <w:p w14:paraId="309211F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1000≤Y＜10000</w:t>
            </w:r>
          </w:p>
        </w:tc>
        <w:tc>
          <w:tcPr>
            <w:tcW w:w="889" w:type="pct"/>
            <w:shd w:val="clear" w:color="auto" w:fill="auto"/>
            <w:vAlign w:val="center"/>
          </w:tcPr>
          <w:p w14:paraId="247E04A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50≤Y＜1000</w:t>
            </w:r>
          </w:p>
        </w:tc>
        <w:tc>
          <w:tcPr>
            <w:tcW w:w="535" w:type="pct"/>
            <w:shd w:val="clear" w:color="auto" w:fill="auto"/>
            <w:vAlign w:val="center"/>
          </w:tcPr>
          <w:p w14:paraId="16DA9B1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Y＜50</w:t>
            </w:r>
          </w:p>
        </w:tc>
      </w:tr>
      <w:tr w14:paraId="2BF7B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5BF8D73">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房地产开发经营</w:t>
            </w:r>
          </w:p>
        </w:tc>
        <w:tc>
          <w:tcPr>
            <w:tcW w:w="740" w:type="pct"/>
            <w:shd w:val="clear" w:color="auto" w:fill="auto"/>
            <w:vAlign w:val="center"/>
          </w:tcPr>
          <w:p w14:paraId="192CFB6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3B12DA86">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44B9AD8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Y≥200000</w:t>
            </w:r>
          </w:p>
        </w:tc>
        <w:tc>
          <w:tcPr>
            <w:tcW w:w="986" w:type="pct"/>
            <w:shd w:val="clear" w:color="auto" w:fill="auto"/>
            <w:vAlign w:val="center"/>
          </w:tcPr>
          <w:p w14:paraId="0374D89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1000≤Y＜200000</w:t>
            </w:r>
          </w:p>
        </w:tc>
        <w:tc>
          <w:tcPr>
            <w:tcW w:w="889" w:type="pct"/>
            <w:shd w:val="clear" w:color="auto" w:fill="auto"/>
            <w:vAlign w:val="center"/>
          </w:tcPr>
          <w:p w14:paraId="2633001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100≤Y＜1000</w:t>
            </w:r>
          </w:p>
        </w:tc>
        <w:tc>
          <w:tcPr>
            <w:tcW w:w="535" w:type="pct"/>
            <w:shd w:val="clear" w:color="auto" w:fill="auto"/>
            <w:vAlign w:val="center"/>
          </w:tcPr>
          <w:p w14:paraId="1857EC1D">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Y＜100</w:t>
            </w:r>
          </w:p>
        </w:tc>
      </w:tr>
      <w:tr w14:paraId="3B18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3870844">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50997773">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资产总额(Z)</w:t>
            </w:r>
          </w:p>
        </w:tc>
        <w:tc>
          <w:tcPr>
            <w:tcW w:w="384" w:type="pct"/>
            <w:shd w:val="clear" w:color="auto" w:fill="auto"/>
            <w:vAlign w:val="center"/>
          </w:tcPr>
          <w:p w14:paraId="1140681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7AFC7F8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Z≥10000</w:t>
            </w:r>
          </w:p>
        </w:tc>
        <w:tc>
          <w:tcPr>
            <w:tcW w:w="986" w:type="pct"/>
            <w:shd w:val="clear" w:color="auto" w:fill="auto"/>
            <w:vAlign w:val="center"/>
          </w:tcPr>
          <w:p w14:paraId="5D6341BC">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5000≤Z＜10000</w:t>
            </w:r>
          </w:p>
        </w:tc>
        <w:tc>
          <w:tcPr>
            <w:tcW w:w="889" w:type="pct"/>
            <w:shd w:val="clear" w:color="auto" w:fill="auto"/>
            <w:vAlign w:val="center"/>
          </w:tcPr>
          <w:p w14:paraId="39CF5B5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2000≤Z＜5000</w:t>
            </w:r>
          </w:p>
        </w:tc>
        <w:tc>
          <w:tcPr>
            <w:tcW w:w="535" w:type="pct"/>
            <w:shd w:val="clear" w:color="auto" w:fill="auto"/>
            <w:vAlign w:val="center"/>
          </w:tcPr>
          <w:p w14:paraId="632F957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Z＜2000</w:t>
            </w:r>
          </w:p>
        </w:tc>
      </w:tr>
      <w:tr w14:paraId="3E172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476D62F">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物业管理</w:t>
            </w:r>
          </w:p>
        </w:tc>
        <w:tc>
          <w:tcPr>
            <w:tcW w:w="740" w:type="pct"/>
            <w:shd w:val="clear" w:color="auto" w:fill="auto"/>
            <w:vAlign w:val="center"/>
          </w:tcPr>
          <w:p w14:paraId="3C2E7FA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74E07AD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05A3023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X≥1000</w:t>
            </w:r>
          </w:p>
        </w:tc>
        <w:tc>
          <w:tcPr>
            <w:tcW w:w="986" w:type="pct"/>
            <w:shd w:val="clear" w:color="auto" w:fill="auto"/>
            <w:vAlign w:val="center"/>
          </w:tcPr>
          <w:p w14:paraId="45C7DEF6">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300≤X＜1000</w:t>
            </w:r>
          </w:p>
        </w:tc>
        <w:tc>
          <w:tcPr>
            <w:tcW w:w="889" w:type="pct"/>
            <w:shd w:val="clear" w:color="auto" w:fill="auto"/>
            <w:vAlign w:val="center"/>
          </w:tcPr>
          <w:p w14:paraId="3ACDA8AA">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535" w:type="pct"/>
            <w:shd w:val="clear" w:color="auto" w:fill="auto"/>
            <w:vAlign w:val="center"/>
          </w:tcPr>
          <w:p w14:paraId="6E89B8D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X＜100</w:t>
            </w:r>
          </w:p>
        </w:tc>
      </w:tr>
      <w:tr w14:paraId="6C5C1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0638518">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1C715E87">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营业收入(Y)</w:t>
            </w:r>
          </w:p>
        </w:tc>
        <w:tc>
          <w:tcPr>
            <w:tcW w:w="384" w:type="pct"/>
            <w:shd w:val="clear" w:color="auto" w:fill="auto"/>
            <w:vAlign w:val="center"/>
          </w:tcPr>
          <w:p w14:paraId="1B98B95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000BE17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Y≥5000</w:t>
            </w:r>
          </w:p>
        </w:tc>
        <w:tc>
          <w:tcPr>
            <w:tcW w:w="986" w:type="pct"/>
            <w:shd w:val="clear" w:color="auto" w:fill="auto"/>
            <w:vAlign w:val="center"/>
          </w:tcPr>
          <w:p w14:paraId="2D8285FE">
            <w:pPr>
              <w:keepNext w:val="0"/>
              <w:keepLines w:val="0"/>
              <w:pageBreakBefore w:val="0"/>
              <w:widowControl w:val="0"/>
              <w:suppressLineNumbers w:val="0"/>
              <w:kinsoku/>
              <w:wordWrap w:val="0"/>
              <w:overflowPunct/>
              <w:bidi w:val="0"/>
              <w:spacing w:before="0" w:beforeAutospacing="0" w:after="0" w:afterAutospacing="0"/>
              <w:ind w:left="19" w:leftChars="-51" w:right="0" w:hanging="126" w:hangingChars="6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1000≤Y＜5000</w:t>
            </w:r>
          </w:p>
        </w:tc>
        <w:tc>
          <w:tcPr>
            <w:tcW w:w="889" w:type="pct"/>
            <w:shd w:val="clear" w:color="auto" w:fill="auto"/>
            <w:vAlign w:val="center"/>
          </w:tcPr>
          <w:p w14:paraId="4957F3F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500≤Y＜1000</w:t>
            </w:r>
          </w:p>
        </w:tc>
        <w:tc>
          <w:tcPr>
            <w:tcW w:w="535" w:type="pct"/>
            <w:shd w:val="clear" w:color="auto" w:fill="auto"/>
            <w:vAlign w:val="center"/>
          </w:tcPr>
          <w:p w14:paraId="081B47D9">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Y＜500</w:t>
            </w:r>
          </w:p>
        </w:tc>
      </w:tr>
      <w:tr w14:paraId="77FE5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DA2315D">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租赁和商务服务业</w:t>
            </w:r>
          </w:p>
        </w:tc>
        <w:tc>
          <w:tcPr>
            <w:tcW w:w="740" w:type="pct"/>
            <w:shd w:val="clear" w:color="auto" w:fill="auto"/>
            <w:vAlign w:val="center"/>
          </w:tcPr>
          <w:p w14:paraId="4FC4EA82">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27B0889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0528B01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986" w:type="pct"/>
            <w:shd w:val="clear" w:color="auto" w:fill="auto"/>
            <w:vAlign w:val="center"/>
          </w:tcPr>
          <w:p w14:paraId="4AA3377A">
            <w:pPr>
              <w:keepNext w:val="0"/>
              <w:keepLines w:val="0"/>
              <w:pageBreakBefore w:val="0"/>
              <w:widowControl w:val="0"/>
              <w:suppressLineNumbers w:val="0"/>
              <w:kinsoku/>
              <w:wordWrap w:val="0"/>
              <w:overflowPunct/>
              <w:bidi w:val="0"/>
              <w:spacing w:before="0" w:beforeAutospacing="0" w:after="0" w:afterAutospacing="0"/>
              <w:ind w:left="19" w:leftChars="-51" w:right="0" w:hanging="126" w:hangingChars="6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889" w:type="pct"/>
            <w:shd w:val="clear" w:color="auto" w:fill="auto"/>
            <w:vAlign w:val="center"/>
          </w:tcPr>
          <w:p w14:paraId="3A81C54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535" w:type="pct"/>
            <w:shd w:val="clear" w:color="auto" w:fill="auto"/>
            <w:vAlign w:val="center"/>
          </w:tcPr>
          <w:p w14:paraId="15A0EA26">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r w14:paraId="19BB0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3E48978">
            <w:pPr>
              <w:keepNext w:val="0"/>
              <w:keepLines w:val="0"/>
              <w:pageBreakBefore w:val="0"/>
              <w:widowControl w:val="0"/>
              <w:suppressLineNumbers w:val="0"/>
              <w:kinsoku/>
              <w:wordWrap w:val="0"/>
              <w:overflowPunct/>
              <w:bidi w:val="0"/>
              <w:spacing w:before="0" w:beforeAutospacing="0" w:after="0" w:afterAutospacing="0"/>
              <w:ind w:left="0" w:right="0"/>
              <w:jc w:val="left"/>
              <w:rPr>
                <w:rFonts w:hint="eastAsia" w:ascii="宋体" w:hAnsi="宋体" w:eastAsia="宋体" w:cs="宋体"/>
                <w:color w:val="auto"/>
                <w:kern w:val="0"/>
                <w:szCs w:val="21"/>
                <w:highlight w:val="none"/>
              </w:rPr>
            </w:pPr>
          </w:p>
        </w:tc>
        <w:tc>
          <w:tcPr>
            <w:tcW w:w="740" w:type="pct"/>
            <w:shd w:val="clear" w:color="auto" w:fill="auto"/>
            <w:vAlign w:val="center"/>
          </w:tcPr>
          <w:p w14:paraId="0E4C360B">
            <w:pPr>
              <w:keepNext w:val="0"/>
              <w:keepLines w:val="0"/>
              <w:pageBreakBefore w:val="0"/>
              <w:widowControl w:val="0"/>
              <w:suppressLineNumbers w:val="0"/>
              <w:kinsoku/>
              <w:wordWrap w:val="0"/>
              <w:overflowPunct/>
              <w:bidi w:val="0"/>
              <w:spacing w:before="0" w:beforeAutospacing="0" w:after="0" w:afterAutospacing="0" w:line="24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资产总额(Z)</w:t>
            </w:r>
          </w:p>
        </w:tc>
        <w:tc>
          <w:tcPr>
            <w:tcW w:w="384" w:type="pct"/>
            <w:shd w:val="clear" w:color="auto" w:fill="auto"/>
            <w:vAlign w:val="center"/>
          </w:tcPr>
          <w:p w14:paraId="3E47FD01">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11" w:type="pct"/>
            <w:shd w:val="clear" w:color="auto" w:fill="auto"/>
            <w:vAlign w:val="center"/>
          </w:tcPr>
          <w:p w14:paraId="4B8C8CB8">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Z≥120000</w:t>
            </w:r>
          </w:p>
        </w:tc>
        <w:tc>
          <w:tcPr>
            <w:tcW w:w="986" w:type="pct"/>
            <w:shd w:val="clear" w:color="auto" w:fill="auto"/>
            <w:vAlign w:val="center"/>
          </w:tcPr>
          <w:p w14:paraId="42A836E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8000≤Z＜120000</w:t>
            </w:r>
          </w:p>
        </w:tc>
        <w:tc>
          <w:tcPr>
            <w:tcW w:w="889" w:type="pct"/>
            <w:shd w:val="clear" w:color="auto" w:fill="auto"/>
            <w:vAlign w:val="center"/>
          </w:tcPr>
          <w:p w14:paraId="51C0E257">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100≤Z＜8000</w:t>
            </w:r>
          </w:p>
        </w:tc>
        <w:tc>
          <w:tcPr>
            <w:tcW w:w="535" w:type="pct"/>
            <w:shd w:val="clear" w:color="auto" w:fill="auto"/>
            <w:vAlign w:val="center"/>
          </w:tcPr>
          <w:p w14:paraId="3179384B">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Z＜100</w:t>
            </w:r>
          </w:p>
        </w:tc>
      </w:tr>
      <w:tr w14:paraId="637F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2E342C45">
            <w:pPr>
              <w:keepNext w:val="0"/>
              <w:keepLines w:val="0"/>
              <w:pageBreakBefore w:val="0"/>
              <w:widowControl w:val="0"/>
              <w:suppressLineNumbers w:val="0"/>
              <w:kinsoku/>
              <w:wordWrap w:val="0"/>
              <w:overflowPunct/>
              <w:bidi w:val="0"/>
              <w:spacing w:before="0" w:beforeAutospacing="0" w:after="0" w:afterAutospacing="0" w:line="240" w:lineRule="exact"/>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其他未列明行业*</w:t>
            </w:r>
          </w:p>
        </w:tc>
        <w:tc>
          <w:tcPr>
            <w:tcW w:w="740" w:type="pct"/>
            <w:shd w:val="clear" w:color="auto" w:fill="auto"/>
            <w:vAlign w:val="center"/>
          </w:tcPr>
          <w:p w14:paraId="72FCCA45">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从业人员(X)</w:t>
            </w:r>
          </w:p>
        </w:tc>
        <w:tc>
          <w:tcPr>
            <w:tcW w:w="384" w:type="pct"/>
            <w:shd w:val="clear" w:color="auto" w:fill="auto"/>
            <w:vAlign w:val="center"/>
          </w:tcPr>
          <w:p w14:paraId="2C00C8C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w:t>
            </w:r>
          </w:p>
        </w:tc>
        <w:tc>
          <w:tcPr>
            <w:tcW w:w="611" w:type="pct"/>
            <w:shd w:val="clear" w:color="auto" w:fill="auto"/>
            <w:vAlign w:val="center"/>
          </w:tcPr>
          <w:p w14:paraId="31A8D3B3">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X≥300</w:t>
            </w:r>
          </w:p>
        </w:tc>
        <w:tc>
          <w:tcPr>
            <w:tcW w:w="986" w:type="pct"/>
            <w:shd w:val="clear" w:color="auto" w:fill="auto"/>
            <w:vAlign w:val="center"/>
          </w:tcPr>
          <w:p w14:paraId="0177A19C">
            <w:pPr>
              <w:keepNext w:val="0"/>
              <w:keepLines w:val="0"/>
              <w:pageBreakBefore w:val="0"/>
              <w:widowControl w:val="0"/>
              <w:suppressLineNumbers w:val="0"/>
              <w:kinsoku/>
              <w:wordWrap w:val="0"/>
              <w:overflowPunct/>
              <w:bidi w:val="0"/>
              <w:spacing w:before="0" w:beforeAutospacing="0" w:after="0" w:afterAutospacing="0"/>
              <w:ind w:left="19" w:leftChars="-51" w:right="0" w:hanging="126" w:hangingChars="6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100≤X＜300</w:t>
            </w:r>
          </w:p>
        </w:tc>
        <w:tc>
          <w:tcPr>
            <w:tcW w:w="889" w:type="pct"/>
            <w:shd w:val="clear" w:color="auto" w:fill="auto"/>
            <w:vAlign w:val="center"/>
          </w:tcPr>
          <w:p w14:paraId="7E753410">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10≤X＜100</w:t>
            </w:r>
          </w:p>
        </w:tc>
        <w:tc>
          <w:tcPr>
            <w:tcW w:w="535" w:type="pct"/>
            <w:shd w:val="clear" w:color="auto" w:fill="auto"/>
            <w:vAlign w:val="center"/>
          </w:tcPr>
          <w:p w14:paraId="3EFB733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X＜10</w:t>
            </w:r>
          </w:p>
        </w:tc>
      </w:tr>
    </w:tbl>
    <w:p w14:paraId="03244E12">
      <w:pPr>
        <w:pageBreakBefore w:val="0"/>
        <w:widowControl w:val="0"/>
        <w:kinsoku/>
        <w:wordWrap w:val="0"/>
        <w:overflowPunct/>
        <w:bidi w:val="0"/>
        <w:spacing w:line="360" w:lineRule="auto"/>
        <w:ind w:firstLine="452" w:firstLineChars="200"/>
        <w:rPr>
          <w:rFonts w:hint="eastAsia" w:ascii="宋体" w:hAnsi="宋体" w:eastAsia="宋体" w:cs="宋体"/>
          <w:color w:val="auto"/>
          <w:spacing w:val="8"/>
          <w:kern w:val="0"/>
          <w:szCs w:val="21"/>
          <w:highlight w:val="none"/>
        </w:rPr>
      </w:pPr>
    </w:p>
    <w:p w14:paraId="0C210ED7">
      <w:pPr>
        <w:pageBreakBefore w:val="0"/>
        <w:widowControl w:val="0"/>
        <w:kinsoku/>
        <w:wordWrap w:val="0"/>
        <w:overflowPunct/>
        <w:bidi w:val="0"/>
        <w:spacing w:line="360" w:lineRule="auto"/>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说明：</w:t>
      </w:r>
    </w:p>
    <w:p w14:paraId="108FCF66">
      <w:pPr>
        <w:pageBreakBefore w:val="0"/>
        <w:widowControl w:val="0"/>
        <w:kinsoku/>
        <w:wordWrap w:val="0"/>
        <w:overflowPunct/>
        <w:bidi w:val="0"/>
        <w:spacing w:line="360" w:lineRule="auto"/>
        <w:ind w:firstLine="452" w:firstLineChars="20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1.大型、中型和小型企业须同时满足所列指标的下限，否则下划一档；微型企业只须满足所列指标中的一项即可。</w:t>
      </w:r>
    </w:p>
    <w:p w14:paraId="44AD08DF">
      <w:pPr>
        <w:pageBreakBefore w:val="0"/>
        <w:widowControl w:val="0"/>
        <w:kinsoku/>
        <w:wordWrap w:val="0"/>
        <w:overflowPunct/>
        <w:bidi w:val="0"/>
        <w:spacing w:line="360" w:lineRule="auto"/>
        <w:ind w:firstLine="452" w:firstLineChars="20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cs="宋体"/>
          <w:color w:val="auto"/>
          <w:spacing w:val="8"/>
          <w:kern w:val="0"/>
          <w:szCs w:val="21"/>
          <w:highlight w:val="none"/>
          <w:lang w:eastAsia="zh-CN"/>
        </w:rPr>
        <w:t>；</w:t>
      </w:r>
      <w:r>
        <w:rPr>
          <w:rFonts w:hint="eastAsia" w:ascii="宋体" w:hAnsi="宋体" w:eastAsia="宋体" w:cs="宋体"/>
          <w:color w:val="auto"/>
          <w:spacing w:val="8"/>
          <w:kern w:val="0"/>
          <w:szCs w:val="21"/>
          <w:highlight w:val="none"/>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972BF3C">
      <w:pPr>
        <w:pageBreakBefore w:val="0"/>
        <w:widowControl w:val="0"/>
        <w:kinsoku/>
        <w:wordWrap w:val="0"/>
        <w:overflowPunct/>
        <w:bidi w:val="0"/>
        <w:spacing w:line="360" w:lineRule="auto"/>
        <w:ind w:firstLine="452" w:firstLineChars="200"/>
        <w:rPr>
          <w:rFonts w:hint="eastAsia" w:ascii="宋体" w:hAnsi="宋体" w:eastAsia="宋体" w:cs="宋体"/>
          <w:color w:val="auto"/>
          <w:szCs w:val="21"/>
          <w:highlight w:val="none"/>
        </w:rPr>
      </w:pPr>
      <w:r>
        <w:rPr>
          <w:rFonts w:hint="eastAsia" w:ascii="宋体" w:hAnsi="宋体" w:eastAsia="宋体" w:cs="宋体"/>
          <w:color w:val="auto"/>
          <w:spacing w:val="8"/>
          <w:kern w:val="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118BD8E8">
      <w:pPr>
        <w:pStyle w:val="24"/>
        <w:pageBreakBefore w:val="0"/>
        <w:widowControl w:val="0"/>
        <w:kinsoku/>
        <w:wordWrap w:val="0"/>
        <w:overflowPunct/>
        <w:bidi w:val="0"/>
        <w:rPr>
          <w:rFonts w:hint="eastAsia" w:ascii="宋体" w:hAnsi="宋体" w:eastAsia="宋体" w:cs="宋体"/>
          <w:color w:val="auto"/>
          <w:highlight w:val="none"/>
        </w:rPr>
      </w:pPr>
    </w:p>
    <w:p w14:paraId="2809DD4D">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p>
    <w:p w14:paraId="7986F7A1">
      <w:pPr>
        <w:pageBreakBefore w:val="0"/>
        <w:widowControl w:val="0"/>
        <w:kinsoku/>
        <w:wordWrap w:val="0"/>
        <w:overflowPunct/>
        <w:bidi w:val="0"/>
        <w:spacing w:line="276" w:lineRule="auto"/>
        <w:outlineLvl w:val="4"/>
        <w:rPr>
          <w:rFonts w:hint="eastAsia" w:ascii="宋体" w:hAnsi="宋体" w:eastAsia="宋体" w:cs="宋体"/>
          <w:color w:val="auto"/>
          <w:szCs w:val="21"/>
          <w:highlight w:val="none"/>
        </w:rPr>
      </w:pPr>
      <w:bookmarkStart w:id="122" w:name="_Toc494665557"/>
      <w:bookmarkStart w:id="123" w:name="_Toc494721104"/>
      <w:bookmarkStart w:id="124" w:name="_Toc494665954"/>
      <w:bookmarkStart w:id="125" w:name="_Toc494702274"/>
      <w:bookmarkStart w:id="126" w:name="_Toc494745321"/>
      <w:bookmarkStart w:id="127" w:name="_Toc494665004"/>
      <w:r>
        <w:rPr>
          <w:rFonts w:hint="eastAsia" w:ascii="宋体" w:hAnsi="宋体" w:eastAsia="宋体" w:cs="宋体"/>
          <w:color w:val="auto"/>
          <w:szCs w:val="21"/>
          <w:highlight w:val="none"/>
        </w:rPr>
        <w:t>附件四：部分资格材料格式要求——残疾人福利性单位声明函</w:t>
      </w:r>
      <w:bookmarkEnd w:id="122"/>
      <w:bookmarkEnd w:id="123"/>
      <w:bookmarkEnd w:id="124"/>
      <w:bookmarkEnd w:id="125"/>
      <w:bookmarkEnd w:id="126"/>
      <w:bookmarkEnd w:id="127"/>
      <w:r>
        <w:rPr>
          <w:rFonts w:hint="eastAsia" w:ascii="宋体" w:hAnsi="宋体" w:eastAsia="宋体" w:cs="宋体"/>
          <w:color w:val="auto"/>
          <w:szCs w:val="21"/>
          <w:highlight w:val="none"/>
        </w:rPr>
        <w:t>（非此类企业则无需提供）</w:t>
      </w:r>
    </w:p>
    <w:p w14:paraId="6F897BD7">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残疾人福利性单位声明函</w:t>
      </w:r>
    </w:p>
    <w:p w14:paraId="32BC62D3">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p>
    <w:p w14:paraId="3067596E">
      <w:pPr>
        <w:pageBreakBefore w:val="0"/>
        <w:widowControl w:val="0"/>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DOCVARIABLE 招标机构名称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武汉理工大学、${招标机构名称}</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w:t>
      </w:r>
    </w:p>
    <w:p w14:paraId="3C480E95">
      <w:pPr>
        <w:pageBreakBefore w:val="0"/>
        <w:widowControl w:val="0"/>
        <w:kinsoku/>
        <w:wordWrap w:val="0"/>
        <w:overflowPunct/>
        <w:bidi w:val="0"/>
        <w:spacing w:line="276" w:lineRule="auto"/>
        <w:ind w:firstLine="415" w:firstLineChars="19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联合体）郑重声明，根据《财政部民政部中国残疾人联合会关于促进残疾人就业政府采购政策的通知》（财库〔2017〕141号）的规定，本单位为符合条件的残疾人福利性单位（详见“残疾人福利性单位应当满足的条件”）。</w:t>
      </w:r>
    </w:p>
    <w:p w14:paraId="75A20207">
      <w:pPr>
        <w:pageBreakBefore w:val="0"/>
        <w:widowControl w:val="0"/>
        <w:kinsoku/>
        <w:wordWrap w:val="0"/>
        <w:overflowPunct/>
        <w:bidi w:val="0"/>
        <w:spacing w:line="276" w:lineRule="auto"/>
        <w:ind w:firstLine="415" w:firstLineChars="19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本单位（联合体）参加______单位（采购人名称）的______项目（</w:t>
      </w:r>
      <w:r>
        <w:rPr>
          <w:rFonts w:hint="eastAsia" w:ascii="宋体" w:hAnsi="宋体" w:eastAsia="宋体" w:cs="宋体"/>
          <w:color w:val="auto"/>
          <w:szCs w:val="21"/>
          <w:highlight w:val="none"/>
          <w:u w:val="single"/>
        </w:rPr>
        <w:t>项目编号</w:t>
      </w:r>
      <w:r>
        <w:rPr>
          <w:rFonts w:hint="eastAsia" w:ascii="宋体" w:hAnsi="宋体" w:eastAsia="宋体" w:cs="宋体"/>
          <w:color w:val="auto"/>
          <w:szCs w:val="21"/>
          <w:highlight w:val="none"/>
        </w:rPr>
        <w:t>）采购活动，提供的货物全部由符合政策要求的残疾人福利性单位制造。（不包括使用非残疾人福利性单位注册商标的货物，不包括使用大型企业注册商标的货物），具体情况如下：</w:t>
      </w:r>
    </w:p>
    <w:p w14:paraId="28D59F2A">
      <w:pPr>
        <w:pageBreakBefore w:val="0"/>
        <w:widowControl w:val="0"/>
        <w:kinsoku/>
        <w:wordWrap w:val="0"/>
        <w:overflowPunct/>
        <w:bidi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（标的名称）</w:t>
      </w:r>
      <w:r>
        <w:rPr>
          <w:rFonts w:hint="eastAsia" w:ascii="宋体" w:hAnsi="宋体" w:eastAsia="宋体" w:cs="宋体"/>
          <w:color w:val="auto"/>
          <w:szCs w:val="21"/>
          <w:highlight w:val="none"/>
        </w:rPr>
        <w:t>，制造商为</w:t>
      </w:r>
      <w:r>
        <w:rPr>
          <w:rFonts w:hint="eastAsia" w:ascii="宋体" w:hAnsi="宋体" w:eastAsia="宋体" w:cs="宋体"/>
          <w:color w:val="auto"/>
          <w:szCs w:val="21"/>
          <w:highlight w:val="none"/>
          <w:u w:val="single"/>
        </w:rPr>
        <w:t>（企业名称）</w:t>
      </w:r>
      <w:r>
        <w:rPr>
          <w:rFonts w:hint="eastAsia" w:ascii="宋体" w:hAnsi="宋体" w:eastAsia="宋体" w:cs="宋体"/>
          <w:color w:val="auto"/>
          <w:szCs w:val="21"/>
          <w:highlight w:val="none"/>
        </w:rPr>
        <w:t>，属于</w:t>
      </w:r>
      <w:r>
        <w:rPr>
          <w:rFonts w:hint="eastAsia" w:ascii="宋体" w:hAnsi="宋体" w:eastAsia="宋体" w:cs="宋体"/>
          <w:color w:val="auto"/>
          <w:szCs w:val="21"/>
          <w:highlight w:val="none"/>
          <w:u w:val="single"/>
        </w:rPr>
        <w:t>（残疾人福利性单位）</w:t>
      </w:r>
      <w:r>
        <w:rPr>
          <w:rFonts w:hint="eastAsia" w:ascii="宋体" w:hAnsi="宋体" w:eastAsia="宋体" w:cs="宋体"/>
          <w:color w:val="auto"/>
          <w:szCs w:val="21"/>
          <w:highlight w:val="none"/>
        </w:rPr>
        <w:t>；</w:t>
      </w:r>
    </w:p>
    <w:p w14:paraId="124656A9">
      <w:pPr>
        <w:pageBreakBefore w:val="0"/>
        <w:widowControl w:val="0"/>
        <w:kinsoku/>
        <w:wordWrap w:val="0"/>
        <w:overflowPunct/>
        <w:bidi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（标的名称）</w:t>
      </w:r>
      <w:r>
        <w:rPr>
          <w:rFonts w:hint="eastAsia" w:ascii="宋体" w:hAnsi="宋体" w:eastAsia="宋体" w:cs="宋体"/>
          <w:color w:val="auto"/>
          <w:szCs w:val="21"/>
          <w:highlight w:val="none"/>
        </w:rPr>
        <w:t>，制造商为</w:t>
      </w:r>
      <w:r>
        <w:rPr>
          <w:rFonts w:hint="eastAsia" w:ascii="宋体" w:hAnsi="宋体" w:eastAsia="宋体" w:cs="宋体"/>
          <w:color w:val="auto"/>
          <w:szCs w:val="21"/>
          <w:highlight w:val="none"/>
          <w:u w:val="single"/>
        </w:rPr>
        <w:t>（企业名称）</w:t>
      </w:r>
      <w:r>
        <w:rPr>
          <w:rFonts w:hint="eastAsia" w:ascii="宋体" w:hAnsi="宋体" w:eastAsia="宋体" w:cs="宋体"/>
          <w:color w:val="auto"/>
          <w:szCs w:val="21"/>
          <w:highlight w:val="none"/>
        </w:rPr>
        <w:t>，属于</w:t>
      </w:r>
      <w:r>
        <w:rPr>
          <w:rFonts w:hint="eastAsia" w:ascii="宋体" w:hAnsi="宋体" w:eastAsia="宋体" w:cs="宋体"/>
          <w:color w:val="auto"/>
          <w:szCs w:val="21"/>
          <w:highlight w:val="none"/>
          <w:u w:val="single"/>
        </w:rPr>
        <w:t>（残疾人福利性单位）</w:t>
      </w:r>
      <w:r>
        <w:rPr>
          <w:rFonts w:hint="eastAsia" w:ascii="宋体" w:hAnsi="宋体" w:eastAsia="宋体" w:cs="宋体"/>
          <w:color w:val="auto"/>
          <w:szCs w:val="21"/>
          <w:highlight w:val="none"/>
        </w:rPr>
        <w:t>；</w:t>
      </w:r>
    </w:p>
    <w:p w14:paraId="0C1B70AB">
      <w:pPr>
        <w:pageBreakBefore w:val="0"/>
        <w:widowControl w:val="0"/>
        <w:kinsoku/>
        <w:wordWrap w:val="0"/>
        <w:overflowPunct/>
        <w:bidi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bl>
      <w:tblPr>
        <w:tblStyle w:val="25"/>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57251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7215071B">
            <w:pPr>
              <w:keepNext w:val="0"/>
              <w:keepLines w:val="0"/>
              <w:pageBreakBefore w:val="0"/>
              <w:widowControl w:val="0"/>
              <w:suppressLineNumbers w:val="0"/>
              <w:kinsoku/>
              <w:wordWrap w:val="0"/>
              <w:overflowPunct/>
              <w:bidi w:val="0"/>
              <w:spacing w:before="0" w:beforeAutospacing="0" w:after="0" w:afterAutospacing="0" w:line="276" w:lineRule="auto"/>
              <w:ind w:left="-23" w:leftChars="-11" w:right="-65" w:rightChars="-31"/>
              <w:jc w:val="center"/>
              <w:rPr>
                <w:rFonts w:hint="eastAsia" w:ascii="宋体" w:hAnsi="宋体" w:eastAsia="宋体" w:cs="宋体"/>
                <w:color w:val="auto"/>
                <w:kern w:val="0"/>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3D385841">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5AE40780">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3A828242">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7D5B7E1E">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6C2BED2">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2D5A4EF5">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024E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53A80D7">
            <w:pPr>
              <w:keepNext w:val="0"/>
              <w:keepLines w:val="0"/>
              <w:pageBreakBefore w:val="0"/>
              <w:widowControl w:val="0"/>
              <w:numPr>
                <w:ilvl w:val="0"/>
                <w:numId w:val="57"/>
              </w:numPr>
              <w:suppressLineNumbers w:val="0"/>
              <w:tabs>
                <w:tab w:val="left" w:pos="82"/>
              </w:tabs>
              <w:kinsoku/>
              <w:wordWrap w:val="0"/>
              <w:overflowPunct/>
              <w:bidi w:val="0"/>
              <w:adjustRightInd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49BC6C66">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440750DA">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37FC7CE9">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375" w:rightChars="-179"/>
              <w:jc w:val="center"/>
              <w:rPr>
                <w:rFonts w:hint="eastAsia" w:ascii="宋体" w:hAnsi="宋体" w:eastAsia="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28915FF6">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77785062">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6DB2BA34">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5496A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2414BA9F">
            <w:pPr>
              <w:keepNext w:val="0"/>
              <w:keepLines w:val="0"/>
              <w:pageBreakBefore w:val="0"/>
              <w:widowControl w:val="0"/>
              <w:numPr>
                <w:ilvl w:val="0"/>
                <w:numId w:val="57"/>
              </w:numPr>
              <w:suppressLineNumbers w:val="0"/>
              <w:tabs>
                <w:tab w:val="left" w:pos="82"/>
              </w:tabs>
              <w:kinsoku/>
              <w:wordWrap w:val="0"/>
              <w:overflowPunct/>
              <w:bidi w:val="0"/>
              <w:adjustRightInd w:val="0"/>
              <w:snapToGrid w:val="0"/>
              <w:spacing w:before="0" w:beforeAutospacing="0" w:after="0" w:afterAutospacing="0" w:line="276" w:lineRule="auto"/>
              <w:ind w:left="-2" w:right="0" w:firstLine="2"/>
              <w:jc w:val="center"/>
              <w:rPr>
                <w:rFonts w:hint="eastAsia" w:ascii="宋体" w:hAnsi="宋体" w:eastAsia="宋体" w:cs="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487C77A1">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345159AD">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68F85227">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070060A8">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283AD20">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71D60F03">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18EFB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6F63A76">
            <w:pPr>
              <w:keepNext w:val="0"/>
              <w:keepLines w:val="0"/>
              <w:pageBreakBefore w:val="0"/>
              <w:widowControl w:val="0"/>
              <w:suppressLineNumbers w:val="0"/>
              <w:tabs>
                <w:tab w:val="left" w:pos="82"/>
              </w:tabs>
              <w:kinsoku/>
              <w:wordWrap w:val="0"/>
              <w:overflowPunct/>
              <w:bidi w:val="0"/>
              <w:adjustRightInd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5C8F7145">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3C0AF69D">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625ACB63">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392AFBFA">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A54E246">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6D51BB76">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r>
      <w:tr w14:paraId="52E9C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0240442D">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center"/>
              <w:rPr>
                <w:rFonts w:hint="eastAsia" w:ascii="宋体" w:hAnsi="宋体" w:eastAsia="宋体" w:cs="宋体"/>
                <w:color w:val="auto"/>
                <w:kern w:val="0"/>
                <w:szCs w:val="21"/>
                <w:highlight w:val="none"/>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032C7FE3">
            <w:pPr>
              <w:keepNext w:val="0"/>
              <w:keepLines w:val="0"/>
              <w:pageBreakBefore w:val="0"/>
              <w:widowControl w:val="0"/>
              <w:suppressLineNumbers w:val="0"/>
              <w:kinsoku/>
              <w:wordWrap w:val="0"/>
              <w:overflowPunct/>
              <w:bidi w:val="0"/>
              <w:spacing w:before="0" w:beforeAutospacing="0" w:after="0" w:afterAutospacing="0" w:line="276" w:lineRule="auto"/>
              <w:ind w:left="-48" w:leftChars="-23" w:right="-65" w:rightChars="-31"/>
              <w:jc w:val="left"/>
              <w:rPr>
                <w:rFonts w:hint="eastAsia" w:ascii="宋体" w:hAnsi="宋体" w:eastAsia="宋体" w:cs="宋体"/>
                <w:color w:val="auto"/>
                <w:kern w:val="0"/>
                <w:szCs w:val="21"/>
                <w:highlight w:val="none"/>
              </w:rPr>
            </w:pPr>
          </w:p>
        </w:tc>
      </w:tr>
    </w:tbl>
    <w:p w14:paraId="457784F6">
      <w:pPr>
        <w:pageBreakBefore w:val="0"/>
        <w:widowControl w:val="0"/>
        <w:kinsoku/>
        <w:wordWrap w:val="0"/>
        <w:overflowPunct/>
        <w:bidi w:val="0"/>
        <w:spacing w:line="276"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本单位对上述声明的真实性负责。如有虚假，将依法承担相应责任。</w:t>
      </w:r>
    </w:p>
    <w:p w14:paraId="2CF6DEC3">
      <w:pPr>
        <w:pageBreakBefore w:val="0"/>
        <w:widowControl w:val="0"/>
        <w:kinsoku/>
        <w:wordWrap w:val="0"/>
        <w:overflowPunct/>
        <w:bidi w:val="0"/>
        <w:spacing w:line="276" w:lineRule="auto"/>
        <w:rPr>
          <w:rFonts w:hint="eastAsia" w:ascii="宋体" w:hAnsi="宋体" w:eastAsia="宋体" w:cs="宋体"/>
          <w:bCs/>
          <w:color w:val="auto"/>
          <w:szCs w:val="21"/>
          <w:highlight w:val="none"/>
        </w:rPr>
      </w:pPr>
    </w:p>
    <w:p w14:paraId="3D30BDB4">
      <w:pPr>
        <w:pageBreakBefore w:val="0"/>
        <w:widowControl w:val="0"/>
        <w:kinsoku/>
        <w:wordWrap w:val="0"/>
        <w:overflowPunct/>
        <w:bidi w:val="0"/>
        <w:snapToGrid w:val="0"/>
        <w:spacing w:line="276" w:lineRule="auto"/>
        <w:ind w:left="840" w:hanging="840" w:hangingChars="4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说明：</w:t>
      </w:r>
      <w:r>
        <w:rPr>
          <w:rFonts w:hint="eastAsia" w:ascii="宋体" w:hAnsi="宋体" w:eastAsia="宋体" w:cs="宋体"/>
          <w:color w:val="auto"/>
          <w:szCs w:val="21"/>
          <w:highlight w:val="none"/>
        </w:rPr>
        <w:t>1、组成联合体的大中型企业和其他自然人、法人或者其他组织，与残疾人福利性单位之间不得存在投资关系。</w:t>
      </w:r>
    </w:p>
    <w:p w14:paraId="5BA77601">
      <w:pPr>
        <w:pageBreakBefore w:val="0"/>
        <w:widowControl w:val="0"/>
        <w:kinsoku/>
        <w:wordWrap w:val="0"/>
        <w:overflowPunct/>
        <w:bidi w:val="0"/>
        <w:snapToGrid w:val="0"/>
        <w:spacing w:line="276" w:lineRule="auto"/>
        <w:ind w:left="1033" w:leftChars="342" w:hanging="315" w:hanging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2、如以联合体方式参与本项目投标，则应由联合体各方盖章。</w:t>
      </w:r>
    </w:p>
    <w:p w14:paraId="0CDD152F">
      <w:pPr>
        <w:pageBreakBefore w:val="0"/>
        <w:widowControl w:val="0"/>
        <w:kinsoku/>
        <w:wordWrap w:val="0"/>
        <w:overflowPunct/>
        <w:bidi w:val="0"/>
        <w:snapToGrid w:val="0"/>
        <w:rPr>
          <w:rFonts w:hint="eastAsia" w:ascii="宋体" w:hAnsi="宋体" w:eastAsia="宋体" w:cs="宋体"/>
          <w:color w:val="auto"/>
          <w:szCs w:val="21"/>
          <w:highlight w:val="none"/>
        </w:rPr>
      </w:pPr>
    </w:p>
    <w:p w14:paraId="45EDB586">
      <w:pPr>
        <w:pageBreakBefore w:val="0"/>
        <w:widowControl w:val="0"/>
        <w:kinsoku/>
        <w:wordWrap w:val="0"/>
        <w:overflowPunct/>
        <w:bidi w:val="0"/>
        <w:snapToGrid w:val="0"/>
        <w:spacing w:before="100" w:beforeAutospacing="1" w:after="100" w:afterAutospacing="1"/>
        <w:ind w:firstLine="2902" w:firstLineChars="1382"/>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投标人名称（公章）：</w:t>
      </w:r>
    </w:p>
    <w:p w14:paraId="31EEBA7E">
      <w:pPr>
        <w:pageBreakBefore w:val="0"/>
        <w:widowControl w:val="0"/>
        <w:kinsoku/>
        <w:wordWrap w:val="0"/>
        <w:overflowPunct/>
        <w:bidi w:val="0"/>
        <w:snapToGrid w:val="0"/>
        <w:spacing w:before="100" w:beforeAutospacing="1" w:after="100" w:afterAutospacing="1"/>
        <w:ind w:firstLine="2902" w:firstLineChars="1382"/>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06480F6C">
      <w:pPr>
        <w:pageBreakBefore w:val="0"/>
        <w:widowControl w:val="0"/>
        <w:kinsoku/>
        <w:wordWrap w:val="0"/>
        <w:overflowPunct/>
        <w:bidi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享受政府采购支持政策的残疾人福利性单位应当同时满足以下条件：</w:t>
      </w:r>
    </w:p>
    <w:p w14:paraId="63F1FB75">
      <w:pPr>
        <w:pageBreakBefore w:val="0"/>
        <w:widowControl w:val="0"/>
        <w:kinsoku/>
        <w:wordWrap w:val="0"/>
        <w:overflowPunct/>
        <w:bidi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（一）安置的残疾人占本单位在职职工人数的比例不低于25%（含25%），并且安置的残疾人人数不少于10人（含10人）；</w:t>
      </w:r>
    </w:p>
    <w:p w14:paraId="54ED1B9C">
      <w:pPr>
        <w:pageBreakBefore w:val="0"/>
        <w:widowControl w:val="0"/>
        <w:kinsoku/>
        <w:wordWrap w:val="0"/>
        <w:overflowPunct/>
        <w:bidi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（二）依法与安置的每位残疾人签订了一年以上（含一年）的劳动合同或服务协议；</w:t>
      </w:r>
    </w:p>
    <w:p w14:paraId="520A1CC3">
      <w:pPr>
        <w:pageBreakBefore w:val="0"/>
        <w:widowControl w:val="0"/>
        <w:kinsoku/>
        <w:wordWrap w:val="0"/>
        <w:overflowPunct/>
        <w:bidi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（三）为安置的每位残疾人按月足额缴纳了基本养老保险、基本医疗保险、失业保险、工伤保险和生育保险等社会保险费；</w:t>
      </w:r>
    </w:p>
    <w:p w14:paraId="3E49EB98">
      <w:pPr>
        <w:pageBreakBefore w:val="0"/>
        <w:widowControl w:val="0"/>
        <w:kinsoku/>
        <w:wordWrap w:val="0"/>
        <w:overflowPunct/>
        <w:bidi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（四）通过银行等金融机构向安置的每位残疾人，按月支付了不低于单位所在区县适用的经省级人民政府批准的月最低工资标准的工资；</w:t>
      </w:r>
    </w:p>
    <w:p w14:paraId="760C5FB1">
      <w:pPr>
        <w:pageBreakBefore w:val="0"/>
        <w:widowControl w:val="0"/>
        <w:kinsoku/>
        <w:wordWrap w:val="0"/>
        <w:overflowPunct/>
        <w:bidi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（五）提供本单位制造的货物、承担的工程或者服务（以下简称产品），或者提供其他残疾人福利性单位制造的货物（不包括使用非残疾人福利性单位注册商标的货物）。</w:t>
      </w:r>
    </w:p>
    <w:p w14:paraId="4BE3EF72">
      <w:pPr>
        <w:pageBreakBefore w:val="0"/>
        <w:widowControl w:val="0"/>
        <w:kinsoku/>
        <w:wordWrap w:val="0"/>
        <w:overflowPunct/>
        <w:bidi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0D09ABB">
      <w:pPr>
        <w:pStyle w:val="24"/>
        <w:pageBreakBefore w:val="0"/>
        <w:widowControl w:val="0"/>
        <w:kinsoku/>
        <w:wordWrap w:val="0"/>
        <w:overflowPunct/>
        <w:bidi w:val="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5B6D096">
      <w:pPr>
        <w:pageBreakBefore w:val="0"/>
        <w:widowControl w:val="0"/>
        <w:kinsoku/>
        <w:wordWrap w:val="0"/>
        <w:overflowPunct/>
        <w:bidi w:val="0"/>
        <w:spacing w:before="100" w:beforeAutospacing="1" w:after="100" w:afterAutospacing="1" w:line="276" w:lineRule="auto"/>
        <w:outlineLvl w:val="4"/>
        <w:rPr>
          <w:rFonts w:hint="eastAsia" w:ascii="宋体" w:hAnsi="宋体" w:eastAsia="宋体" w:cs="宋体"/>
          <w:color w:val="auto"/>
          <w:szCs w:val="21"/>
          <w:highlight w:val="none"/>
        </w:rPr>
      </w:pPr>
      <w:bookmarkStart w:id="128" w:name="_Toc494665962"/>
      <w:bookmarkStart w:id="129" w:name="_Toc494665565"/>
      <w:bookmarkStart w:id="130" w:name="_Toc494745329"/>
      <w:bookmarkStart w:id="131" w:name="_Toc494702282"/>
      <w:bookmarkStart w:id="132" w:name="_Toc494721112"/>
      <w:bookmarkStart w:id="133" w:name="_Toc494665012"/>
      <w:r>
        <w:rPr>
          <w:rFonts w:hint="eastAsia" w:ascii="宋体" w:hAnsi="宋体" w:eastAsia="宋体" w:cs="宋体"/>
          <w:color w:val="auto"/>
          <w:szCs w:val="21"/>
          <w:highlight w:val="none"/>
        </w:rPr>
        <w:t>附件五：部分资格材料格式要求（非此类企业则无需提供）</w:t>
      </w:r>
    </w:p>
    <w:p w14:paraId="28E19DD5">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3F813565">
      <w:pPr>
        <w:pageBreakBefore w:val="0"/>
        <w:widowControl w:val="0"/>
        <w:kinsoku/>
        <w:wordWrap w:val="0"/>
        <w:overflowPunct/>
        <w:bidi w:val="0"/>
        <w:spacing w:line="276"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1.省级以上监狱管理局、戒毒管理局（含新疆生产建设兵团）出具的属于监狱企业的证明文件</w:t>
      </w:r>
    </w:p>
    <w:p w14:paraId="4B5869FD">
      <w:pPr>
        <w:pageBreakBefore w:val="0"/>
        <w:widowControl w:val="0"/>
        <w:kinsoku/>
        <w:wordWrap w:val="0"/>
        <w:overflowPunct/>
        <w:bidi w:val="0"/>
        <w:spacing w:line="276"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2.纳入创新产品应用示范推荐目录内的企业出具相关证明文件</w:t>
      </w:r>
    </w:p>
    <w:p w14:paraId="762A54B4">
      <w:pPr>
        <w:pageBreakBefore w:val="0"/>
        <w:widowControl w:val="0"/>
        <w:kinsoku/>
        <w:wordWrap w:val="0"/>
        <w:overflowPunct/>
        <w:bidi w:val="0"/>
        <w:snapToGrid w:val="0"/>
        <w:spacing w:before="100" w:beforeAutospacing="1" w:line="360" w:lineRule="auto"/>
        <w:outlineLvl w:val="4"/>
        <w:rPr>
          <w:rFonts w:hint="eastAsia" w:ascii="宋体" w:hAnsi="宋体" w:eastAsia="宋体" w:cs="宋体"/>
          <w:color w:val="auto"/>
          <w:highlight w:val="none"/>
        </w:rPr>
      </w:pPr>
      <w:r>
        <w:rPr>
          <w:rFonts w:hint="eastAsia" w:ascii="宋体" w:hAnsi="宋体" w:eastAsia="宋体" w:cs="宋体"/>
          <w:b/>
          <w:color w:val="auto"/>
          <w:kern w:val="0"/>
          <w:szCs w:val="21"/>
          <w:highlight w:val="none"/>
        </w:rPr>
        <w:br w:type="page"/>
      </w:r>
      <w:r>
        <w:rPr>
          <w:rFonts w:hint="eastAsia" w:ascii="宋体" w:hAnsi="宋体" w:eastAsia="宋体" w:cs="宋体"/>
          <w:color w:val="auto"/>
          <w:szCs w:val="21"/>
          <w:highlight w:val="none"/>
        </w:rPr>
        <w:t>附件六：部分资格材料格式要求——</w:t>
      </w:r>
      <w:r>
        <w:rPr>
          <w:rFonts w:hint="eastAsia" w:ascii="宋体" w:hAnsi="宋体" w:eastAsia="宋体" w:cs="宋体"/>
          <w:color w:val="auto"/>
          <w:highlight w:val="none"/>
        </w:rPr>
        <w:t>投标人关联企业情况</w:t>
      </w:r>
    </w:p>
    <w:p w14:paraId="7568ECF4">
      <w:pPr>
        <w:pageBreakBefore w:val="0"/>
        <w:widowControl w:val="0"/>
        <w:kinsoku/>
        <w:wordWrap w:val="0"/>
        <w:overflowPunct/>
        <w:bidi w:val="0"/>
        <w:snapToGrid w:val="0"/>
        <w:spacing w:before="100" w:beforeAutospacing="1"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投标人关联企业情况</w:t>
      </w:r>
    </w:p>
    <w:p w14:paraId="4BA320E2">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1.与我公司单位负责人为同一人的其他单位名称：</w:t>
      </w:r>
    </w:p>
    <w:p w14:paraId="47DA8ED7">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口无</w:t>
      </w:r>
      <w:r>
        <w:rPr>
          <w:rFonts w:hint="eastAsia" w:ascii="宋体" w:hAnsi="宋体" w:cs="宋体"/>
          <w:color w:val="auto"/>
          <w:highlight w:val="none"/>
          <w:lang w:eastAsia="zh-CN"/>
        </w:rPr>
        <w:t>；</w:t>
      </w:r>
    </w:p>
    <w:p w14:paraId="7E27E902">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口有</w:t>
      </w:r>
      <w:r>
        <w:rPr>
          <w:rFonts w:hint="eastAsia" w:ascii="宋体" w:hAnsi="宋体" w:cs="宋体"/>
          <w:color w:val="auto"/>
          <w:highlight w:val="none"/>
          <w:lang w:eastAsia="zh-CN"/>
        </w:rPr>
        <w:t>：</w:t>
      </w:r>
    </w:p>
    <w:p w14:paraId="2AFF0439">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u w:val="single"/>
          <w:lang w:eastAsia="zh-CN"/>
        </w:rPr>
      </w:pPr>
    </w:p>
    <w:p w14:paraId="4071DA00">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2.与我公司存在控股、管理关系的其他单位的名称：</w:t>
      </w:r>
    </w:p>
    <w:p w14:paraId="5E221A5B">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口无；</w:t>
      </w:r>
    </w:p>
    <w:p w14:paraId="75B61BAE">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口有</w:t>
      </w:r>
      <w:r>
        <w:rPr>
          <w:rFonts w:hint="eastAsia" w:ascii="宋体" w:hAnsi="宋体" w:cs="宋体"/>
          <w:color w:val="auto"/>
          <w:highlight w:val="none"/>
          <w:lang w:eastAsia="zh-CN"/>
        </w:rPr>
        <w:t>：</w:t>
      </w:r>
    </w:p>
    <w:p w14:paraId="483100D8">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u w:val="single"/>
          <w:lang w:eastAsia="zh-CN"/>
        </w:rPr>
      </w:pPr>
    </w:p>
    <w:p w14:paraId="4DCBBD3C">
      <w:pPr>
        <w:pageBreakBefore w:val="0"/>
        <w:widowControl w:val="0"/>
        <w:kinsoku/>
        <w:wordWrap w:val="0"/>
        <w:overflowPunct/>
        <w:bidi w:val="0"/>
        <w:spacing w:line="360" w:lineRule="auto"/>
        <w:ind w:firstLine="420" w:firstLineChars="200"/>
        <w:rPr>
          <w:rFonts w:hint="eastAsia" w:ascii="宋体" w:hAnsi="宋体" w:eastAsia="宋体" w:cs="宋体"/>
          <w:color w:val="auto"/>
          <w:highlight w:val="none"/>
        </w:rPr>
      </w:pPr>
    </w:p>
    <w:p w14:paraId="027F4961">
      <w:pPr>
        <w:pageBreakBefore w:val="0"/>
        <w:widowControl w:val="0"/>
        <w:kinsoku/>
        <w:wordWrap w:val="0"/>
        <w:overflowPunct/>
        <w:bidi w:val="0"/>
        <w:ind w:firstLine="420" w:firstLineChars="200"/>
        <w:rPr>
          <w:rFonts w:hint="eastAsia" w:ascii="宋体" w:hAnsi="宋体" w:eastAsia="宋体" w:cs="宋体"/>
          <w:color w:val="auto"/>
          <w:highlight w:val="none"/>
        </w:rPr>
      </w:pPr>
    </w:p>
    <w:p w14:paraId="765BF6A8">
      <w:pPr>
        <w:pageBreakBefore w:val="0"/>
        <w:widowControl w:val="0"/>
        <w:kinsoku/>
        <w:wordWrap w:val="0"/>
        <w:overflowPunct/>
        <w:bidi w:val="0"/>
        <w:snapToGrid w:val="0"/>
        <w:spacing w:before="100" w:beforeAutospacing="1" w:after="100" w:afterAutospacing="1"/>
        <w:ind w:firstLine="2902" w:firstLineChars="1382"/>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投标人名称（公章）：</w:t>
      </w:r>
    </w:p>
    <w:p w14:paraId="461165B4">
      <w:pPr>
        <w:pageBreakBefore w:val="0"/>
        <w:widowControl w:val="0"/>
        <w:kinsoku/>
        <w:wordWrap w:val="0"/>
        <w:overflowPunct/>
        <w:bidi w:val="0"/>
        <w:snapToGrid w:val="0"/>
        <w:spacing w:before="100" w:beforeAutospacing="1" w:after="100" w:afterAutospacing="1"/>
        <w:ind w:firstLine="2902" w:firstLineChars="1382"/>
        <w:rPr>
          <w:rFonts w:hint="eastAsia" w:ascii="宋体" w:hAnsi="宋体" w:eastAsia="宋体" w:cs="宋体"/>
          <w:color w:val="auto"/>
          <w:highlight w:val="none"/>
        </w:rPr>
      </w:pPr>
      <w:r>
        <w:rPr>
          <w:rFonts w:hint="eastAsia" w:ascii="宋体" w:hAnsi="宋体" w:eastAsia="宋体" w:cs="宋体"/>
          <w:color w:val="auto"/>
          <w:szCs w:val="21"/>
          <w:highlight w:val="none"/>
        </w:rPr>
        <w:t>日期：年月日</w:t>
      </w:r>
    </w:p>
    <w:p w14:paraId="4CCABD1C">
      <w:pPr>
        <w:pageBreakBefore w:val="0"/>
        <w:widowControl w:val="0"/>
        <w:kinsoku/>
        <w:wordWrap w:val="0"/>
        <w:overflowPunct/>
        <w:bidi w:val="0"/>
        <w:ind w:firstLine="420" w:firstLineChars="200"/>
        <w:rPr>
          <w:rFonts w:hint="eastAsia" w:ascii="宋体" w:hAnsi="宋体" w:eastAsia="宋体" w:cs="宋体"/>
          <w:color w:val="auto"/>
          <w:highlight w:val="none"/>
        </w:rPr>
      </w:pPr>
    </w:p>
    <w:p w14:paraId="1C7CF4AC">
      <w:pPr>
        <w:pageBreakBefore w:val="0"/>
        <w:widowControl w:val="0"/>
        <w:kinsoku/>
        <w:wordWrap w:val="0"/>
        <w:overflowPunct/>
        <w:bidi w:val="0"/>
        <w:ind w:firstLine="420" w:firstLineChars="200"/>
        <w:rPr>
          <w:rFonts w:hint="eastAsia" w:ascii="宋体" w:hAnsi="宋体" w:eastAsia="宋体" w:cs="宋体"/>
          <w:color w:val="auto"/>
          <w:highlight w:val="none"/>
        </w:rPr>
      </w:pPr>
    </w:p>
    <w:p w14:paraId="1AA685B0">
      <w:pPr>
        <w:pageBreakBefore w:val="0"/>
        <w:widowControl w:val="0"/>
        <w:kinsoku/>
        <w:wordWrap w:val="0"/>
        <w:overflowPunct/>
        <w:bidi w:val="0"/>
        <w:rPr>
          <w:rFonts w:hint="eastAsia" w:ascii="宋体" w:hAnsi="宋体" w:eastAsia="宋体" w:cs="宋体"/>
          <w:color w:val="auto"/>
          <w:highlight w:val="none"/>
          <w:lang w:eastAsia="zh-CN"/>
        </w:rPr>
      </w:pPr>
      <w:r>
        <w:rPr>
          <w:rFonts w:hint="eastAsia" w:ascii="宋体" w:hAnsi="宋体" w:eastAsia="宋体" w:cs="宋体"/>
          <w:color w:val="auto"/>
          <w:highlight w:val="none"/>
        </w:rPr>
        <w:t>说明</w:t>
      </w:r>
      <w:r>
        <w:rPr>
          <w:rFonts w:hint="eastAsia" w:ascii="宋体" w:hAnsi="宋体" w:cs="宋体"/>
          <w:color w:val="auto"/>
          <w:highlight w:val="none"/>
          <w:lang w:eastAsia="zh-CN"/>
        </w:rPr>
        <w:t>：</w:t>
      </w:r>
    </w:p>
    <w:p w14:paraId="2684E5FC">
      <w:pPr>
        <w:pageBreakBefore w:val="0"/>
        <w:widowControl w:val="0"/>
        <w:kinsoku/>
        <w:wordWrap w:val="0"/>
        <w:overflowPunct/>
        <w:bidi w:val="0"/>
        <w:ind w:firstLine="140" w:firstLineChars="67"/>
        <w:rPr>
          <w:rFonts w:hint="eastAsia" w:ascii="宋体" w:hAnsi="宋体" w:eastAsia="宋体" w:cs="宋体"/>
          <w:color w:val="auto"/>
          <w:highlight w:val="none"/>
        </w:rPr>
      </w:pPr>
      <w:r>
        <w:rPr>
          <w:rFonts w:hint="eastAsia" w:ascii="宋体" w:hAnsi="宋体" w:eastAsia="宋体" w:cs="宋体"/>
          <w:color w:val="auto"/>
          <w:highlight w:val="none"/>
        </w:rPr>
        <w:t>1.单位负责人指单位法定代表人或者法律、行政法规规定代表单位行使职权的主要负责人；</w:t>
      </w:r>
    </w:p>
    <w:p w14:paraId="526EFCA6">
      <w:pPr>
        <w:pageBreakBefore w:val="0"/>
        <w:widowControl w:val="0"/>
        <w:kinsoku/>
        <w:wordWrap w:val="0"/>
        <w:overflowPunct/>
        <w:bidi w:val="0"/>
        <w:ind w:firstLine="140" w:firstLineChars="67"/>
        <w:rPr>
          <w:rFonts w:hint="eastAsia" w:ascii="宋体" w:hAnsi="宋体" w:eastAsia="宋体" w:cs="宋体"/>
          <w:color w:val="auto"/>
          <w:highlight w:val="none"/>
        </w:rPr>
      </w:pPr>
      <w:r>
        <w:rPr>
          <w:rFonts w:hint="eastAsia" w:ascii="宋体" w:hAnsi="宋体" w:eastAsia="宋体" w:cs="宋体"/>
          <w:color w:val="auto"/>
          <w:highlight w:val="none"/>
        </w:rPr>
        <w:t>2.控股、管理关系仅限于直接控股、直接管理关系，不包括间接的控股或管理关系。</w:t>
      </w:r>
    </w:p>
    <w:p w14:paraId="33926D77">
      <w:pPr>
        <w:pageBreakBefore w:val="0"/>
        <w:widowControl w:val="0"/>
        <w:kinsoku/>
        <w:wordWrap w:val="0"/>
        <w:overflowPunct/>
        <w:bidi w:val="0"/>
        <w:spacing w:before="100" w:beforeAutospacing="1" w:after="100" w:afterAutospacing="1" w:line="276" w:lineRule="auto"/>
        <w:rPr>
          <w:rFonts w:hint="eastAsia" w:ascii="宋体" w:hAnsi="宋体" w:eastAsia="宋体" w:cs="宋体"/>
          <w:color w:val="auto"/>
          <w:szCs w:val="21"/>
          <w:highlight w:val="none"/>
        </w:rPr>
      </w:pPr>
    </w:p>
    <w:p w14:paraId="14154BAB">
      <w:pPr>
        <w:pageBreakBefore w:val="0"/>
        <w:widowControl w:val="0"/>
        <w:kinsoku/>
        <w:wordWrap w:val="0"/>
        <w:overflowPunct/>
        <w:bidi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584E6024">
      <w:pPr>
        <w:pageBreakBefore w:val="0"/>
        <w:widowControl w:val="0"/>
        <w:kinsoku/>
        <w:wordWrap w:val="0"/>
        <w:overflowPunct/>
        <w:bidi w:val="0"/>
        <w:snapToGrid w:val="0"/>
        <w:spacing w:before="100" w:beforeAutospacing="1" w:line="360" w:lineRule="auto"/>
        <w:outlineLvl w:val="4"/>
        <w:rPr>
          <w:rFonts w:hint="eastAsia" w:ascii="宋体" w:hAnsi="宋体" w:eastAsia="宋体" w:cs="宋体"/>
          <w:color w:val="auto"/>
          <w:szCs w:val="21"/>
          <w:highlight w:val="none"/>
        </w:rPr>
      </w:pPr>
      <w:bookmarkStart w:id="134" w:name="_Toc494577412"/>
      <w:bookmarkStart w:id="135" w:name="_Toc494665957"/>
      <w:bookmarkStart w:id="136" w:name="_Toc494745324"/>
      <w:bookmarkStart w:id="137" w:name="_Toc494665560"/>
      <w:bookmarkStart w:id="138" w:name="_Toc494702277"/>
      <w:bookmarkStart w:id="139" w:name="_Toc494665007"/>
      <w:bookmarkStart w:id="140" w:name="_Toc494721107"/>
      <w:r>
        <w:rPr>
          <w:rFonts w:hint="eastAsia" w:ascii="宋体" w:hAnsi="宋体" w:eastAsia="宋体" w:cs="宋体"/>
          <w:color w:val="auto"/>
          <w:szCs w:val="21"/>
          <w:highlight w:val="none"/>
        </w:rPr>
        <w:t>附件七：小型和微型企业、监狱企业、残疾人福利性单位货物汇总表</w:t>
      </w:r>
      <w:bookmarkEnd w:id="134"/>
      <w:bookmarkEnd w:id="135"/>
      <w:bookmarkEnd w:id="136"/>
      <w:bookmarkEnd w:id="137"/>
      <w:bookmarkEnd w:id="138"/>
      <w:bookmarkEnd w:id="139"/>
      <w:bookmarkEnd w:id="140"/>
    </w:p>
    <w:p w14:paraId="77A39944">
      <w:pPr>
        <w:pageBreakBefore w:val="0"/>
        <w:widowControl w:val="0"/>
        <w:kinsoku/>
        <w:wordWrap w:val="0"/>
        <w:overflowPunct/>
        <w:bidi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小型和微型企业、监狱企业、残疾人福利性单位货物汇总表</w:t>
      </w:r>
    </w:p>
    <w:p w14:paraId="30C6BD09">
      <w:pPr>
        <w:pageBreakBefore w:val="0"/>
        <w:widowControl w:val="0"/>
        <w:kinsoku/>
        <w:wordWrap w:val="0"/>
        <w:overflowPunct/>
        <w:bidi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（非此类企业不填写此表）</w:t>
      </w:r>
    </w:p>
    <w:p w14:paraId="36277B5F">
      <w:pPr>
        <w:pageBreakBefore w:val="0"/>
        <w:widowControl w:val="0"/>
        <w:kinsoku/>
        <w:wordWrap w:val="0"/>
        <w:overflowPunct/>
        <w:bidi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1350A38E">
      <w:pPr>
        <w:pageBreakBefore w:val="0"/>
        <w:widowControl w:val="0"/>
        <w:kinsoku/>
        <w:wordWrap w:val="0"/>
        <w:overflowPunct/>
        <w:bidi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lang w:val="zh-CN"/>
        </w:rPr>
        <w:t>：</w:t>
      </w:r>
      <w:r>
        <w:rPr>
          <w:rFonts w:hint="eastAsia" w:ascii="宋体" w:hAnsi="宋体" w:eastAsia="宋体" w:cs="宋体"/>
          <w:bCs/>
          <w:color w:val="auto"/>
          <w:szCs w:val="21"/>
          <w:highlight w:val="none"/>
          <w:lang w:val="zh-CN"/>
        </w:rPr>
        <w:t>项目名称</w:t>
      </w:r>
      <w:r>
        <w:rPr>
          <w:rFonts w:hint="eastAsia" w:ascii="宋体" w:hAnsi="宋体" w:cs="宋体"/>
          <w:bCs/>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09D81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07189BD2">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4E36222F">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26E7394E">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30786AB2">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39768846">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45DA7246">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7F8AA300">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分项</w:t>
            </w:r>
          </w:p>
          <w:p w14:paraId="3006DC4D">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03182379">
            <w:pPr>
              <w:keepNext w:val="0"/>
              <w:keepLines w:val="0"/>
              <w:pageBreakBefore w:val="0"/>
              <w:widowControl w:val="0"/>
              <w:suppressLineNumbers w:val="0"/>
              <w:kinsoku/>
              <w:wordWrap w:val="0"/>
              <w:overflowPunct/>
              <w:bidi w:val="0"/>
              <w:adjustRightInd w:val="0"/>
              <w:snapToGrid w:val="0"/>
              <w:spacing w:before="0" w:beforeAutospacing="0" w:after="0" w:afterAutospacing="0" w:line="360" w:lineRule="auto"/>
              <w:ind w:left="-88" w:leftChars="-42"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对应页码</w:t>
            </w:r>
          </w:p>
        </w:tc>
      </w:tr>
      <w:tr w14:paraId="17EC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CBAF116">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552" w:type="dxa"/>
            <w:tcBorders>
              <w:top w:val="single" w:color="auto" w:sz="4" w:space="0"/>
              <w:left w:val="single" w:color="auto" w:sz="4" w:space="0"/>
              <w:bottom w:val="single" w:color="auto" w:sz="4" w:space="0"/>
              <w:right w:val="single" w:color="auto" w:sz="4" w:space="0"/>
            </w:tcBorders>
          </w:tcPr>
          <w:p w14:paraId="7C6AA1BE">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1A8920E4">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6CFF972">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11F1BDC">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13D60A64">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F4239D6">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06F92725">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2946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3B6AB676">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552" w:type="dxa"/>
            <w:tcBorders>
              <w:top w:val="single" w:color="auto" w:sz="4" w:space="0"/>
              <w:left w:val="single" w:color="auto" w:sz="4" w:space="0"/>
              <w:bottom w:val="single" w:color="auto" w:sz="4" w:space="0"/>
              <w:right w:val="single" w:color="auto" w:sz="4" w:space="0"/>
            </w:tcBorders>
          </w:tcPr>
          <w:p w14:paraId="32A921DD">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34C184B6">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43833A">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9CEBB9A">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31403D12">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F692559">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5A0C660C">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098F0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23A6DC5">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552" w:type="dxa"/>
            <w:tcBorders>
              <w:top w:val="single" w:color="auto" w:sz="4" w:space="0"/>
              <w:left w:val="single" w:color="auto" w:sz="4" w:space="0"/>
              <w:bottom w:val="single" w:color="auto" w:sz="4" w:space="0"/>
              <w:right w:val="single" w:color="auto" w:sz="4" w:space="0"/>
            </w:tcBorders>
          </w:tcPr>
          <w:p w14:paraId="11D35BDC">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50E3ED99">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0FC22DC">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EF9F18A">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4BE5692">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EC03137">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45C8EBCD">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4A96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37EAEDB7">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552" w:type="dxa"/>
            <w:tcBorders>
              <w:top w:val="single" w:color="auto" w:sz="4" w:space="0"/>
              <w:left w:val="single" w:color="auto" w:sz="4" w:space="0"/>
              <w:bottom w:val="single" w:color="auto" w:sz="4" w:space="0"/>
              <w:right w:val="single" w:color="auto" w:sz="4" w:space="0"/>
            </w:tcBorders>
          </w:tcPr>
          <w:p w14:paraId="3F1E047E">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1EB9202F">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6FC482">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D2AB2E9">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3CE5B018">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F3C272D">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20CC3040">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CA8D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379FB1D8">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552" w:type="dxa"/>
            <w:tcBorders>
              <w:top w:val="single" w:color="auto" w:sz="4" w:space="0"/>
              <w:left w:val="single" w:color="auto" w:sz="4" w:space="0"/>
              <w:bottom w:val="single" w:color="auto" w:sz="4" w:space="0"/>
              <w:right w:val="single" w:color="auto" w:sz="4" w:space="0"/>
            </w:tcBorders>
          </w:tcPr>
          <w:p w14:paraId="6ED902DF">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3F917716">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E6EB60E">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A752F93">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42CA658">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C43538">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5DF3F2E2">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55B7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320BEDF">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552" w:type="dxa"/>
            <w:tcBorders>
              <w:top w:val="single" w:color="auto" w:sz="4" w:space="0"/>
              <w:left w:val="single" w:color="auto" w:sz="4" w:space="0"/>
              <w:bottom w:val="single" w:color="auto" w:sz="4" w:space="0"/>
              <w:right w:val="single" w:color="auto" w:sz="4" w:space="0"/>
            </w:tcBorders>
          </w:tcPr>
          <w:p w14:paraId="103DCE05">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3E0BBDA9">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7AAE3C74">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B62C506">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4D341C03">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C76FD56">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3C6808C2">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5D0F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EE5B7E0">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552" w:type="dxa"/>
            <w:tcBorders>
              <w:top w:val="single" w:color="auto" w:sz="4" w:space="0"/>
              <w:left w:val="single" w:color="auto" w:sz="4" w:space="0"/>
              <w:bottom w:val="single" w:color="auto" w:sz="4" w:space="0"/>
              <w:right w:val="single" w:color="auto" w:sz="4" w:space="0"/>
            </w:tcBorders>
          </w:tcPr>
          <w:p w14:paraId="7BCE974A">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0D2215F7">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DAFAD93">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7CB7028">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7302F163">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F8CA0A2">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612E0B0B">
            <w:pPr>
              <w:keepNext w:val="0"/>
              <w:keepLines w:val="0"/>
              <w:pageBreakBefore w:val="0"/>
              <w:widowControl w:val="0"/>
              <w:suppressLineNumbers w:val="0"/>
              <w:tabs>
                <w:tab w:val="left" w:pos="0"/>
                <w:tab w:val="left" w:pos="56"/>
              </w:tabs>
              <w:kinsoku/>
              <w:wordWrap w:val="0"/>
              <w:overflowPunct/>
              <w:bidi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867D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009AFE3B">
            <w:pPr>
              <w:keepNext w:val="0"/>
              <w:keepLines w:val="0"/>
              <w:pageBreakBefore w:val="0"/>
              <w:widowControl w:val="0"/>
              <w:suppressLineNumbers w:val="0"/>
              <w:kinsoku/>
              <w:wordWrap w:val="0"/>
              <w:overflowPunct/>
              <w:bidi w:val="0"/>
              <w:spacing w:before="0" w:beforeAutospacing="0" w:after="0" w:afterAutospacing="0" w:line="360" w:lineRule="auto"/>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74596007">
            <w:pPr>
              <w:keepNext w:val="0"/>
              <w:keepLines w:val="0"/>
              <w:pageBreakBefore w:val="0"/>
              <w:widowControl w:val="0"/>
              <w:suppressLineNumbers w:val="0"/>
              <w:kinsoku/>
              <w:wordWrap w:val="0"/>
              <w:overflowPunct/>
              <w:bidi w:val="0"/>
              <w:spacing w:before="0" w:beforeAutospacing="0" w:after="0" w:afterAutospacing="0" w:line="360" w:lineRule="auto"/>
              <w:ind w:left="0" w:right="0"/>
              <w:rPr>
                <w:rFonts w:hint="eastAsia" w:ascii="宋体" w:hAnsi="宋体" w:eastAsia="宋体" w:cs="宋体"/>
                <w:bCs/>
                <w:color w:val="auto"/>
                <w:szCs w:val="21"/>
                <w:highlight w:val="none"/>
              </w:rPr>
            </w:pPr>
          </w:p>
        </w:tc>
      </w:tr>
    </w:tbl>
    <w:p w14:paraId="0D98DD32">
      <w:pPr>
        <w:pageBreakBefore w:val="0"/>
        <w:widowControl w:val="0"/>
        <w:kinsoku/>
        <w:wordWrap w:val="0"/>
        <w:overflowPunct/>
        <w:bidi w:val="0"/>
        <w:spacing w:line="360" w:lineRule="auto"/>
        <w:ind w:left="918" w:hanging="917" w:hangingChars="437"/>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说明：1．所有价格均用人民币表示，单位为元。</w:t>
      </w:r>
    </w:p>
    <w:p w14:paraId="7DEE65F8">
      <w:pPr>
        <w:pageBreakBefore w:val="0"/>
        <w:widowControl w:val="0"/>
        <w:kinsoku/>
        <w:wordWrap w:val="0"/>
        <w:overflowPunct/>
        <w:bidi w:val="0"/>
        <w:spacing w:line="360" w:lineRule="auto"/>
        <w:ind w:left="1017" w:leftChars="339" w:hanging="306" w:hangingChars="146"/>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2．投标人提供的相关证明文件对应页码填写到上表“对应页码”中。</w:t>
      </w:r>
    </w:p>
    <w:p w14:paraId="4E982234">
      <w:pPr>
        <w:pageBreakBefore w:val="0"/>
        <w:widowControl w:val="0"/>
        <w:kinsoku/>
        <w:wordWrap w:val="0"/>
        <w:overflowPunct/>
        <w:bidi w:val="0"/>
        <w:adjustRightInd w:val="0"/>
        <w:snapToGrid w:val="0"/>
        <w:spacing w:line="360" w:lineRule="auto"/>
        <w:ind w:left="722" w:leftChars="194" w:hanging="315" w:hangingChars="150"/>
        <w:rPr>
          <w:rFonts w:hint="eastAsia" w:ascii="宋体" w:hAnsi="宋体" w:eastAsia="宋体" w:cs="宋体"/>
          <w:color w:val="auto"/>
          <w:szCs w:val="21"/>
          <w:highlight w:val="none"/>
        </w:rPr>
      </w:pPr>
    </w:p>
    <w:p w14:paraId="7A5EDBDE">
      <w:pPr>
        <w:pageBreakBefore w:val="0"/>
        <w:widowControl w:val="0"/>
        <w:kinsoku/>
        <w:wordWrap w:val="0"/>
        <w:overflowPunct/>
        <w:bidi w:val="0"/>
        <w:adjustRightInd w:val="0"/>
        <w:snapToGrid w:val="0"/>
        <w:spacing w:line="360" w:lineRule="auto"/>
        <w:ind w:left="722" w:leftChars="194" w:hanging="315" w:hangingChars="150"/>
        <w:rPr>
          <w:rFonts w:hint="eastAsia" w:ascii="宋体" w:hAnsi="宋体" w:eastAsia="宋体" w:cs="宋体"/>
          <w:color w:val="auto"/>
          <w:szCs w:val="21"/>
          <w:highlight w:val="none"/>
        </w:rPr>
      </w:pPr>
    </w:p>
    <w:p w14:paraId="2CCF3BF3">
      <w:pPr>
        <w:pageBreakBefore w:val="0"/>
        <w:widowControl w:val="0"/>
        <w:kinsoku/>
        <w:wordWrap w:val="0"/>
        <w:overflowPunct/>
        <w:bidi w:val="0"/>
        <w:adjustRightInd w:val="0"/>
        <w:snapToGrid w:val="0"/>
        <w:spacing w:line="360" w:lineRule="auto"/>
        <w:ind w:left="722" w:leftChars="194" w:hanging="315" w:hangingChars="150"/>
        <w:rPr>
          <w:rFonts w:hint="eastAsia" w:ascii="宋体" w:hAnsi="宋体" w:eastAsia="宋体" w:cs="宋体"/>
          <w:color w:val="auto"/>
          <w:szCs w:val="21"/>
          <w:highlight w:val="none"/>
        </w:rPr>
      </w:pPr>
    </w:p>
    <w:p w14:paraId="67E8B768">
      <w:pPr>
        <w:pageBreakBefore w:val="0"/>
        <w:widowControl w:val="0"/>
        <w:kinsoku/>
        <w:wordWrap w:val="0"/>
        <w:overflowPunct/>
        <w:bidi w:val="0"/>
        <w:adjustRightInd w:val="0"/>
        <w:snapToGrid w:val="0"/>
        <w:spacing w:line="360" w:lineRule="auto"/>
        <w:ind w:left="722" w:leftChars="194" w:hanging="315" w:hangingChars="150"/>
        <w:rPr>
          <w:rFonts w:hint="eastAsia" w:ascii="宋体" w:hAnsi="宋体" w:eastAsia="宋体" w:cs="宋体"/>
          <w:color w:val="auto"/>
          <w:szCs w:val="21"/>
          <w:highlight w:val="none"/>
        </w:rPr>
      </w:pPr>
    </w:p>
    <w:p w14:paraId="3684C42A">
      <w:pPr>
        <w:pageBreakBefore w:val="0"/>
        <w:widowControl w:val="0"/>
        <w:kinsoku/>
        <w:wordWrap w:val="0"/>
        <w:overflowPunct/>
        <w:bidi w:val="0"/>
        <w:adjustRightInd w:val="0"/>
        <w:snapToGrid w:val="0"/>
        <w:spacing w:line="360" w:lineRule="auto"/>
        <w:ind w:left="722" w:leftChars="194" w:hanging="315" w:hangingChars="150"/>
        <w:rPr>
          <w:rFonts w:hint="eastAsia" w:ascii="宋体" w:hAnsi="宋体" w:eastAsia="宋体" w:cs="宋体"/>
          <w:color w:val="auto"/>
          <w:szCs w:val="21"/>
          <w:highlight w:val="none"/>
        </w:rPr>
      </w:pPr>
    </w:p>
    <w:p w14:paraId="36ADBC64">
      <w:pPr>
        <w:pageBreakBefore w:val="0"/>
        <w:widowControl w:val="0"/>
        <w:kinsoku/>
        <w:wordWrap w:val="0"/>
        <w:overflowPunct/>
        <w:bidi w:val="0"/>
        <w:spacing w:line="360" w:lineRule="auto"/>
        <w:ind w:firstLine="3968" w:firstLineChars="189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投标人名称（公章）：</w:t>
      </w:r>
    </w:p>
    <w:p w14:paraId="128A7165">
      <w:pPr>
        <w:pageBreakBefore w:val="0"/>
        <w:widowControl w:val="0"/>
        <w:kinsoku/>
        <w:wordWrap w:val="0"/>
        <w:overflowPunct/>
        <w:bidi w:val="0"/>
        <w:spacing w:line="360" w:lineRule="auto"/>
        <w:ind w:firstLine="3968" w:firstLineChars="189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日期：年月日</w:t>
      </w:r>
      <w:r>
        <w:rPr>
          <w:rFonts w:hint="eastAsia" w:ascii="宋体" w:hAnsi="宋体" w:eastAsia="宋体" w:cs="宋体"/>
          <w:color w:val="auto"/>
          <w:szCs w:val="21"/>
          <w:highlight w:val="none"/>
        </w:rPr>
        <w:br w:type="page"/>
      </w:r>
    </w:p>
    <w:p w14:paraId="4AFD945B">
      <w:pPr>
        <w:pageBreakBefore w:val="0"/>
        <w:widowControl w:val="0"/>
        <w:kinsoku/>
        <w:wordWrap w:val="0"/>
        <w:overflowPunct/>
        <w:bidi w:val="0"/>
        <w:spacing w:before="100" w:beforeAutospacing="1" w:after="100" w:afterAutospacing="1" w:line="276" w:lineRule="auto"/>
        <w:outlineLvl w:val="4"/>
        <w:rPr>
          <w:rFonts w:hint="eastAsia" w:ascii="宋体" w:hAnsi="宋体" w:eastAsia="宋体" w:cs="宋体"/>
          <w:color w:val="auto"/>
          <w:szCs w:val="21"/>
          <w:highlight w:val="none"/>
        </w:rPr>
        <w:sectPr>
          <w:pgSz w:w="11906" w:h="16838"/>
          <w:pgMar w:top="1134" w:right="1191" w:bottom="1134" w:left="1191" w:header="851" w:footer="624" w:gutter="0"/>
          <w:pgNumType w:fmt="decimal"/>
          <w:cols w:space="720" w:num="1"/>
          <w:docGrid w:type="linesAndChars" w:linePitch="312" w:charSpace="0"/>
        </w:sectPr>
      </w:pPr>
    </w:p>
    <w:p w14:paraId="75659164">
      <w:pPr>
        <w:snapToGrid w:val="0"/>
        <w:spacing w:before="100" w:beforeAutospacing="1" w:line="360" w:lineRule="auto"/>
        <w:outlineLvl w:val="4"/>
        <w:rPr>
          <w:rFonts w:hint="eastAsia" w:ascii="宋体" w:hAnsi="宋体" w:eastAsia="宋体" w:cs="宋体"/>
          <w:b/>
          <w:bCs/>
          <w:i w:val="0"/>
          <w:iCs w:val="0"/>
          <w:caps w:val="0"/>
          <w:color w:val="auto"/>
          <w:spacing w:val="0"/>
          <w:sz w:val="22"/>
          <w:szCs w:val="22"/>
          <w:highlight w:val="none"/>
          <w:lang w:eastAsia="zh-CN"/>
        </w:rPr>
      </w:pPr>
      <w:r>
        <w:rPr>
          <w:rFonts w:hint="eastAsia" w:ascii="宋体" w:hAnsi="宋体" w:eastAsia="宋体" w:cs="宋体"/>
          <w:color w:val="auto"/>
          <w:szCs w:val="21"/>
          <w:highlight w:val="none"/>
          <w:lang w:val="en-US" w:eastAsia="zh-CN"/>
        </w:rPr>
        <w:t>附件八：</w:t>
      </w:r>
      <w:r>
        <w:rPr>
          <w:rFonts w:hint="eastAsia" w:ascii="宋体" w:hAnsi="宋体" w:eastAsia="宋体" w:cs="宋体"/>
          <w:color w:val="auto"/>
          <w:sz w:val="22"/>
          <w:szCs w:val="22"/>
          <w:highlight w:val="none"/>
          <w:lang w:val="en-US" w:eastAsia="zh-CN"/>
        </w:rPr>
        <w:t>关于符合本国产品标准的声明函或财政部会同有关部门规定的有关证明文件（如适用）</w:t>
      </w:r>
    </w:p>
    <w:p w14:paraId="15AD27E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64" w:beforeAutospacing="0" w:after="24" w:afterAutospacing="0"/>
        <w:ind w:left="0" w:right="0" w:firstLine="0"/>
        <w:jc w:val="center"/>
        <w:textAlignment w:val="auto"/>
        <w:rPr>
          <w:rFonts w:hint="eastAsia" w:ascii="宋体" w:hAnsi="宋体" w:eastAsia="宋体" w:cs="宋体"/>
          <w:i w:val="0"/>
          <w:iCs w:val="0"/>
          <w:caps w:val="0"/>
          <w:color w:val="auto"/>
          <w:spacing w:val="0"/>
          <w:sz w:val="22"/>
          <w:szCs w:val="22"/>
          <w:highlight w:val="none"/>
        </w:rPr>
      </w:pPr>
      <w:r>
        <w:rPr>
          <w:rStyle w:val="28"/>
          <w:rFonts w:hint="eastAsia" w:ascii="宋体" w:hAnsi="宋体" w:eastAsia="宋体" w:cs="宋体"/>
          <w:i w:val="0"/>
          <w:iCs w:val="0"/>
          <w:caps w:val="0"/>
          <w:color w:val="auto"/>
          <w:spacing w:val="0"/>
          <w:sz w:val="22"/>
          <w:szCs w:val="22"/>
          <w:highlight w:val="none"/>
          <w:shd w:val="clear" w:fill="FFFFFF"/>
        </w:rPr>
        <w:t>关于符合本国产品标准的声明函</w:t>
      </w:r>
    </w:p>
    <w:p w14:paraId="60F0BA0A">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shd w:val="clear" w:fill="FFFFFF"/>
        </w:rPr>
      </w:pPr>
    </w:p>
    <w:p w14:paraId="026CC3E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3066DE7B">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1.</w:t>
      </w:r>
      <w:r>
        <w:rPr>
          <w:rStyle w:val="30"/>
          <w:rFonts w:hint="eastAsia" w:ascii="宋体" w:hAnsi="宋体" w:eastAsia="宋体" w:cs="宋体"/>
          <w:i w:val="0"/>
          <w:iCs w:val="0"/>
          <w:caps w:val="0"/>
          <w:color w:val="auto"/>
          <w:spacing w:val="0"/>
          <w:sz w:val="22"/>
          <w:szCs w:val="22"/>
          <w:highlight w:val="none"/>
          <w:shd w:val="clear" w:fill="FFFFFF"/>
        </w:rPr>
        <w:t>（产品名称1）</w:t>
      </w:r>
      <w:r>
        <w:rPr>
          <w:rStyle w:val="30"/>
          <w:rFonts w:hint="eastAsia" w:ascii="宋体" w:hAnsi="宋体" w:eastAsia="宋体" w:cs="宋体"/>
          <w:i w:val="0"/>
          <w:iCs w:val="0"/>
          <w:caps w:val="0"/>
          <w:color w:val="auto"/>
          <w:spacing w:val="0"/>
          <w:sz w:val="22"/>
          <w:szCs w:val="22"/>
          <w:highlight w:val="none"/>
          <w:shd w:val="clear" w:fill="FFFFFF"/>
          <w:vertAlign w:val="superscript"/>
        </w:rPr>
        <w:t>1</w:t>
      </w:r>
      <w:r>
        <w:rPr>
          <w:rFonts w:hint="eastAsia" w:ascii="宋体" w:hAnsi="宋体" w:eastAsia="宋体" w:cs="宋体"/>
          <w:i w:val="0"/>
          <w:iCs w:val="0"/>
          <w:caps w:val="0"/>
          <w:color w:val="auto"/>
          <w:spacing w:val="0"/>
          <w:sz w:val="22"/>
          <w:szCs w:val="22"/>
          <w:highlight w:val="none"/>
          <w:shd w:val="clear" w:fill="FFFFFF"/>
        </w:rPr>
        <w:t>，生产厂为</w:t>
      </w:r>
      <w:r>
        <w:rPr>
          <w:rStyle w:val="30"/>
          <w:rFonts w:hint="eastAsia" w:ascii="宋体" w:hAnsi="宋体" w:eastAsia="宋体" w:cs="宋体"/>
          <w:i w:val="0"/>
          <w:iCs w:val="0"/>
          <w:caps w:val="0"/>
          <w:color w:val="auto"/>
          <w:spacing w:val="0"/>
          <w:sz w:val="22"/>
          <w:szCs w:val="22"/>
          <w:highlight w:val="none"/>
          <w:shd w:val="clear" w:fill="FFFFFF"/>
        </w:rPr>
        <w:t>（厂名</w:t>
      </w:r>
      <w:r>
        <w:rPr>
          <w:rStyle w:val="30"/>
          <w:rFonts w:hint="eastAsia" w:cs="宋体"/>
          <w:i w:val="0"/>
          <w:iCs w:val="0"/>
          <w:caps w:val="0"/>
          <w:color w:val="auto"/>
          <w:spacing w:val="0"/>
          <w:sz w:val="22"/>
          <w:szCs w:val="22"/>
          <w:highlight w:val="none"/>
          <w:shd w:val="clear" w:fill="FFFFFF"/>
          <w:lang w:eastAsia="zh-CN"/>
        </w:rPr>
        <w:t>，</w:t>
      </w:r>
      <w:r>
        <w:rPr>
          <w:rStyle w:val="30"/>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30"/>
          <w:rFonts w:hint="eastAsia" w:ascii="宋体" w:hAnsi="宋体" w:eastAsia="宋体" w:cs="宋体"/>
          <w:i w:val="0"/>
          <w:iCs w:val="0"/>
          <w:caps w:val="0"/>
          <w:color w:val="auto"/>
          <w:spacing w:val="0"/>
          <w:sz w:val="22"/>
          <w:szCs w:val="22"/>
          <w:highlight w:val="none"/>
          <w:shd w:val="clear" w:fill="FFFFFF"/>
        </w:rPr>
        <w:t>）</w:t>
      </w:r>
      <w:r>
        <w:rPr>
          <w:rStyle w:val="30"/>
          <w:rFonts w:hint="eastAsia" w:ascii="宋体" w:hAnsi="宋体" w:eastAsia="宋体" w:cs="宋体"/>
          <w:i w:val="0"/>
          <w:iCs w:val="0"/>
          <w:caps w:val="0"/>
          <w:color w:val="auto"/>
          <w:spacing w:val="0"/>
          <w:sz w:val="22"/>
          <w:szCs w:val="22"/>
          <w:highlight w:val="none"/>
          <w:shd w:val="clear" w:fill="FFFFFF"/>
          <w:vertAlign w:val="superscript"/>
        </w:rPr>
        <w:t>2</w:t>
      </w:r>
      <w:r>
        <w:rPr>
          <w:rFonts w:hint="eastAsia" w:ascii="宋体" w:hAnsi="宋体" w:eastAsia="宋体" w:cs="宋体"/>
          <w:i w:val="0"/>
          <w:iCs w:val="0"/>
          <w:caps w:val="0"/>
          <w:color w:val="auto"/>
          <w:spacing w:val="0"/>
          <w:sz w:val="22"/>
          <w:szCs w:val="22"/>
          <w:highlight w:val="none"/>
          <w:shd w:val="clear" w:fill="FFFFFF"/>
        </w:rPr>
        <w:t>，厂址为</w:t>
      </w:r>
      <w:r>
        <w:rPr>
          <w:rStyle w:val="30"/>
          <w:rFonts w:hint="eastAsia" w:ascii="宋体" w:hAnsi="宋体" w:eastAsia="宋体" w:cs="宋体"/>
          <w:i w:val="0"/>
          <w:iCs w:val="0"/>
          <w:caps w:val="0"/>
          <w:color w:val="auto"/>
          <w:spacing w:val="0"/>
          <w:sz w:val="22"/>
          <w:szCs w:val="22"/>
          <w:highlight w:val="none"/>
          <w:shd w:val="clear" w:fill="FFFFFF"/>
        </w:rPr>
        <w:t>（生产厂址</w:t>
      </w:r>
      <w:r>
        <w:rPr>
          <w:rStyle w:val="30"/>
          <w:rFonts w:hint="eastAsia" w:cs="宋体"/>
          <w:i w:val="0"/>
          <w:iCs w:val="0"/>
          <w:caps w:val="0"/>
          <w:color w:val="auto"/>
          <w:spacing w:val="0"/>
          <w:sz w:val="22"/>
          <w:szCs w:val="22"/>
          <w:highlight w:val="none"/>
          <w:shd w:val="clear" w:fill="FFFFFF"/>
          <w:lang w:eastAsia="zh-CN"/>
        </w:rPr>
        <w:t>，</w:t>
      </w:r>
      <w:r>
        <w:rPr>
          <w:rStyle w:val="30"/>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30"/>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w:t>
      </w:r>
      <w:r>
        <w:rPr>
          <w:rStyle w:val="30"/>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的中国境内生产的组件成本占比≥</w:t>
      </w:r>
      <w:r>
        <w:rPr>
          <w:rStyle w:val="30"/>
          <w:rFonts w:hint="eastAsia" w:ascii="宋体" w:hAnsi="宋体" w:eastAsia="宋体" w:cs="宋体"/>
          <w:i w:val="0"/>
          <w:iCs w:val="0"/>
          <w:caps w:val="0"/>
          <w:color w:val="auto"/>
          <w:spacing w:val="0"/>
          <w:sz w:val="22"/>
          <w:szCs w:val="22"/>
          <w:highlight w:val="none"/>
          <w:shd w:val="clear" w:fill="FFFFFF"/>
        </w:rPr>
        <w:t>（规定比例）</w:t>
      </w:r>
      <w:r>
        <w:rPr>
          <w:rStyle w:val="30"/>
          <w:rFonts w:hint="eastAsia" w:ascii="宋体" w:hAnsi="宋体" w:eastAsia="宋体" w:cs="宋体"/>
          <w:i w:val="0"/>
          <w:iCs w:val="0"/>
          <w:caps w:val="0"/>
          <w:color w:val="auto"/>
          <w:spacing w:val="0"/>
          <w:sz w:val="22"/>
          <w:szCs w:val="22"/>
          <w:highlight w:val="none"/>
          <w:shd w:val="clear" w:fill="FFFFFF"/>
          <w:vertAlign w:val="superscript"/>
        </w:rPr>
        <w:t>3</w:t>
      </w:r>
      <w:r>
        <w:rPr>
          <w:rFonts w:hint="eastAsia" w:ascii="宋体" w:hAnsi="宋体" w:eastAsia="宋体" w:cs="宋体"/>
          <w:i w:val="0"/>
          <w:iCs w:val="0"/>
          <w:caps w:val="0"/>
          <w:color w:val="auto"/>
          <w:spacing w:val="0"/>
          <w:sz w:val="22"/>
          <w:szCs w:val="22"/>
          <w:highlight w:val="none"/>
          <w:shd w:val="clear" w:fill="FFFFFF"/>
        </w:rPr>
        <w:t>。</w:t>
      </w:r>
      <w:r>
        <w:rPr>
          <w:rStyle w:val="30"/>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w:t>
      </w:r>
      <w:r>
        <w:rPr>
          <w:rStyle w:val="30"/>
          <w:rFonts w:hint="eastAsia" w:ascii="宋体" w:hAnsi="宋体" w:eastAsia="宋体" w:cs="宋体"/>
          <w:i w:val="0"/>
          <w:iCs w:val="0"/>
          <w:caps w:val="0"/>
          <w:color w:val="auto"/>
          <w:spacing w:val="0"/>
          <w:sz w:val="22"/>
          <w:szCs w:val="22"/>
          <w:highlight w:val="none"/>
          <w:shd w:val="clear" w:fill="FFFFFF"/>
        </w:rPr>
        <w:t>（关键组件）</w:t>
      </w:r>
      <w:r>
        <w:rPr>
          <w:rStyle w:val="30"/>
          <w:rFonts w:hint="eastAsia" w:ascii="宋体" w:hAnsi="宋体" w:eastAsia="宋体" w:cs="宋体"/>
          <w:i w:val="0"/>
          <w:iCs w:val="0"/>
          <w:caps w:val="0"/>
          <w:color w:val="auto"/>
          <w:spacing w:val="0"/>
          <w:sz w:val="22"/>
          <w:szCs w:val="22"/>
          <w:highlight w:val="none"/>
          <w:shd w:val="clear" w:fill="FFFFFF"/>
          <w:vertAlign w:val="superscript"/>
        </w:rPr>
        <w:t>4</w:t>
      </w:r>
      <w:r>
        <w:rPr>
          <w:rFonts w:hint="eastAsia" w:ascii="宋体" w:hAnsi="宋体" w:eastAsia="宋体" w:cs="宋体"/>
          <w:i w:val="0"/>
          <w:iCs w:val="0"/>
          <w:caps w:val="0"/>
          <w:color w:val="auto"/>
          <w:spacing w:val="0"/>
          <w:sz w:val="22"/>
          <w:szCs w:val="22"/>
          <w:highlight w:val="none"/>
          <w:shd w:val="clear" w:fill="FFFFFF"/>
        </w:rPr>
        <w:t>在中国境内生产。</w:t>
      </w:r>
      <w:r>
        <w:rPr>
          <w:rStyle w:val="30"/>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w:t>
      </w:r>
      <w:r>
        <w:rPr>
          <w:rStyle w:val="30"/>
          <w:rFonts w:hint="eastAsia" w:ascii="宋体" w:hAnsi="宋体" w:eastAsia="宋体" w:cs="宋体"/>
          <w:i w:val="0"/>
          <w:iCs w:val="0"/>
          <w:caps w:val="0"/>
          <w:color w:val="auto"/>
          <w:spacing w:val="0"/>
          <w:sz w:val="22"/>
          <w:szCs w:val="22"/>
          <w:highlight w:val="none"/>
          <w:shd w:val="clear" w:fill="FFFFFF"/>
        </w:rPr>
        <w:t>（关键工序）</w:t>
      </w:r>
      <w:r>
        <w:rPr>
          <w:rStyle w:val="30"/>
          <w:rFonts w:hint="eastAsia" w:ascii="宋体" w:hAnsi="宋体" w:eastAsia="宋体" w:cs="宋体"/>
          <w:i w:val="0"/>
          <w:iCs w:val="0"/>
          <w:caps w:val="0"/>
          <w:color w:val="auto"/>
          <w:spacing w:val="0"/>
          <w:sz w:val="22"/>
          <w:szCs w:val="22"/>
          <w:highlight w:val="none"/>
          <w:shd w:val="clear" w:fill="FFFFFF"/>
          <w:vertAlign w:val="superscript"/>
        </w:rPr>
        <w:t>5</w:t>
      </w:r>
      <w:r>
        <w:rPr>
          <w:rFonts w:hint="eastAsia" w:ascii="宋体" w:hAnsi="宋体" w:eastAsia="宋体" w:cs="宋体"/>
          <w:i w:val="0"/>
          <w:iCs w:val="0"/>
          <w:caps w:val="0"/>
          <w:color w:val="auto"/>
          <w:spacing w:val="0"/>
          <w:sz w:val="22"/>
          <w:szCs w:val="22"/>
          <w:highlight w:val="none"/>
          <w:shd w:val="clear" w:fill="FFFFFF"/>
        </w:rPr>
        <w:t>在中国境内完成。</w:t>
      </w:r>
    </w:p>
    <w:p w14:paraId="0723C5F1">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2.</w:t>
      </w:r>
      <w:r>
        <w:rPr>
          <w:rStyle w:val="30"/>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，生产厂为</w:t>
      </w:r>
      <w:r>
        <w:rPr>
          <w:rStyle w:val="30"/>
          <w:rFonts w:hint="eastAsia" w:ascii="宋体" w:hAnsi="宋体" w:eastAsia="宋体" w:cs="宋体"/>
          <w:i w:val="0"/>
          <w:iCs w:val="0"/>
          <w:caps w:val="0"/>
          <w:color w:val="auto"/>
          <w:spacing w:val="0"/>
          <w:sz w:val="22"/>
          <w:szCs w:val="22"/>
          <w:highlight w:val="none"/>
          <w:shd w:val="clear" w:fill="FFFFFF"/>
        </w:rPr>
        <w:t>（厂名</w:t>
      </w:r>
      <w:r>
        <w:rPr>
          <w:rStyle w:val="30"/>
          <w:rFonts w:hint="eastAsia" w:cs="宋体"/>
          <w:i w:val="0"/>
          <w:iCs w:val="0"/>
          <w:caps w:val="0"/>
          <w:color w:val="auto"/>
          <w:spacing w:val="0"/>
          <w:sz w:val="22"/>
          <w:szCs w:val="22"/>
          <w:highlight w:val="none"/>
          <w:shd w:val="clear" w:fill="FFFFFF"/>
          <w:lang w:eastAsia="zh-CN"/>
        </w:rPr>
        <w:t>，</w:t>
      </w:r>
      <w:r>
        <w:rPr>
          <w:rStyle w:val="30"/>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30"/>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，厂址为</w:t>
      </w:r>
      <w:r>
        <w:rPr>
          <w:rStyle w:val="30"/>
          <w:rFonts w:hint="eastAsia" w:ascii="宋体" w:hAnsi="宋体" w:eastAsia="宋体" w:cs="宋体"/>
          <w:i w:val="0"/>
          <w:iCs w:val="0"/>
          <w:caps w:val="0"/>
          <w:color w:val="auto"/>
          <w:spacing w:val="0"/>
          <w:sz w:val="22"/>
          <w:szCs w:val="22"/>
          <w:highlight w:val="none"/>
          <w:shd w:val="clear" w:fill="FFFFFF"/>
        </w:rPr>
        <w:t>（生产厂址</w:t>
      </w:r>
      <w:r>
        <w:rPr>
          <w:rStyle w:val="30"/>
          <w:rFonts w:hint="eastAsia" w:cs="宋体"/>
          <w:i w:val="0"/>
          <w:iCs w:val="0"/>
          <w:caps w:val="0"/>
          <w:color w:val="auto"/>
          <w:spacing w:val="0"/>
          <w:sz w:val="22"/>
          <w:szCs w:val="22"/>
          <w:highlight w:val="none"/>
          <w:shd w:val="clear" w:fill="FFFFFF"/>
          <w:lang w:eastAsia="zh-CN"/>
        </w:rPr>
        <w:t>，</w:t>
      </w:r>
      <w:r>
        <w:rPr>
          <w:rStyle w:val="30"/>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30"/>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w:t>
      </w:r>
      <w:r>
        <w:rPr>
          <w:rStyle w:val="30"/>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的中国境内生产的组件成本占比≥</w:t>
      </w:r>
      <w:r>
        <w:rPr>
          <w:rStyle w:val="30"/>
          <w:rFonts w:hint="eastAsia" w:ascii="宋体" w:hAnsi="宋体" w:eastAsia="宋体" w:cs="宋体"/>
          <w:i w:val="0"/>
          <w:iCs w:val="0"/>
          <w:caps w:val="0"/>
          <w:color w:val="auto"/>
          <w:spacing w:val="0"/>
          <w:sz w:val="22"/>
          <w:szCs w:val="22"/>
          <w:highlight w:val="none"/>
          <w:shd w:val="clear" w:fill="FFFFFF"/>
        </w:rPr>
        <w:t>（规定比例）</w:t>
      </w:r>
      <w:r>
        <w:rPr>
          <w:rFonts w:hint="eastAsia" w:ascii="宋体" w:hAnsi="宋体" w:eastAsia="宋体" w:cs="宋体"/>
          <w:i w:val="0"/>
          <w:iCs w:val="0"/>
          <w:caps w:val="0"/>
          <w:color w:val="auto"/>
          <w:spacing w:val="0"/>
          <w:sz w:val="22"/>
          <w:szCs w:val="22"/>
          <w:highlight w:val="none"/>
          <w:shd w:val="clear" w:fill="FFFFFF"/>
        </w:rPr>
        <w:t>。</w:t>
      </w:r>
      <w:r>
        <w:rPr>
          <w:rStyle w:val="30"/>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w:t>
      </w:r>
      <w:r>
        <w:rPr>
          <w:rStyle w:val="30"/>
          <w:rFonts w:hint="eastAsia" w:ascii="宋体" w:hAnsi="宋体" w:eastAsia="宋体" w:cs="宋体"/>
          <w:i w:val="0"/>
          <w:iCs w:val="0"/>
          <w:caps w:val="0"/>
          <w:color w:val="auto"/>
          <w:spacing w:val="0"/>
          <w:sz w:val="22"/>
          <w:szCs w:val="22"/>
          <w:highlight w:val="none"/>
          <w:shd w:val="clear" w:fill="FFFFFF"/>
        </w:rPr>
        <w:t>（关键组件）</w:t>
      </w:r>
      <w:r>
        <w:rPr>
          <w:rFonts w:hint="eastAsia" w:ascii="宋体" w:hAnsi="宋体" w:eastAsia="宋体" w:cs="宋体"/>
          <w:i w:val="0"/>
          <w:iCs w:val="0"/>
          <w:caps w:val="0"/>
          <w:color w:val="auto"/>
          <w:spacing w:val="0"/>
          <w:sz w:val="22"/>
          <w:szCs w:val="22"/>
          <w:highlight w:val="none"/>
          <w:shd w:val="clear" w:fill="FFFFFF"/>
        </w:rPr>
        <w:t>在中国境内生产。</w:t>
      </w:r>
      <w:r>
        <w:rPr>
          <w:rStyle w:val="30"/>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w:t>
      </w:r>
      <w:r>
        <w:rPr>
          <w:rStyle w:val="30"/>
          <w:rFonts w:hint="eastAsia" w:ascii="宋体" w:hAnsi="宋体" w:eastAsia="宋体" w:cs="宋体"/>
          <w:i w:val="0"/>
          <w:iCs w:val="0"/>
          <w:caps w:val="0"/>
          <w:color w:val="auto"/>
          <w:spacing w:val="0"/>
          <w:sz w:val="22"/>
          <w:szCs w:val="22"/>
          <w:highlight w:val="none"/>
          <w:shd w:val="clear" w:fill="FFFFFF"/>
        </w:rPr>
        <w:t>（关键工序）</w:t>
      </w:r>
      <w:r>
        <w:rPr>
          <w:rFonts w:hint="eastAsia" w:ascii="宋体" w:hAnsi="宋体" w:eastAsia="宋体" w:cs="宋体"/>
          <w:i w:val="0"/>
          <w:iCs w:val="0"/>
          <w:caps w:val="0"/>
          <w:color w:val="auto"/>
          <w:spacing w:val="0"/>
          <w:sz w:val="22"/>
          <w:szCs w:val="22"/>
          <w:highlight w:val="none"/>
          <w:shd w:val="clear" w:fill="FFFFFF"/>
        </w:rPr>
        <w:t>在中国境内完成。</w:t>
      </w:r>
    </w:p>
    <w:p w14:paraId="137B527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w:t>
      </w:r>
    </w:p>
    <w:p w14:paraId="7EC8488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本公司（单位）对上述声明内容的真实性负责。如有虚假，愿承担相应法律责任。</w:t>
      </w:r>
    </w:p>
    <w:p w14:paraId="6F538AEE">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公司（单位）名称（盖章）：      </w:t>
      </w:r>
    </w:p>
    <w:p w14:paraId="67A5666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日期：　　　　　年　　月　日    </w:t>
      </w:r>
    </w:p>
    <w:p w14:paraId="7CDDDD3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_____________________________</w:t>
      </w:r>
    </w:p>
    <w:p w14:paraId="79D2E732">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1.产品如有型号，请在“产品名称”栏一并填写。</w:t>
      </w:r>
    </w:p>
    <w:p w14:paraId="29B08248">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b/>
          <w:bCs/>
          <w:i w:val="0"/>
          <w:iCs w:val="0"/>
          <w:caps w:val="0"/>
          <w:color w:val="auto"/>
          <w:spacing w:val="0"/>
          <w:sz w:val="22"/>
          <w:szCs w:val="22"/>
          <w:highlight w:val="none"/>
        </w:rPr>
      </w:pPr>
      <w:r>
        <w:rPr>
          <w:rFonts w:hint="eastAsia" w:ascii="宋体" w:hAnsi="宋体" w:eastAsia="宋体" w:cs="宋体"/>
          <w:b/>
          <w:bCs/>
          <w:i w:val="0"/>
          <w:iCs w:val="0"/>
          <w:caps w:val="0"/>
          <w:color w:val="auto"/>
          <w:spacing w:val="0"/>
          <w:sz w:val="22"/>
          <w:szCs w:val="22"/>
          <w:highlight w:val="none"/>
          <w:shd w:val="clear" w:fill="FFFFFF"/>
        </w:rPr>
        <w:t>2.生产厂名与厂址应与生产厂营业执照载明的相关信息保持一致。</w:t>
      </w:r>
    </w:p>
    <w:p w14:paraId="32941FD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3.该产品的中国境内生产的组件成本占比相关要求实施前，“规定比例”栏可不填，下同。</w:t>
      </w:r>
    </w:p>
    <w:p w14:paraId="2F3A8F16">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4.该产品的关键组件要求实施前，“关键组件”栏可不填，下同。</w:t>
      </w:r>
    </w:p>
    <w:p w14:paraId="1322D7E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shd w:val="clear" w:fill="FFFFFF"/>
        </w:rPr>
      </w:pPr>
      <w:r>
        <w:rPr>
          <w:rFonts w:hint="eastAsia" w:ascii="宋体" w:hAnsi="宋体" w:eastAsia="宋体" w:cs="宋体"/>
          <w:i w:val="0"/>
          <w:iCs w:val="0"/>
          <w:caps w:val="0"/>
          <w:color w:val="auto"/>
          <w:spacing w:val="0"/>
          <w:sz w:val="22"/>
          <w:szCs w:val="22"/>
          <w:highlight w:val="none"/>
          <w:shd w:val="clear" w:fill="FFFFFF"/>
        </w:rPr>
        <w:t>5.该产品的关键工序要求实施前，“关键工序”栏可不填，下同。</w:t>
      </w:r>
    </w:p>
    <w:p w14:paraId="052A5B27">
      <w:pPr>
        <w:pStyle w:val="20"/>
        <w:widowControl/>
        <w:shd w:val="clear" w:fill="FFFFFF"/>
        <w:spacing w:before="264" w:beforeAutospacing="0" w:after="24" w:afterAutospacing="0" w:line="720" w:lineRule="auto"/>
        <w:ind w:left="0" w:right="0"/>
        <w:jc w:val="center"/>
        <w:rPr>
          <w:rStyle w:val="28"/>
          <w:rFonts w:hint="eastAsia" w:ascii="宋体" w:hAnsi="宋体" w:eastAsia="宋体" w:cs="宋体"/>
          <w:color w:val="auto"/>
          <w:sz w:val="22"/>
          <w:szCs w:val="22"/>
          <w:highlight w:val="none"/>
          <w:shd w:val="clear" w:fill="FFFFFF"/>
          <w:lang w:eastAsia="zh-CN"/>
        </w:rPr>
        <w:sectPr>
          <w:pgSz w:w="11906" w:h="16838"/>
          <w:pgMar w:top="1134" w:right="1191" w:bottom="1134" w:left="1191" w:header="851" w:footer="624" w:gutter="0"/>
          <w:pgNumType w:fmt="decimal"/>
          <w:cols w:space="720" w:num="1"/>
          <w:docGrid w:type="linesAndChars" w:linePitch="312" w:charSpace="0"/>
        </w:sectPr>
      </w:pPr>
    </w:p>
    <w:p w14:paraId="41C21A03">
      <w:pPr>
        <w:pStyle w:val="20"/>
        <w:widowControl/>
        <w:shd w:val="clear" w:fill="FFFFFF"/>
        <w:spacing w:before="264" w:beforeAutospacing="0" w:after="24" w:afterAutospacing="0" w:line="720" w:lineRule="auto"/>
        <w:ind w:left="0" w:right="0"/>
        <w:jc w:val="center"/>
        <w:rPr>
          <w:rFonts w:hint="eastAsia" w:ascii="宋体" w:hAnsi="宋体" w:eastAsia="宋体" w:cs="宋体"/>
          <w:color w:val="auto"/>
          <w:sz w:val="22"/>
          <w:szCs w:val="22"/>
          <w:highlight w:val="none"/>
          <w:shd w:val="clear" w:fill="FFFFFF"/>
          <w:lang w:val="en-US"/>
        </w:rPr>
      </w:pPr>
      <w:r>
        <w:rPr>
          <w:rStyle w:val="28"/>
          <w:rFonts w:hint="eastAsia" w:ascii="宋体" w:hAnsi="宋体" w:eastAsia="宋体" w:cs="宋体"/>
          <w:color w:val="auto"/>
          <w:sz w:val="22"/>
          <w:szCs w:val="22"/>
          <w:highlight w:val="none"/>
          <w:shd w:val="clear" w:fill="FFFFFF"/>
          <w:lang w:eastAsia="zh-CN"/>
        </w:rPr>
        <w:t>财政部会同有关部门规定的有关证明文件</w:t>
      </w:r>
    </w:p>
    <w:p w14:paraId="0E1BE9B7">
      <w:pPr>
        <w:keepNext w:val="0"/>
        <w:keepLines w:val="0"/>
        <w:widowControl/>
        <w:suppressLineNumbers w:val="0"/>
        <w:spacing w:before="0" w:beforeAutospacing="0" w:after="0" w:afterAutospacing="0"/>
        <w:ind w:left="0" w:right="0" w:firstLine="440" w:firstLineChars="200"/>
        <w:jc w:val="left"/>
        <w:rPr>
          <w:rFonts w:hint="eastAsia" w:ascii="宋体" w:hAnsi="宋体" w:eastAsia="宋体" w:cs="宋体"/>
          <w:color w:val="auto"/>
          <w:sz w:val="22"/>
          <w:szCs w:val="22"/>
          <w:highlight w:val="none"/>
          <w:shd w:val="clear" w:fill="FFFFFF"/>
          <w:lang w:val="en-US"/>
        </w:rPr>
      </w:pPr>
      <w:r>
        <w:rPr>
          <w:rFonts w:hint="eastAsia" w:ascii="宋体" w:hAnsi="宋体" w:eastAsia="宋体" w:cs="宋体"/>
          <w:color w:val="auto"/>
          <w:kern w:val="0"/>
          <w:sz w:val="22"/>
          <w:szCs w:val="22"/>
          <w:highlight w:val="none"/>
          <w:shd w:val="clear" w:fill="FFFFFF"/>
          <w:lang w:val="en-US" w:eastAsia="zh-CN" w:bidi="ar"/>
        </w:rPr>
        <w:t>（</w:t>
      </w:r>
      <w:r>
        <w:rPr>
          <w:rFonts w:hint="eastAsia" w:ascii="宋体" w:hAnsi="宋体" w:eastAsia="宋体" w:cs="宋体"/>
          <w:i/>
          <w:iCs/>
          <w:color w:val="auto"/>
          <w:kern w:val="0"/>
          <w:sz w:val="22"/>
          <w:szCs w:val="22"/>
          <w:highlight w:val="none"/>
          <w:shd w:val="clear" w:fill="FFFFFF"/>
          <w:lang w:val="en-US" w:eastAsia="zh-CN" w:bidi="ar"/>
        </w:rPr>
        <w:t>出具符合要求的《声明函》或有关证明文件的，该产品视为本国产品，采购人、采购代理机构不得再要求供应商提供其他证明材料。</w:t>
      </w:r>
      <w:r>
        <w:rPr>
          <w:rFonts w:hint="eastAsia" w:ascii="宋体" w:hAnsi="宋体" w:eastAsia="宋体" w:cs="宋体"/>
          <w:color w:val="auto"/>
          <w:kern w:val="0"/>
          <w:sz w:val="22"/>
          <w:szCs w:val="22"/>
          <w:highlight w:val="none"/>
          <w:shd w:val="clear" w:fill="FFFFFF"/>
          <w:lang w:val="en-US" w:eastAsia="zh-CN" w:bidi="ar"/>
        </w:rPr>
        <w:t>）</w:t>
      </w:r>
    </w:p>
    <w:p w14:paraId="16E7F7BC">
      <w:pPr>
        <w:keepNext w:val="0"/>
        <w:keepLines w:val="0"/>
        <w:widowControl/>
        <w:suppressLineNumbers w:val="0"/>
        <w:spacing w:before="1080" w:beforeLines="450" w:beforeAutospacing="0" w:after="0" w:afterAutospacing="0" w:line="360" w:lineRule="auto"/>
        <w:ind w:left="0" w:right="0"/>
        <w:jc w:val="right"/>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投标人名称（加盖公章）：____________</w:t>
      </w:r>
    </w:p>
    <w:p w14:paraId="4307C7B3">
      <w:pPr>
        <w:keepNext w:val="0"/>
        <w:keepLines w:val="0"/>
        <w:widowControl/>
        <w:suppressLineNumbers w:val="0"/>
        <w:spacing w:before="0" w:beforeAutospacing="0" w:after="0" w:afterAutospacing="0" w:line="360" w:lineRule="auto"/>
        <w:ind w:left="0" w:right="0"/>
        <w:jc w:val="righ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日期：_____年______月______日</w:t>
      </w:r>
    </w:p>
    <w:p w14:paraId="21E1D802">
      <w:pPr>
        <w:jc w:val="center"/>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br w:type="page"/>
      </w:r>
    </w:p>
    <w:p w14:paraId="71109321">
      <w:pPr>
        <w:pStyle w:val="20"/>
        <w:widowControl/>
        <w:shd w:val="clear" w:fill="FFFFFF"/>
        <w:spacing w:before="264" w:beforeAutospacing="0" w:after="24" w:afterAutospacing="0" w:line="360" w:lineRule="auto"/>
        <w:ind w:left="0" w:right="0"/>
        <w:jc w:val="center"/>
        <w:rPr>
          <w:rFonts w:hint="eastAsia" w:ascii="宋体" w:hAnsi="宋体" w:eastAsia="宋体" w:cs="宋体"/>
          <w:color w:val="auto"/>
          <w:sz w:val="22"/>
          <w:szCs w:val="22"/>
          <w:highlight w:val="none"/>
          <w:shd w:val="clear" w:fill="FFFFFF"/>
          <w:lang w:val="en-US"/>
        </w:rPr>
      </w:pPr>
      <w:r>
        <w:rPr>
          <w:rFonts w:hint="eastAsia" w:ascii="宋体" w:hAnsi="宋体" w:eastAsia="宋体" w:cs="宋体"/>
          <w:color w:val="auto"/>
          <w:sz w:val="22"/>
          <w:szCs w:val="22"/>
          <w:highlight w:val="none"/>
          <w:shd w:val="clear" w:fill="FFFFFF"/>
          <w:lang w:val="en-US" w:eastAsia="zh-CN"/>
        </w:rPr>
        <w:t>关于符合本国产品标准的成本占比的承诺函【如适用】</w:t>
      </w:r>
    </w:p>
    <w:p w14:paraId="63F02894">
      <w:pPr>
        <w:keepNext w:val="0"/>
        <w:keepLines w:val="0"/>
        <w:widowControl/>
        <w:suppressLineNumbers w:val="0"/>
        <w:spacing w:before="240" w:beforeLines="100" w:beforeAutospacing="0" w:after="0" w:afterAutospacing="0"/>
        <w:ind w:left="0" w:right="0"/>
        <w:jc w:val="left"/>
        <w:rPr>
          <w:rFonts w:hint="eastAsia" w:ascii="宋体" w:hAnsi="宋体" w:eastAsia="宋体" w:cs="宋体"/>
          <w:color w:val="auto"/>
          <w:sz w:val="22"/>
          <w:szCs w:val="22"/>
          <w:highlight w:val="none"/>
          <w:lang w:val="en-US"/>
        </w:rPr>
      </w:pPr>
      <w:r>
        <w:rPr>
          <w:rFonts w:hint="eastAsia" w:ascii="宋体" w:hAnsi="宋体" w:eastAsia="宋体" w:cs="宋体"/>
          <w:i/>
          <w:iCs/>
          <w:color w:val="auto"/>
          <w:kern w:val="0"/>
          <w:sz w:val="22"/>
          <w:szCs w:val="22"/>
          <w:highlight w:val="none"/>
          <w:lang w:val="en-US" w:eastAsia="zh-CN" w:bidi="ar"/>
        </w:rPr>
        <w:t>（当采购项目或者采购包中含有多种产品，供应商应声明为该采购项目或者采购包提供的符合本国产品标准的产品成本之和占提供的全部产品成本之和的比例。）</w:t>
      </w:r>
    </w:p>
    <w:p w14:paraId="0792EBE1">
      <w:pPr>
        <w:keepNext w:val="0"/>
        <w:keepLines w:val="0"/>
        <w:widowControl/>
        <w:suppressLineNumbers w:val="0"/>
        <w:spacing w:before="720" w:beforeLines="300" w:beforeAutospacing="0" w:after="0" w:afterAutospacing="0" w:line="480" w:lineRule="auto"/>
        <w:ind w:left="0" w:right="0"/>
        <w:jc w:val="left"/>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致：</w:t>
      </w:r>
      <w:r>
        <w:rPr>
          <w:rFonts w:hint="eastAsia" w:ascii="宋体" w:hAnsi="宋体" w:eastAsia="宋体" w:cs="宋体"/>
          <w:color w:val="auto"/>
          <w:kern w:val="0"/>
          <w:sz w:val="22"/>
          <w:szCs w:val="22"/>
          <w:highlight w:val="none"/>
          <w:u w:val="single"/>
          <w:lang w:val="en-US" w:eastAsia="zh-CN" w:bidi="ar"/>
        </w:rPr>
        <w:t>采购人或采购代理机构</w:t>
      </w:r>
    </w:p>
    <w:p w14:paraId="5A423ACA">
      <w:pPr>
        <w:keepNext w:val="0"/>
        <w:keepLines w:val="0"/>
        <w:widowControl/>
        <w:suppressLineNumbers w:val="0"/>
        <w:spacing w:before="0" w:beforeAutospacing="0" w:after="0" w:afterAutospacing="0" w:line="480" w:lineRule="auto"/>
        <w:ind w:left="0" w:right="0" w:firstLine="440" w:firstLineChars="200"/>
        <w:jc w:val="lef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我方为该采购项目或者采购包提供的符合本国产品标准的产品成本之和占提供的全部产品成本之和的比例为</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w:t>
      </w:r>
    </w:p>
    <w:p w14:paraId="7979EAC6">
      <w:pPr>
        <w:keepNext w:val="0"/>
        <w:keepLines w:val="0"/>
        <w:widowControl/>
        <w:suppressLineNumbers w:val="0"/>
        <w:spacing w:before="0" w:beforeAutospacing="0" w:after="0" w:afterAutospacing="0" w:line="480" w:lineRule="auto"/>
        <w:ind w:left="0" w:right="0" w:firstLine="440" w:firstLineChars="200"/>
        <w:jc w:val="left"/>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上述声明真实有效，否则我方负全部责任。</w:t>
      </w:r>
    </w:p>
    <w:p w14:paraId="3019B5DC">
      <w:pPr>
        <w:keepNext w:val="0"/>
        <w:keepLines w:val="0"/>
        <w:widowControl/>
        <w:suppressLineNumbers w:val="0"/>
        <w:spacing w:before="240" w:beforeLines="100" w:beforeAutospacing="0" w:after="0" w:afterAutospacing="0" w:line="360" w:lineRule="auto"/>
        <w:ind w:left="0" w:right="0"/>
        <w:jc w:val="righ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投标人名称（加盖公章）：____________</w:t>
      </w:r>
    </w:p>
    <w:p w14:paraId="13F63FE8">
      <w:pPr>
        <w:keepNext w:val="0"/>
        <w:keepLines w:val="0"/>
        <w:widowControl/>
        <w:suppressLineNumbers w:val="0"/>
        <w:spacing w:before="240" w:beforeLines="100" w:beforeAutospacing="0" w:after="0" w:afterAutospacing="0" w:line="360" w:lineRule="auto"/>
        <w:ind w:left="0" w:right="0"/>
        <w:jc w:val="right"/>
        <w:rPr>
          <w:rFonts w:hint="eastAsia" w:ascii="宋体" w:hAnsi="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color w:val="auto"/>
          <w:kern w:val="0"/>
          <w:sz w:val="22"/>
          <w:szCs w:val="22"/>
          <w:highlight w:val="none"/>
          <w:lang w:val="en-US" w:eastAsia="zh-CN" w:bidi="ar"/>
        </w:rPr>
        <w:t>日期：_____年______月______日</w:t>
      </w:r>
    </w:p>
    <w:p w14:paraId="5621A5FB">
      <w:pPr>
        <w:keepNext w:val="0"/>
        <w:keepLines w:val="0"/>
        <w:pageBreakBefore w:val="0"/>
        <w:widowControl/>
        <w:kinsoku/>
        <w:wordWrap/>
        <w:overflowPunct/>
        <w:topLinePunct w:val="0"/>
        <w:autoSpaceDE/>
        <w:autoSpaceDN/>
        <w:bidi w:val="0"/>
        <w:adjustRightInd/>
        <w:snapToGrid/>
        <w:spacing w:before="313" w:beforeLines="100"/>
        <w:textAlignment w:val="auto"/>
        <w:rPr>
          <w:rFonts w:hint="eastAsia" w:ascii="宋体" w:hAnsi="宋体" w:cs="宋体"/>
          <w:i w:val="0"/>
          <w:iCs w:val="0"/>
          <w:caps w:val="0"/>
          <w:color w:val="auto"/>
          <w:spacing w:val="0"/>
          <w:sz w:val="22"/>
          <w:szCs w:val="22"/>
          <w:highlight w:val="none"/>
          <w:shd w:val="clear" w:fill="FFFFFF"/>
          <w:lang w:val="en-US" w:eastAsia="zh-CN" w:bidi="ar-SA"/>
        </w:rPr>
      </w:pPr>
      <w:r>
        <w:rPr>
          <w:rFonts w:hint="eastAsia" w:ascii="宋体" w:hAnsi="宋体" w:cs="宋体"/>
          <w:i w:val="0"/>
          <w:iCs w:val="0"/>
          <w:caps w:val="0"/>
          <w:color w:val="auto"/>
          <w:spacing w:val="0"/>
          <w:sz w:val="22"/>
          <w:szCs w:val="22"/>
          <w:highlight w:val="none"/>
          <w:shd w:val="clear" w:fill="FFFFFF"/>
          <w:lang w:val="en-US" w:eastAsia="zh-CN" w:bidi="ar-SA"/>
        </w:rPr>
        <w:t>注：</w:t>
      </w:r>
    </w:p>
    <w:p w14:paraId="5AEDB366">
      <w:pPr>
        <w:keepNext w:val="0"/>
        <w:keepLines w:val="0"/>
        <w:pageBreakBefore w:val="0"/>
        <w:widowControl/>
        <w:kinsoku/>
        <w:wordWrap/>
        <w:overflowPunct/>
        <w:topLinePunct w:val="0"/>
        <w:autoSpaceDE/>
        <w:autoSpaceDN/>
        <w:bidi w:val="0"/>
        <w:adjustRightInd/>
        <w:snapToGrid/>
        <w:spacing w:before="313" w:beforeLines="100" w:line="360" w:lineRule="auto"/>
        <w:ind w:firstLine="660" w:firstLineChars="300"/>
        <w:textAlignment w:val="auto"/>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依据《国务院办公厅关于在政府采购中实施本国产品标准及相关政策的通知》（国办发〔2025〕34号）的相关规定。</w:t>
      </w:r>
    </w:p>
    <w:p w14:paraId="6F26D41D">
      <w:pPr>
        <w:keepNext w:val="0"/>
        <w:keepLines w:val="0"/>
        <w:pageBreakBefore w:val="0"/>
        <w:widowControl/>
        <w:kinsoku/>
        <w:wordWrap/>
        <w:overflowPunct/>
        <w:topLinePunct w:val="0"/>
        <w:autoSpaceDE/>
        <w:autoSpaceDN/>
        <w:bidi w:val="0"/>
        <w:adjustRightInd/>
        <w:snapToGrid/>
        <w:spacing w:before="469" w:beforeLines="150" w:line="360" w:lineRule="auto"/>
        <w:ind w:firstLine="440" w:firstLineChars="200"/>
        <w:jc w:val="center"/>
        <w:textAlignment w:val="auto"/>
        <w:rPr>
          <w:rFonts w:hint="eastAsia" w:ascii="宋体" w:hAnsi="宋体" w:eastAsia="宋体" w:cs="宋体"/>
          <w:b/>
          <w:bCs/>
          <w:i w:val="0"/>
          <w:iCs w:val="0"/>
          <w:caps w:val="0"/>
          <w:color w:val="auto"/>
          <w:spacing w:val="0"/>
          <w:sz w:val="22"/>
          <w:szCs w:val="22"/>
          <w:highlight w:val="none"/>
          <w:shd w:val="clear" w:fill="FFFFFF"/>
          <w:lang w:val="en-US" w:eastAsia="zh-CN" w:bidi="ar-SA"/>
        </w:rPr>
      </w:pPr>
      <w:r>
        <w:rPr>
          <w:rFonts w:hint="eastAsia" w:ascii="宋体" w:hAnsi="宋体" w:cs="宋体"/>
          <w:b/>
          <w:bCs/>
          <w:i w:val="0"/>
          <w:iCs w:val="0"/>
          <w:caps w:val="0"/>
          <w:color w:val="auto"/>
          <w:spacing w:val="0"/>
          <w:sz w:val="22"/>
          <w:szCs w:val="22"/>
          <w:highlight w:val="none"/>
          <w:shd w:val="clear" w:fill="FFFFFF"/>
          <w:lang w:val="en-US" w:eastAsia="zh-CN" w:bidi="ar-SA"/>
        </w:rPr>
        <w:t>附：</w:t>
      </w:r>
      <w:r>
        <w:rPr>
          <w:rFonts w:hint="eastAsia" w:ascii="宋体" w:hAnsi="宋体" w:eastAsia="宋体" w:cs="宋体"/>
          <w:b/>
          <w:bCs/>
          <w:i w:val="0"/>
          <w:iCs w:val="0"/>
          <w:caps w:val="0"/>
          <w:color w:val="auto"/>
          <w:spacing w:val="0"/>
          <w:sz w:val="22"/>
          <w:szCs w:val="22"/>
          <w:highlight w:val="none"/>
          <w:shd w:val="clear" w:fill="FFFFFF"/>
          <w:lang w:val="en-US" w:eastAsia="zh-CN" w:bidi="ar-SA"/>
        </w:rPr>
        <w:t>中国境内生产的组件成本核算基本规则</w:t>
      </w:r>
    </w:p>
    <w:p w14:paraId="60DD55ED">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8B2A367">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一、产品的一级组件是指直接组成产品的组件。产品的二级组件是指直接组成产品一级组件的组件。一级组件不可分解的，视同二级组件。</w:t>
      </w:r>
    </w:p>
    <w:p w14:paraId="3EE64D38">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二、二级组件在中国境内生产的，其全部成本计入中国境内生产的组件成本；二级组件不在中国境内生产的，其成本不计入中国境内生产的组件成本。</w:t>
      </w:r>
    </w:p>
    <w:p w14:paraId="6AA4EF43">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三、产品总成本和组件成本以相关会计核算数据、采购合同、进货记录等为基础进行计算。</w:t>
      </w:r>
    </w:p>
    <w:p w14:paraId="0A5A6CB8">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四、需要对成本核算规则予以进一步明确的其他有关事项，由财政部会同有关部门另行规定。</w:t>
      </w:r>
    </w:p>
    <w:p w14:paraId="203A574B">
      <w:pPr>
        <w:pageBreakBefore w:val="0"/>
        <w:widowControl w:val="0"/>
        <w:kinsoku/>
        <w:wordWrap w:val="0"/>
        <w:overflowPunct/>
        <w:bidi w:val="0"/>
        <w:spacing w:before="100" w:beforeAutospacing="1" w:after="100" w:afterAutospacing="1" w:line="276" w:lineRule="auto"/>
        <w:outlineLvl w:val="4"/>
        <w:rPr>
          <w:rFonts w:hint="eastAsia" w:ascii="宋体" w:hAnsi="宋体" w:eastAsia="宋体" w:cs="宋体"/>
          <w:color w:val="auto"/>
          <w:szCs w:val="21"/>
          <w:highlight w:val="none"/>
        </w:rPr>
        <w:sectPr>
          <w:pgSz w:w="11906" w:h="16838"/>
          <w:pgMar w:top="1134" w:right="1191" w:bottom="1134" w:left="1191" w:header="851" w:footer="624" w:gutter="0"/>
          <w:pgNumType w:fmt="decimal"/>
          <w:cols w:space="720" w:num="1"/>
          <w:docGrid w:type="linesAndChars" w:linePitch="312" w:charSpace="0"/>
        </w:sectPr>
      </w:pPr>
    </w:p>
    <w:p w14:paraId="1A79F0CA">
      <w:pPr>
        <w:pageBreakBefore w:val="0"/>
        <w:widowControl w:val="0"/>
        <w:kinsoku/>
        <w:wordWrap w:val="0"/>
        <w:overflowPunct/>
        <w:bidi w:val="0"/>
        <w:spacing w:before="100" w:beforeAutospacing="1" w:after="100" w:afterAutospacing="1" w:line="276" w:lineRule="auto"/>
        <w:outlineLvl w:val="4"/>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投标人认为需要提供的其他资格证明材料或情况说明（如有）</w:t>
      </w:r>
    </w:p>
    <w:p w14:paraId="32D5C398">
      <w:pPr>
        <w:pageBreakBefore w:val="0"/>
        <w:widowControl w:val="0"/>
        <w:kinsoku/>
        <w:wordWrap w:val="0"/>
        <w:overflowPunct/>
        <w:bidi w:val="0"/>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br w:type="page"/>
      </w:r>
    </w:p>
    <w:p w14:paraId="5EF25EE3">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节能环保产品清单及证明材料（没有则不填写此表）</w:t>
      </w:r>
    </w:p>
    <w:p w14:paraId="169E6123">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节能环保产品清单及证明材料</w:t>
      </w:r>
    </w:p>
    <w:p w14:paraId="6B7CE67C">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p>
    <w:p w14:paraId="6B33F02C">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7BB9917A">
      <w:pPr>
        <w:pageBreakBefore w:val="0"/>
        <w:widowControl w:val="0"/>
        <w:kinsoku/>
        <w:wordWrap w:val="0"/>
        <w:overflowPunct/>
        <w:bidi w:val="0"/>
        <w:spacing w:line="276"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t>项目编号：</w:t>
      </w:r>
      <w:r>
        <w:rPr>
          <w:rFonts w:hint="eastAsia" w:ascii="宋体" w:hAnsi="宋体" w:eastAsia="宋体" w:cs="宋体"/>
          <w:bCs/>
          <w:color w:val="auto"/>
          <w:szCs w:val="21"/>
          <w:highlight w:val="none"/>
          <w:lang w:val="zh-CN"/>
        </w:rPr>
        <w:t>项目名称</w:t>
      </w:r>
      <w:r>
        <w:rPr>
          <w:rFonts w:hint="eastAsia" w:ascii="宋体" w:hAnsi="宋体" w:cs="宋体"/>
          <w:bCs/>
          <w:color w:val="auto"/>
          <w:szCs w:val="21"/>
          <w:highlight w:val="none"/>
          <w:lang w:val="en-US" w:eastAsia="zh-CN"/>
        </w:rPr>
        <w:t>/包号</w:t>
      </w:r>
      <w:r>
        <w:rPr>
          <w:rFonts w:hint="eastAsia" w:ascii="宋体" w:hAnsi="宋体" w:eastAsia="宋体" w:cs="宋体"/>
          <w:bCs/>
          <w:color w:val="auto"/>
          <w:szCs w:val="21"/>
          <w:highlight w:val="none"/>
          <w:lang w:val="zh-CN"/>
        </w:rPr>
        <w:t>：</w:t>
      </w:r>
    </w:p>
    <w:p w14:paraId="67592FF0">
      <w:pPr>
        <w:pageBreakBefore w:val="0"/>
        <w:widowControl w:val="0"/>
        <w:kinsoku/>
        <w:wordWrap w:val="0"/>
        <w:overflowPunct/>
        <w:bidi w:val="0"/>
        <w:spacing w:line="276"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1）节能产品</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709"/>
        <w:gridCol w:w="1424"/>
        <w:gridCol w:w="932"/>
        <w:gridCol w:w="930"/>
        <w:gridCol w:w="776"/>
        <w:gridCol w:w="776"/>
        <w:gridCol w:w="1242"/>
        <w:gridCol w:w="1583"/>
        <w:gridCol w:w="1364"/>
      </w:tblGrid>
      <w:tr w14:paraId="56F9B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364" w:type="pct"/>
            <w:tcBorders>
              <w:top w:val="single" w:color="auto" w:sz="4" w:space="0"/>
              <w:left w:val="single" w:color="auto" w:sz="4" w:space="0"/>
              <w:bottom w:val="single" w:color="auto" w:sz="4" w:space="0"/>
              <w:right w:val="single" w:color="auto" w:sz="4" w:space="0"/>
            </w:tcBorders>
            <w:vAlign w:val="center"/>
          </w:tcPr>
          <w:p w14:paraId="20C2C5DE">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731" w:type="pct"/>
            <w:tcBorders>
              <w:top w:val="single" w:color="auto" w:sz="4" w:space="0"/>
              <w:left w:val="single" w:color="auto" w:sz="4" w:space="0"/>
              <w:bottom w:val="single" w:color="auto" w:sz="4" w:space="0"/>
              <w:right w:val="single" w:color="auto" w:sz="4" w:space="0"/>
            </w:tcBorders>
            <w:vAlign w:val="center"/>
          </w:tcPr>
          <w:p w14:paraId="0CEF761C">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478" w:type="pct"/>
            <w:tcBorders>
              <w:top w:val="single" w:color="auto" w:sz="4" w:space="0"/>
              <w:left w:val="single" w:color="auto" w:sz="4" w:space="0"/>
              <w:bottom w:val="single" w:color="auto" w:sz="4" w:space="0"/>
              <w:right w:val="single" w:color="auto" w:sz="4" w:space="0"/>
            </w:tcBorders>
            <w:vAlign w:val="center"/>
          </w:tcPr>
          <w:p w14:paraId="2BD6096E">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制造商名称</w:t>
            </w:r>
          </w:p>
        </w:tc>
        <w:tc>
          <w:tcPr>
            <w:tcW w:w="477" w:type="pct"/>
            <w:tcBorders>
              <w:top w:val="single" w:color="auto" w:sz="4" w:space="0"/>
              <w:left w:val="single" w:color="auto" w:sz="4" w:space="0"/>
              <w:bottom w:val="single" w:color="auto" w:sz="4" w:space="0"/>
              <w:right w:val="single" w:color="auto" w:sz="4" w:space="0"/>
            </w:tcBorders>
            <w:vAlign w:val="center"/>
          </w:tcPr>
          <w:p w14:paraId="44B1FBB1">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品牌</w:t>
            </w:r>
          </w:p>
        </w:tc>
        <w:tc>
          <w:tcPr>
            <w:tcW w:w="398" w:type="pct"/>
            <w:tcBorders>
              <w:top w:val="single" w:color="auto" w:sz="4" w:space="0"/>
              <w:left w:val="single" w:color="auto" w:sz="4" w:space="0"/>
              <w:bottom w:val="single" w:color="auto" w:sz="4" w:space="0"/>
              <w:right w:val="single" w:color="auto" w:sz="4" w:space="0"/>
            </w:tcBorders>
            <w:vAlign w:val="center"/>
          </w:tcPr>
          <w:p w14:paraId="4E7980B6">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型号</w:t>
            </w:r>
          </w:p>
        </w:tc>
        <w:tc>
          <w:tcPr>
            <w:tcW w:w="398" w:type="pct"/>
            <w:tcBorders>
              <w:top w:val="single" w:color="auto" w:sz="4" w:space="0"/>
              <w:left w:val="single" w:color="auto" w:sz="4" w:space="0"/>
              <w:bottom w:val="single" w:color="auto" w:sz="4" w:space="0"/>
              <w:right w:val="single" w:color="auto" w:sz="4" w:space="0"/>
            </w:tcBorders>
            <w:vAlign w:val="center"/>
          </w:tcPr>
          <w:p w14:paraId="3559E8CE">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637" w:type="pct"/>
            <w:tcBorders>
              <w:top w:val="single" w:color="auto" w:sz="4" w:space="0"/>
              <w:left w:val="single" w:color="auto" w:sz="4" w:space="0"/>
              <w:bottom w:val="single" w:color="auto" w:sz="4" w:space="0"/>
              <w:right w:val="single" w:color="auto" w:sz="4" w:space="0"/>
            </w:tcBorders>
            <w:vAlign w:val="center"/>
          </w:tcPr>
          <w:p w14:paraId="1EBB15AC">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p w14:paraId="141AC759">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（万元）</w:t>
            </w:r>
          </w:p>
        </w:tc>
        <w:tc>
          <w:tcPr>
            <w:tcW w:w="812" w:type="pct"/>
            <w:tcBorders>
              <w:top w:val="single" w:color="auto" w:sz="4" w:space="0"/>
              <w:left w:val="single" w:color="auto" w:sz="4" w:space="0"/>
              <w:bottom w:val="single" w:color="auto" w:sz="4" w:space="0"/>
              <w:right w:val="single" w:color="auto" w:sz="4" w:space="0"/>
            </w:tcBorders>
            <w:vAlign w:val="center"/>
          </w:tcPr>
          <w:p w14:paraId="6C04349D">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w:t>
            </w:r>
          </w:p>
          <w:p w14:paraId="7113C68B">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（万元）</w:t>
            </w:r>
          </w:p>
        </w:tc>
        <w:tc>
          <w:tcPr>
            <w:tcW w:w="700" w:type="pct"/>
            <w:tcBorders>
              <w:top w:val="single" w:color="auto" w:sz="4" w:space="0"/>
              <w:left w:val="single" w:color="auto" w:sz="4" w:space="0"/>
              <w:bottom w:val="single" w:color="auto" w:sz="4" w:space="0"/>
              <w:right w:val="single" w:color="auto" w:sz="4" w:space="0"/>
            </w:tcBorders>
            <w:vAlign w:val="center"/>
          </w:tcPr>
          <w:p w14:paraId="1BDB5FCA">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0AC0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364" w:type="pct"/>
            <w:tcBorders>
              <w:top w:val="single" w:color="auto" w:sz="4" w:space="0"/>
              <w:left w:val="single" w:color="auto" w:sz="4" w:space="0"/>
              <w:bottom w:val="single" w:color="auto" w:sz="4" w:space="0"/>
              <w:right w:val="single" w:color="auto" w:sz="4" w:space="0"/>
            </w:tcBorders>
            <w:vAlign w:val="center"/>
          </w:tcPr>
          <w:p w14:paraId="7537E8B8">
            <w:pPr>
              <w:keepNext w:val="0"/>
              <w:keepLines w:val="0"/>
              <w:pageBreakBefore w:val="0"/>
              <w:widowControl w:val="0"/>
              <w:numPr>
                <w:ilvl w:val="0"/>
                <w:numId w:val="58"/>
              </w:numPr>
              <w:suppressLineNumbers w:val="0"/>
              <w:kinsoku/>
              <w:wordWrap w:val="0"/>
              <w:overflowPunct/>
              <w:bidi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731" w:type="pct"/>
            <w:tcBorders>
              <w:top w:val="single" w:color="auto" w:sz="4" w:space="0"/>
              <w:left w:val="single" w:color="auto" w:sz="4" w:space="0"/>
              <w:bottom w:val="single" w:color="auto" w:sz="4" w:space="0"/>
              <w:right w:val="single" w:color="auto" w:sz="4" w:space="0"/>
            </w:tcBorders>
          </w:tcPr>
          <w:p w14:paraId="4502D612">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rPr>
                <w:rFonts w:hint="eastAsia" w:ascii="宋体" w:hAnsi="宋体" w:eastAsia="宋体" w:cs="宋体"/>
                <w:color w:val="auto"/>
                <w:szCs w:val="21"/>
                <w:highlight w:val="none"/>
              </w:rPr>
            </w:pPr>
          </w:p>
        </w:tc>
        <w:tc>
          <w:tcPr>
            <w:tcW w:w="478" w:type="pct"/>
            <w:tcBorders>
              <w:top w:val="single" w:color="auto" w:sz="4" w:space="0"/>
              <w:left w:val="single" w:color="auto" w:sz="4" w:space="0"/>
              <w:bottom w:val="single" w:color="auto" w:sz="4" w:space="0"/>
              <w:right w:val="single" w:color="auto" w:sz="4" w:space="0"/>
            </w:tcBorders>
            <w:vAlign w:val="center"/>
          </w:tcPr>
          <w:p w14:paraId="0626A3B1">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477" w:type="pct"/>
            <w:tcBorders>
              <w:top w:val="single" w:color="auto" w:sz="4" w:space="0"/>
              <w:left w:val="single" w:color="auto" w:sz="4" w:space="0"/>
              <w:bottom w:val="single" w:color="auto" w:sz="4" w:space="0"/>
              <w:right w:val="single" w:color="auto" w:sz="4" w:space="0"/>
            </w:tcBorders>
            <w:vAlign w:val="center"/>
          </w:tcPr>
          <w:p w14:paraId="591D4BB9">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8" w:type="pct"/>
            <w:tcBorders>
              <w:top w:val="single" w:color="auto" w:sz="4" w:space="0"/>
              <w:left w:val="single" w:color="auto" w:sz="4" w:space="0"/>
              <w:bottom w:val="single" w:color="auto" w:sz="4" w:space="0"/>
              <w:right w:val="single" w:color="auto" w:sz="4" w:space="0"/>
            </w:tcBorders>
            <w:vAlign w:val="center"/>
          </w:tcPr>
          <w:p w14:paraId="05A79F98">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8" w:type="pct"/>
            <w:tcBorders>
              <w:top w:val="single" w:color="auto" w:sz="4" w:space="0"/>
              <w:left w:val="single" w:color="auto" w:sz="4" w:space="0"/>
              <w:bottom w:val="single" w:color="auto" w:sz="4" w:space="0"/>
              <w:right w:val="single" w:color="auto" w:sz="4" w:space="0"/>
            </w:tcBorders>
            <w:vAlign w:val="center"/>
          </w:tcPr>
          <w:p w14:paraId="0FD76CCF">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637" w:type="pct"/>
            <w:tcBorders>
              <w:top w:val="single" w:color="auto" w:sz="4" w:space="0"/>
              <w:left w:val="single" w:color="auto" w:sz="4" w:space="0"/>
              <w:bottom w:val="single" w:color="auto" w:sz="4" w:space="0"/>
              <w:right w:val="single" w:color="auto" w:sz="4" w:space="0"/>
            </w:tcBorders>
            <w:vAlign w:val="center"/>
          </w:tcPr>
          <w:p w14:paraId="5D31EB00">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812" w:type="pct"/>
            <w:tcBorders>
              <w:top w:val="single" w:color="auto" w:sz="4" w:space="0"/>
              <w:left w:val="single" w:color="auto" w:sz="4" w:space="0"/>
              <w:bottom w:val="single" w:color="auto" w:sz="4" w:space="0"/>
              <w:right w:val="single" w:color="auto" w:sz="4" w:space="0"/>
            </w:tcBorders>
            <w:vAlign w:val="center"/>
          </w:tcPr>
          <w:p w14:paraId="7A4019AA">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700" w:type="pct"/>
            <w:tcBorders>
              <w:top w:val="single" w:color="auto" w:sz="4" w:space="0"/>
              <w:left w:val="single" w:color="auto" w:sz="4" w:space="0"/>
              <w:bottom w:val="single" w:color="auto" w:sz="4" w:space="0"/>
              <w:right w:val="single" w:color="auto" w:sz="4" w:space="0"/>
            </w:tcBorders>
            <w:vAlign w:val="center"/>
          </w:tcPr>
          <w:p w14:paraId="13A2182B">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2889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364" w:type="pct"/>
            <w:tcBorders>
              <w:top w:val="single" w:color="auto" w:sz="4" w:space="0"/>
              <w:left w:val="single" w:color="auto" w:sz="4" w:space="0"/>
              <w:bottom w:val="single" w:color="auto" w:sz="4" w:space="0"/>
              <w:right w:val="single" w:color="auto" w:sz="4" w:space="0"/>
            </w:tcBorders>
            <w:vAlign w:val="center"/>
          </w:tcPr>
          <w:p w14:paraId="561B7D11">
            <w:pPr>
              <w:keepNext w:val="0"/>
              <w:keepLines w:val="0"/>
              <w:pageBreakBefore w:val="0"/>
              <w:widowControl w:val="0"/>
              <w:numPr>
                <w:ilvl w:val="0"/>
                <w:numId w:val="58"/>
              </w:numPr>
              <w:suppressLineNumbers w:val="0"/>
              <w:kinsoku/>
              <w:wordWrap w:val="0"/>
              <w:overflowPunct/>
              <w:bidi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731" w:type="pct"/>
            <w:tcBorders>
              <w:top w:val="single" w:color="auto" w:sz="4" w:space="0"/>
              <w:left w:val="single" w:color="auto" w:sz="4" w:space="0"/>
              <w:bottom w:val="single" w:color="auto" w:sz="4" w:space="0"/>
              <w:right w:val="single" w:color="auto" w:sz="4" w:space="0"/>
            </w:tcBorders>
          </w:tcPr>
          <w:p w14:paraId="4AF47662">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rPr>
                <w:rFonts w:hint="eastAsia" w:ascii="宋体" w:hAnsi="宋体" w:eastAsia="宋体" w:cs="宋体"/>
                <w:color w:val="auto"/>
                <w:szCs w:val="21"/>
                <w:highlight w:val="none"/>
              </w:rPr>
            </w:pPr>
          </w:p>
        </w:tc>
        <w:tc>
          <w:tcPr>
            <w:tcW w:w="478" w:type="pct"/>
            <w:tcBorders>
              <w:top w:val="single" w:color="auto" w:sz="4" w:space="0"/>
              <w:left w:val="single" w:color="auto" w:sz="4" w:space="0"/>
              <w:bottom w:val="single" w:color="auto" w:sz="4" w:space="0"/>
              <w:right w:val="single" w:color="auto" w:sz="4" w:space="0"/>
            </w:tcBorders>
            <w:vAlign w:val="center"/>
          </w:tcPr>
          <w:p w14:paraId="3AB6FBE3">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477" w:type="pct"/>
            <w:tcBorders>
              <w:top w:val="single" w:color="auto" w:sz="4" w:space="0"/>
              <w:left w:val="single" w:color="auto" w:sz="4" w:space="0"/>
              <w:bottom w:val="single" w:color="auto" w:sz="4" w:space="0"/>
              <w:right w:val="single" w:color="auto" w:sz="4" w:space="0"/>
            </w:tcBorders>
            <w:vAlign w:val="center"/>
          </w:tcPr>
          <w:p w14:paraId="11BB0B38">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8" w:type="pct"/>
            <w:tcBorders>
              <w:top w:val="single" w:color="auto" w:sz="4" w:space="0"/>
              <w:left w:val="single" w:color="auto" w:sz="4" w:space="0"/>
              <w:bottom w:val="single" w:color="auto" w:sz="4" w:space="0"/>
              <w:right w:val="single" w:color="auto" w:sz="4" w:space="0"/>
            </w:tcBorders>
            <w:vAlign w:val="center"/>
          </w:tcPr>
          <w:p w14:paraId="4B51FA50">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8" w:type="pct"/>
            <w:tcBorders>
              <w:top w:val="single" w:color="auto" w:sz="4" w:space="0"/>
              <w:left w:val="single" w:color="auto" w:sz="4" w:space="0"/>
              <w:bottom w:val="single" w:color="auto" w:sz="4" w:space="0"/>
              <w:right w:val="single" w:color="auto" w:sz="4" w:space="0"/>
            </w:tcBorders>
            <w:vAlign w:val="center"/>
          </w:tcPr>
          <w:p w14:paraId="0662CAD9">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637" w:type="pct"/>
            <w:tcBorders>
              <w:top w:val="single" w:color="auto" w:sz="4" w:space="0"/>
              <w:left w:val="single" w:color="auto" w:sz="4" w:space="0"/>
              <w:bottom w:val="single" w:color="auto" w:sz="4" w:space="0"/>
              <w:right w:val="single" w:color="auto" w:sz="4" w:space="0"/>
            </w:tcBorders>
            <w:vAlign w:val="center"/>
          </w:tcPr>
          <w:p w14:paraId="515CFF40">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812" w:type="pct"/>
            <w:tcBorders>
              <w:top w:val="single" w:color="auto" w:sz="4" w:space="0"/>
              <w:left w:val="single" w:color="auto" w:sz="4" w:space="0"/>
              <w:bottom w:val="single" w:color="auto" w:sz="4" w:space="0"/>
              <w:right w:val="single" w:color="auto" w:sz="4" w:space="0"/>
            </w:tcBorders>
            <w:vAlign w:val="center"/>
          </w:tcPr>
          <w:p w14:paraId="7E5A8221">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700" w:type="pct"/>
            <w:tcBorders>
              <w:top w:val="single" w:color="auto" w:sz="4" w:space="0"/>
              <w:left w:val="single" w:color="auto" w:sz="4" w:space="0"/>
              <w:bottom w:val="single" w:color="auto" w:sz="4" w:space="0"/>
              <w:right w:val="single" w:color="auto" w:sz="4" w:space="0"/>
            </w:tcBorders>
            <w:vAlign w:val="center"/>
          </w:tcPr>
          <w:p w14:paraId="5FD8D293">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0DA9E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364" w:type="pct"/>
            <w:tcBorders>
              <w:top w:val="single" w:color="auto" w:sz="4" w:space="0"/>
              <w:left w:val="single" w:color="auto" w:sz="4" w:space="0"/>
              <w:bottom w:val="single" w:color="auto" w:sz="4" w:space="0"/>
              <w:right w:val="single" w:color="auto" w:sz="4" w:space="0"/>
            </w:tcBorders>
            <w:vAlign w:val="center"/>
          </w:tcPr>
          <w:p w14:paraId="77F4A40C">
            <w:pPr>
              <w:keepNext w:val="0"/>
              <w:keepLines w:val="0"/>
              <w:pageBreakBefore w:val="0"/>
              <w:widowControl w:val="0"/>
              <w:numPr>
                <w:ilvl w:val="0"/>
                <w:numId w:val="58"/>
              </w:numPr>
              <w:suppressLineNumbers w:val="0"/>
              <w:kinsoku/>
              <w:wordWrap w:val="0"/>
              <w:overflowPunct/>
              <w:bidi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731" w:type="pct"/>
            <w:tcBorders>
              <w:top w:val="single" w:color="auto" w:sz="4" w:space="0"/>
              <w:left w:val="single" w:color="auto" w:sz="4" w:space="0"/>
              <w:bottom w:val="single" w:color="auto" w:sz="4" w:space="0"/>
              <w:right w:val="single" w:color="auto" w:sz="4" w:space="0"/>
            </w:tcBorders>
            <w:vAlign w:val="center"/>
          </w:tcPr>
          <w:p w14:paraId="39E8E673">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78" w:type="pct"/>
            <w:tcBorders>
              <w:top w:val="single" w:color="auto" w:sz="4" w:space="0"/>
              <w:left w:val="single" w:color="auto" w:sz="4" w:space="0"/>
              <w:bottom w:val="single" w:color="auto" w:sz="4" w:space="0"/>
              <w:right w:val="single" w:color="auto" w:sz="4" w:space="0"/>
            </w:tcBorders>
            <w:vAlign w:val="center"/>
          </w:tcPr>
          <w:p w14:paraId="252D955D">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477" w:type="pct"/>
            <w:tcBorders>
              <w:top w:val="single" w:color="auto" w:sz="4" w:space="0"/>
              <w:left w:val="single" w:color="auto" w:sz="4" w:space="0"/>
              <w:bottom w:val="single" w:color="auto" w:sz="4" w:space="0"/>
              <w:right w:val="single" w:color="auto" w:sz="4" w:space="0"/>
            </w:tcBorders>
            <w:vAlign w:val="center"/>
          </w:tcPr>
          <w:p w14:paraId="278DA1BE">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8" w:type="pct"/>
            <w:tcBorders>
              <w:top w:val="single" w:color="auto" w:sz="4" w:space="0"/>
              <w:left w:val="single" w:color="auto" w:sz="4" w:space="0"/>
              <w:bottom w:val="single" w:color="auto" w:sz="4" w:space="0"/>
              <w:right w:val="single" w:color="auto" w:sz="4" w:space="0"/>
            </w:tcBorders>
            <w:vAlign w:val="center"/>
          </w:tcPr>
          <w:p w14:paraId="545E84AA">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8" w:type="pct"/>
            <w:tcBorders>
              <w:top w:val="single" w:color="auto" w:sz="4" w:space="0"/>
              <w:left w:val="single" w:color="auto" w:sz="4" w:space="0"/>
              <w:bottom w:val="single" w:color="auto" w:sz="4" w:space="0"/>
              <w:right w:val="single" w:color="auto" w:sz="4" w:space="0"/>
            </w:tcBorders>
            <w:vAlign w:val="center"/>
          </w:tcPr>
          <w:p w14:paraId="4029228E">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637" w:type="pct"/>
            <w:tcBorders>
              <w:top w:val="single" w:color="auto" w:sz="4" w:space="0"/>
              <w:left w:val="single" w:color="auto" w:sz="4" w:space="0"/>
              <w:bottom w:val="single" w:color="auto" w:sz="4" w:space="0"/>
              <w:right w:val="single" w:color="auto" w:sz="4" w:space="0"/>
            </w:tcBorders>
            <w:vAlign w:val="center"/>
          </w:tcPr>
          <w:p w14:paraId="6F7E9245">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812" w:type="pct"/>
            <w:tcBorders>
              <w:top w:val="single" w:color="auto" w:sz="4" w:space="0"/>
              <w:left w:val="single" w:color="auto" w:sz="4" w:space="0"/>
              <w:bottom w:val="single" w:color="auto" w:sz="4" w:space="0"/>
              <w:right w:val="single" w:color="auto" w:sz="4" w:space="0"/>
            </w:tcBorders>
            <w:vAlign w:val="center"/>
          </w:tcPr>
          <w:p w14:paraId="790BD045">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700" w:type="pct"/>
            <w:tcBorders>
              <w:top w:val="single" w:color="auto" w:sz="4" w:space="0"/>
              <w:left w:val="single" w:color="auto" w:sz="4" w:space="0"/>
              <w:bottom w:val="single" w:color="auto" w:sz="4" w:space="0"/>
              <w:right w:val="single" w:color="auto" w:sz="4" w:space="0"/>
            </w:tcBorders>
            <w:vAlign w:val="center"/>
          </w:tcPr>
          <w:p w14:paraId="52EE97BE">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bl>
    <w:p w14:paraId="793B7BD3">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082E4630">
      <w:pPr>
        <w:pageBreakBefore w:val="0"/>
        <w:widowControl w:val="0"/>
        <w:kinsoku/>
        <w:wordWrap w:val="0"/>
        <w:overflowPunct/>
        <w:bidi w:val="0"/>
        <w:spacing w:line="276"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2）环保产品</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705"/>
        <w:gridCol w:w="1417"/>
        <w:gridCol w:w="926"/>
        <w:gridCol w:w="926"/>
        <w:gridCol w:w="770"/>
        <w:gridCol w:w="770"/>
        <w:gridCol w:w="1234"/>
        <w:gridCol w:w="1575"/>
        <w:gridCol w:w="1411"/>
      </w:tblGrid>
      <w:tr w14:paraId="1E188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362" w:type="pct"/>
            <w:tcBorders>
              <w:top w:val="single" w:color="auto" w:sz="4" w:space="0"/>
              <w:left w:val="single" w:color="auto" w:sz="4" w:space="0"/>
              <w:bottom w:val="single" w:color="auto" w:sz="4" w:space="0"/>
              <w:right w:val="single" w:color="auto" w:sz="4" w:space="0"/>
            </w:tcBorders>
            <w:vAlign w:val="center"/>
          </w:tcPr>
          <w:p w14:paraId="3BE43B4F">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727" w:type="pct"/>
            <w:tcBorders>
              <w:top w:val="single" w:color="auto" w:sz="4" w:space="0"/>
              <w:left w:val="single" w:color="auto" w:sz="4" w:space="0"/>
              <w:bottom w:val="single" w:color="auto" w:sz="4" w:space="0"/>
              <w:right w:val="single" w:color="auto" w:sz="4" w:space="0"/>
            </w:tcBorders>
            <w:vAlign w:val="center"/>
          </w:tcPr>
          <w:p w14:paraId="46EACC9B">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475" w:type="pct"/>
            <w:tcBorders>
              <w:top w:val="single" w:color="auto" w:sz="4" w:space="0"/>
              <w:left w:val="single" w:color="auto" w:sz="4" w:space="0"/>
              <w:bottom w:val="single" w:color="auto" w:sz="4" w:space="0"/>
              <w:right w:val="single" w:color="auto" w:sz="4" w:space="0"/>
            </w:tcBorders>
            <w:vAlign w:val="center"/>
          </w:tcPr>
          <w:p w14:paraId="665FFA19">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制造商名称</w:t>
            </w:r>
          </w:p>
        </w:tc>
        <w:tc>
          <w:tcPr>
            <w:tcW w:w="475" w:type="pct"/>
            <w:tcBorders>
              <w:top w:val="single" w:color="auto" w:sz="4" w:space="0"/>
              <w:left w:val="single" w:color="auto" w:sz="4" w:space="0"/>
              <w:bottom w:val="single" w:color="auto" w:sz="4" w:space="0"/>
              <w:right w:val="single" w:color="auto" w:sz="4" w:space="0"/>
            </w:tcBorders>
            <w:vAlign w:val="center"/>
          </w:tcPr>
          <w:p w14:paraId="7E9ACB50">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品牌</w:t>
            </w:r>
          </w:p>
        </w:tc>
        <w:tc>
          <w:tcPr>
            <w:tcW w:w="395" w:type="pct"/>
            <w:tcBorders>
              <w:top w:val="single" w:color="auto" w:sz="4" w:space="0"/>
              <w:left w:val="single" w:color="auto" w:sz="4" w:space="0"/>
              <w:bottom w:val="single" w:color="auto" w:sz="4" w:space="0"/>
              <w:right w:val="single" w:color="auto" w:sz="4" w:space="0"/>
            </w:tcBorders>
            <w:vAlign w:val="center"/>
          </w:tcPr>
          <w:p w14:paraId="31813A63">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型号</w:t>
            </w:r>
          </w:p>
        </w:tc>
        <w:tc>
          <w:tcPr>
            <w:tcW w:w="395" w:type="pct"/>
            <w:tcBorders>
              <w:top w:val="single" w:color="auto" w:sz="4" w:space="0"/>
              <w:left w:val="single" w:color="auto" w:sz="4" w:space="0"/>
              <w:bottom w:val="single" w:color="auto" w:sz="4" w:space="0"/>
              <w:right w:val="single" w:color="auto" w:sz="4" w:space="0"/>
            </w:tcBorders>
            <w:vAlign w:val="center"/>
          </w:tcPr>
          <w:p w14:paraId="6BF61BAC">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633" w:type="pct"/>
            <w:tcBorders>
              <w:top w:val="single" w:color="auto" w:sz="4" w:space="0"/>
              <w:left w:val="single" w:color="auto" w:sz="4" w:space="0"/>
              <w:bottom w:val="single" w:color="auto" w:sz="4" w:space="0"/>
              <w:right w:val="single" w:color="auto" w:sz="4" w:space="0"/>
            </w:tcBorders>
            <w:vAlign w:val="center"/>
          </w:tcPr>
          <w:p w14:paraId="2EA1BA44">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p w14:paraId="0EC37218">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（万元）</w:t>
            </w:r>
          </w:p>
        </w:tc>
        <w:tc>
          <w:tcPr>
            <w:tcW w:w="808" w:type="pct"/>
            <w:tcBorders>
              <w:top w:val="single" w:color="auto" w:sz="4" w:space="0"/>
              <w:left w:val="single" w:color="auto" w:sz="4" w:space="0"/>
              <w:bottom w:val="single" w:color="auto" w:sz="4" w:space="0"/>
              <w:right w:val="single" w:color="auto" w:sz="4" w:space="0"/>
            </w:tcBorders>
            <w:vAlign w:val="center"/>
          </w:tcPr>
          <w:p w14:paraId="6F0EF702">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w:t>
            </w:r>
          </w:p>
          <w:p w14:paraId="6CEFDFCA">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（万元）</w:t>
            </w:r>
          </w:p>
        </w:tc>
        <w:tc>
          <w:tcPr>
            <w:tcW w:w="724" w:type="pct"/>
            <w:tcBorders>
              <w:top w:val="single" w:color="auto" w:sz="4" w:space="0"/>
              <w:left w:val="single" w:color="auto" w:sz="4" w:space="0"/>
              <w:bottom w:val="single" w:color="auto" w:sz="4" w:space="0"/>
              <w:right w:val="single" w:color="auto" w:sz="4" w:space="0"/>
            </w:tcBorders>
            <w:vAlign w:val="center"/>
          </w:tcPr>
          <w:p w14:paraId="014CE051">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6DB0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362" w:type="pct"/>
            <w:tcBorders>
              <w:top w:val="single" w:color="auto" w:sz="4" w:space="0"/>
              <w:left w:val="single" w:color="auto" w:sz="4" w:space="0"/>
              <w:bottom w:val="single" w:color="auto" w:sz="4" w:space="0"/>
              <w:right w:val="single" w:color="auto" w:sz="4" w:space="0"/>
            </w:tcBorders>
            <w:vAlign w:val="center"/>
          </w:tcPr>
          <w:p w14:paraId="6A2493BE">
            <w:pPr>
              <w:keepNext w:val="0"/>
              <w:keepLines w:val="0"/>
              <w:pageBreakBefore w:val="0"/>
              <w:widowControl w:val="0"/>
              <w:numPr>
                <w:ilvl w:val="0"/>
                <w:numId w:val="59"/>
              </w:numPr>
              <w:suppressLineNumbers w:val="0"/>
              <w:kinsoku/>
              <w:wordWrap w:val="0"/>
              <w:overflowPunct/>
              <w:bidi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727" w:type="pct"/>
            <w:tcBorders>
              <w:top w:val="single" w:color="auto" w:sz="4" w:space="0"/>
              <w:left w:val="single" w:color="auto" w:sz="4" w:space="0"/>
              <w:bottom w:val="single" w:color="auto" w:sz="4" w:space="0"/>
              <w:right w:val="single" w:color="auto" w:sz="4" w:space="0"/>
            </w:tcBorders>
          </w:tcPr>
          <w:p w14:paraId="73DD6EC4">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rPr>
                <w:rFonts w:hint="eastAsia" w:ascii="宋体" w:hAnsi="宋体" w:eastAsia="宋体" w:cs="宋体"/>
                <w:color w:val="auto"/>
                <w:szCs w:val="21"/>
                <w:highlight w:val="none"/>
              </w:rPr>
            </w:pPr>
          </w:p>
        </w:tc>
        <w:tc>
          <w:tcPr>
            <w:tcW w:w="475" w:type="pct"/>
            <w:tcBorders>
              <w:top w:val="single" w:color="auto" w:sz="4" w:space="0"/>
              <w:left w:val="single" w:color="auto" w:sz="4" w:space="0"/>
              <w:bottom w:val="single" w:color="auto" w:sz="4" w:space="0"/>
              <w:right w:val="single" w:color="auto" w:sz="4" w:space="0"/>
            </w:tcBorders>
            <w:vAlign w:val="center"/>
          </w:tcPr>
          <w:p w14:paraId="29FA80A7">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475" w:type="pct"/>
            <w:tcBorders>
              <w:top w:val="single" w:color="auto" w:sz="4" w:space="0"/>
              <w:left w:val="single" w:color="auto" w:sz="4" w:space="0"/>
              <w:bottom w:val="single" w:color="auto" w:sz="4" w:space="0"/>
              <w:right w:val="single" w:color="auto" w:sz="4" w:space="0"/>
            </w:tcBorders>
            <w:vAlign w:val="center"/>
          </w:tcPr>
          <w:p w14:paraId="4837D7FC">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5" w:type="pct"/>
            <w:tcBorders>
              <w:top w:val="single" w:color="auto" w:sz="4" w:space="0"/>
              <w:left w:val="single" w:color="auto" w:sz="4" w:space="0"/>
              <w:bottom w:val="single" w:color="auto" w:sz="4" w:space="0"/>
              <w:right w:val="single" w:color="auto" w:sz="4" w:space="0"/>
            </w:tcBorders>
            <w:vAlign w:val="center"/>
          </w:tcPr>
          <w:p w14:paraId="2A48E8BB">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5" w:type="pct"/>
            <w:tcBorders>
              <w:top w:val="single" w:color="auto" w:sz="4" w:space="0"/>
              <w:left w:val="single" w:color="auto" w:sz="4" w:space="0"/>
              <w:bottom w:val="single" w:color="auto" w:sz="4" w:space="0"/>
              <w:right w:val="single" w:color="auto" w:sz="4" w:space="0"/>
            </w:tcBorders>
            <w:vAlign w:val="center"/>
          </w:tcPr>
          <w:p w14:paraId="4975B03F">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633" w:type="pct"/>
            <w:tcBorders>
              <w:top w:val="single" w:color="auto" w:sz="4" w:space="0"/>
              <w:left w:val="single" w:color="auto" w:sz="4" w:space="0"/>
              <w:bottom w:val="single" w:color="auto" w:sz="4" w:space="0"/>
              <w:right w:val="single" w:color="auto" w:sz="4" w:space="0"/>
            </w:tcBorders>
            <w:vAlign w:val="center"/>
          </w:tcPr>
          <w:p w14:paraId="663834B1">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808" w:type="pct"/>
            <w:tcBorders>
              <w:top w:val="single" w:color="auto" w:sz="4" w:space="0"/>
              <w:left w:val="single" w:color="auto" w:sz="4" w:space="0"/>
              <w:bottom w:val="single" w:color="auto" w:sz="4" w:space="0"/>
              <w:right w:val="single" w:color="auto" w:sz="4" w:space="0"/>
            </w:tcBorders>
            <w:vAlign w:val="center"/>
          </w:tcPr>
          <w:p w14:paraId="3D77DACA">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724" w:type="pct"/>
            <w:tcBorders>
              <w:top w:val="single" w:color="auto" w:sz="4" w:space="0"/>
              <w:left w:val="single" w:color="auto" w:sz="4" w:space="0"/>
              <w:bottom w:val="single" w:color="auto" w:sz="4" w:space="0"/>
              <w:right w:val="single" w:color="auto" w:sz="4" w:space="0"/>
            </w:tcBorders>
            <w:vAlign w:val="center"/>
          </w:tcPr>
          <w:p w14:paraId="4D77806E">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7E025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362" w:type="pct"/>
            <w:tcBorders>
              <w:top w:val="single" w:color="auto" w:sz="4" w:space="0"/>
              <w:left w:val="single" w:color="auto" w:sz="4" w:space="0"/>
              <w:bottom w:val="single" w:color="auto" w:sz="4" w:space="0"/>
              <w:right w:val="single" w:color="auto" w:sz="4" w:space="0"/>
            </w:tcBorders>
            <w:vAlign w:val="center"/>
          </w:tcPr>
          <w:p w14:paraId="41EE85B3">
            <w:pPr>
              <w:keepNext w:val="0"/>
              <w:keepLines w:val="0"/>
              <w:pageBreakBefore w:val="0"/>
              <w:widowControl w:val="0"/>
              <w:numPr>
                <w:ilvl w:val="0"/>
                <w:numId w:val="59"/>
              </w:numPr>
              <w:suppressLineNumbers w:val="0"/>
              <w:kinsoku/>
              <w:wordWrap w:val="0"/>
              <w:overflowPunct/>
              <w:bidi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727" w:type="pct"/>
            <w:tcBorders>
              <w:top w:val="single" w:color="auto" w:sz="4" w:space="0"/>
              <w:left w:val="single" w:color="auto" w:sz="4" w:space="0"/>
              <w:bottom w:val="single" w:color="auto" w:sz="4" w:space="0"/>
              <w:right w:val="single" w:color="auto" w:sz="4" w:space="0"/>
            </w:tcBorders>
          </w:tcPr>
          <w:p w14:paraId="7D05B645">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rPr>
                <w:rFonts w:hint="eastAsia" w:ascii="宋体" w:hAnsi="宋体" w:eastAsia="宋体" w:cs="宋体"/>
                <w:color w:val="auto"/>
                <w:szCs w:val="21"/>
                <w:highlight w:val="none"/>
              </w:rPr>
            </w:pPr>
          </w:p>
        </w:tc>
        <w:tc>
          <w:tcPr>
            <w:tcW w:w="475" w:type="pct"/>
            <w:tcBorders>
              <w:top w:val="single" w:color="auto" w:sz="4" w:space="0"/>
              <w:left w:val="single" w:color="auto" w:sz="4" w:space="0"/>
              <w:bottom w:val="single" w:color="auto" w:sz="4" w:space="0"/>
              <w:right w:val="single" w:color="auto" w:sz="4" w:space="0"/>
            </w:tcBorders>
            <w:vAlign w:val="center"/>
          </w:tcPr>
          <w:p w14:paraId="2A1883B3">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475" w:type="pct"/>
            <w:tcBorders>
              <w:top w:val="single" w:color="auto" w:sz="4" w:space="0"/>
              <w:left w:val="single" w:color="auto" w:sz="4" w:space="0"/>
              <w:bottom w:val="single" w:color="auto" w:sz="4" w:space="0"/>
              <w:right w:val="single" w:color="auto" w:sz="4" w:space="0"/>
            </w:tcBorders>
            <w:vAlign w:val="center"/>
          </w:tcPr>
          <w:p w14:paraId="4BBD5E9C">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5" w:type="pct"/>
            <w:tcBorders>
              <w:top w:val="single" w:color="auto" w:sz="4" w:space="0"/>
              <w:left w:val="single" w:color="auto" w:sz="4" w:space="0"/>
              <w:bottom w:val="single" w:color="auto" w:sz="4" w:space="0"/>
              <w:right w:val="single" w:color="auto" w:sz="4" w:space="0"/>
            </w:tcBorders>
            <w:vAlign w:val="center"/>
          </w:tcPr>
          <w:p w14:paraId="65F04874">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5" w:type="pct"/>
            <w:tcBorders>
              <w:top w:val="single" w:color="auto" w:sz="4" w:space="0"/>
              <w:left w:val="single" w:color="auto" w:sz="4" w:space="0"/>
              <w:bottom w:val="single" w:color="auto" w:sz="4" w:space="0"/>
              <w:right w:val="single" w:color="auto" w:sz="4" w:space="0"/>
            </w:tcBorders>
            <w:vAlign w:val="center"/>
          </w:tcPr>
          <w:p w14:paraId="60E1BBA5">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633" w:type="pct"/>
            <w:tcBorders>
              <w:top w:val="single" w:color="auto" w:sz="4" w:space="0"/>
              <w:left w:val="single" w:color="auto" w:sz="4" w:space="0"/>
              <w:bottom w:val="single" w:color="auto" w:sz="4" w:space="0"/>
              <w:right w:val="single" w:color="auto" w:sz="4" w:space="0"/>
            </w:tcBorders>
            <w:vAlign w:val="center"/>
          </w:tcPr>
          <w:p w14:paraId="18A2899A">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808" w:type="pct"/>
            <w:tcBorders>
              <w:top w:val="single" w:color="auto" w:sz="4" w:space="0"/>
              <w:left w:val="single" w:color="auto" w:sz="4" w:space="0"/>
              <w:bottom w:val="single" w:color="auto" w:sz="4" w:space="0"/>
              <w:right w:val="single" w:color="auto" w:sz="4" w:space="0"/>
            </w:tcBorders>
            <w:vAlign w:val="center"/>
          </w:tcPr>
          <w:p w14:paraId="194A4494">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724" w:type="pct"/>
            <w:tcBorders>
              <w:top w:val="single" w:color="auto" w:sz="4" w:space="0"/>
              <w:left w:val="single" w:color="auto" w:sz="4" w:space="0"/>
              <w:bottom w:val="single" w:color="auto" w:sz="4" w:space="0"/>
              <w:right w:val="single" w:color="auto" w:sz="4" w:space="0"/>
            </w:tcBorders>
            <w:vAlign w:val="center"/>
          </w:tcPr>
          <w:p w14:paraId="42AF93F5">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6F4B4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362" w:type="pct"/>
            <w:tcBorders>
              <w:top w:val="single" w:color="auto" w:sz="4" w:space="0"/>
              <w:left w:val="single" w:color="auto" w:sz="4" w:space="0"/>
              <w:bottom w:val="single" w:color="auto" w:sz="4" w:space="0"/>
              <w:right w:val="single" w:color="auto" w:sz="4" w:space="0"/>
            </w:tcBorders>
            <w:vAlign w:val="center"/>
          </w:tcPr>
          <w:p w14:paraId="4EE0CF7F">
            <w:pPr>
              <w:keepNext w:val="0"/>
              <w:keepLines w:val="0"/>
              <w:pageBreakBefore w:val="0"/>
              <w:widowControl w:val="0"/>
              <w:numPr>
                <w:ilvl w:val="0"/>
                <w:numId w:val="59"/>
              </w:numPr>
              <w:suppressLineNumbers w:val="0"/>
              <w:kinsoku/>
              <w:wordWrap w:val="0"/>
              <w:overflowPunct/>
              <w:bidi w:val="0"/>
              <w:snapToGrid w:val="0"/>
              <w:spacing w:before="0" w:beforeAutospacing="0" w:after="0" w:afterAutospacing="0" w:line="276" w:lineRule="auto"/>
              <w:ind w:right="0"/>
              <w:jc w:val="center"/>
              <w:rPr>
                <w:rFonts w:hint="eastAsia" w:ascii="宋体" w:hAnsi="宋体" w:eastAsia="宋体" w:cs="宋体"/>
                <w:color w:val="auto"/>
                <w:szCs w:val="21"/>
                <w:highlight w:val="none"/>
              </w:rPr>
            </w:pPr>
          </w:p>
        </w:tc>
        <w:tc>
          <w:tcPr>
            <w:tcW w:w="727" w:type="pct"/>
            <w:tcBorders>
              <w:top w:val="single" w:color="auto" w:sz="4" w:space="0"/>
              <w:left w:val="single" w:color="auto" w:sz="4" w:space="0"/>
              <w:bottom w:val="single" w:color="auto" w:sz="4" w:space="0"/>
              <w:right w:val="single" w:color="auto" w:sz="4" w:space="0"/>
            </w:tcBorders>
          </w:tcPr>
          <w:p w14:paraId="1EAB0169">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75" w:type="pct"/>
            <w:tcBorders>
              <w:top w:val="single" w:color="auto" w:sz="4" w:space="0"/>
              <w:left w:val="single" w:color="auto" w:sz="4" w:space="0"/>
              <w:bottom w:val="single" w:color="auto" w:sz="4" w:space="0"/>
              <w:right w:val="single" w:color="auto" w:sz="4" w:space="0"/>
            </w:tcBorders>
            <w:vAlign w:val="center"/>
          </w:tcPr>
          <w:p w14:paraId="33FC15E2">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475" w:type="pct"/>
            <w:tcBorders>
              <w:top w:val="single" w:color="auto" w:sz="4" w:space="0"/>
              <w:left w:val="single" w:color="auto" w:sz="4" w:space="0"/>
              <w:bottom w:val="single" w:color="auto" w:sz="4" w:space="0"/>
              <w:right w:val="single" w:color="auto" w:sz="4" w:space="0"/>
            </w:tcBorders>
            <w:vAlign w:val="center"/>
          </w:tcPr>
          <w:p w14:paraId="06A84603">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5" w:type="pct"/>
            <w:tcBorders>
              <w:top w:val="single" w:color="auto" w:sz="4" w:space="0"/>
              <w:left w:val="single" w:color="auto" w:sz="4" w:space="0"/>
              <w:bottom w:val="single" w:color="auto" w:sz="4" w:space="0"/>
              <w:right w:val="single" w:color="auto" w:sz="4" w:space="0"/>
            </w:tcBorders>
            <w:vAlign w:val="center"/>
          </w:tcPr>
          <w:p w14:paraId="139C77B8">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395" w:type="pct"/>
            <w:tcBorders>
              <w:top w:val="single" w:color="auto" w:sz="4" w:space="0"/>
              <w:left w:val="single" w:color="auto" w:sz="4" w:space="0"/>
              <w:bottom w:val="single" w:color="auto" w:sz="4" w:space="0"/>
              <w:right w:val="single" w:color="auto" w:sz="4" w:space="0"/>
            </w:tcBorders>
            <w:vAlign w:val="center"/>
          </w:tcPr>
          <w:p w14:paraId="53C6FC9B">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633" w:type="pct"/>
            <w:tcBorders>
              <w:top w:val="single" w:color="auto" w:sz="4" w:space="0"/>
              <w:left w:val="single" w:color="auto" w:sz="4" w:space="0"/>
              <w:bottom w:val="single" w:color="auto" w:sz="4" w:space="0"/>
              <w:right w:val="single" w:color="auto" w:sz="4" w:space="0"/>
            </w:tcBorders>
            <w:vAlign w:val="center"/>
          </w:tcPr>
          <w:p w14:paraId="508D1074">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808" w:type="pct"/>
            <w:tcBorders>
              <w:top w:val="single" w:color="auto" w:sz="4" w:space="0"/>
              <w:left w:val="single" w:color="auto" w:sz="4" w:space="0"/>
              <w:bottom w:val="single" w:color="auto" w:sz="4" w:space="0"/>
              <w:right w:val="single" w:color="auto" w:sz="4" w:space="0"/>
            </w:tcBorders>
            <w:vAlign w:val="center"/>
          </w:tcPr>
          <w:p w14:paraId="6C41DB6E">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724" w:type="pct"/>
            <w:tcBorders>
              <w:top w:val="single" w:color="auto" w:sz="4" w:space="0"/>
              <w:left w:val="single" w:color="auto" w:sz="4" w:space="0"/>
              <w:bottom w:val="single" w:color="auto" w:sz="4" w:space="0"/>
              <w:right w:val="single" w:color="auto" w:sz="4" w:space="0"/>
            </w:tcBorders>
            <w:vAlign w:val="center"/>
          </w:tcPr>
          <w:p w14:paraId="7EABA648">
            <w:pPr>
              <w:keepNext w:val="0"/>
              <w:keepLines w:val="0"/>
              <w:pageBreakBefore w:val="0"/>
              <w:widowControl w:val="0"/>
              <w:suppressLineNumbers w:val="0"/>
              <w:kinsoku/>
              <w:wordWrap w:val="0"/>
              <w:overflowPunct/>
              <w:bidi w:val="0"/>
              <w:snapToGrid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bl>
    <w:p w14:paraId="68CE4377">
      <w:pPr>
        <w:pageBreakBefore w:val="0"/>
        <w:widowControl w:val="0"/>
        <w:kinsoku/>
        <w:wordWrap w:val="0"/>
        <w:overflowPunct/>
        <w:bidi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318EB071">
      <w:pPr>
        <w:pageBreakBefore w:val="0"/>
        <w:widowControl w:val="0"/>
        <w:kinsoku/>
        <w:wordWrap w:val="0"/>
        <w:overflowPunct/>
        <w:bidi w:val="0"/>
        <w:spacing w:line="276" w:lineRule="auto"/>
        <w:rPr>
          <w:rFonts w:hint="eastAsia" w:ascii="宋体" w:hAnsi="宋体" w:eastAsia="宋体" w:cs="宋体"/>
          <w:color w:val="auto"/>
          <w:szCs w:val="21"/>
          <w:highlight w:val="none"/>
        </w:rPr>
      </w:pPr>
    </w:p>
    <w:p w14:paraId="32AEAA2C">
      <w:pPr>
        <w:pageBreakBefore w:val="0"/>
        <w:widowControl w:val="0"/>
        <w:kinsoku/>
        <w:wordWrap w:val="0"/>
        <w:overflowPunct/>
        <w:bidi w:val="0"/>
        <w:spacing w:line="360" w:lineRule="auto"/>
        <w:ind w:firstLine="3968" w:firstLineChars="189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投标人名称（公章）：</w:t>
      </w:r>
    </w:p>
    <w:p w14:paraId="414EB91B">
      <w:pPr>
        <w:pageBreakBefore w:val="0"/>
        <w:widowControl w:val="0"/>
        <w:kinsoku/>
        <w:wordWrap w:val="0"/>
        <w:overflowPunct/>
        <w:bidi w:val="0"/>
        <w:spacing w:line="360" w:lineRule="auto"/>
        <w:ind w:firstLine="3968" w:firstLineChars="189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日期：年月日</w:t>
      </w:r>
    </w:p>
    <w:p w14:paraId="17E5F306">
      <w:pPr>
        <w:pageBreakBefore w:val="0"/>
        <w:widowControl w:val="0"/>
        <w:kinsoku/>
        <w:wordWrap w:val="0"/>
        <w:overflowPunct/>
        <w:bidi w:val="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br w:type="page"/>
      </w:r>
    </w:p>
    <w:p w14:paraId="039281DD">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制造厂家（进口产品国内总代理）授权书/售后服务承诺函（如需，格式自定）</w:t>
      </w:r>
    </w:p>
    <w:p w14:paraId="55A01616">
      <w:pPr>
        <w:pageBreakBefore w:val="0"/>
        <w:widowControl w:val="0"/>
        <w:kinsoku/>
        <w:wordWrap w:val="0"/>
        <w:overflowPunct/>
        <w:bidi w:val="0"/>
        <w:rPr>
          <w:rFonts w:hint="eastAsia" w:ascii="宋体" w:hAnsi="宋体" w:eastAsia="宋体" w:cs="宋体"/>
          <w:color w:val="auto"/>
          <w:szCs w:val="21"/>
          <w:highlight w:val="none"/>
        </w:rPr>
      </w:pPr>
    </w:p>
    <w:p w14:paraId="45BBC5F2">
      <w:pPr>
        <w:pStyle w:val="24"/>
        <w:pageBreakBefore w:val="0"/>
        <w:widowControl w:val="0"/>
        <w:kinsoku/>
        <w:wordWrap w:val="0"/>
        <w:overflowPunct/>
        <w:bidi w:val="0"/>
        <w:rPr>
          <w:rFonts w:hint="eastAsia" w:ascii="宋体" w:hAnsi="宋体" w:eastAsia="宋体" w:cs="宋体"/>
          <w:color w:val="auto"/>
          <w:highlight w:val="none"/>
        </w:rPr>
      </w:pPr>
    </w:p>
    <w:p w14:paraId="3DADE80D">
      <w:pPr>
        <w:pageBreakBefore w:val="0"/>
        <w:widowControl w:val="0"/>
        <w:kinsoku/>
        <w:wordWrap w:val="0"/>
        <w:overflowPunct/>
        <w:bidi w:val="0"/>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17D8FA51">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项目负责人、技术负责人简历表及证明材料（如需）</w:t>
      </w:r>
    </w:p>
    <w:p w14:paraId="43E7DAE6">
      <w:pPr>
        <w:pageBreakBefore w:val="0"/>
        <w:widowControl w:val="0"/>
        <w:kinsoku/>
        <w:wordWrap w:val="0"/>
        <w:overflowPunct/>
        <w:bidi w:val="0"/>
        <w:spacing w:line="276" w:lineRule="auto"/>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项目负责人、技术负责人简历表</w:t>
      </w:r>
      <w:bookmarkEnd w:id="128"/>
      <w:bookmarkEnd w:id="129"/>
      <w:bookmarkEnd w:id="130"/>
      <w:bookmarkEnd w:id="131"/>
      <w:bookmarkEnd w:id="132"/>
      <w:bookmarkEnd w:id="133"/>
    </w:p>
    <w:p w14:paraId="2FA6457A">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4DE7A45B">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项目编号：</w:t>
      </w:r>
      <w:r>
        <w:rPr>
          <w:rFonts w:hint="eastAsia" w:ascii="宋体" w:hAnsi="宋体" w:eastAsia="宋体" w:cs="宋体"/>
          <w:bCs/>
          <w:color w:val="auto"/>
          <w:szCs w:val="21"/>
          <w:highlight w:val="none"/>
          <w:lang w:val="zh-CN"/>
        </w:rPr>
        <w:t>项目名称</w:t>
      </w:r>
      <w:r>
        <w:rPr>
          <w:rFonts w:hint="eastAsia" w:ascii="宋体" w:hAnsi="宋体" w:cs="宋体"/>
          <w:bCs/>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2"/>
        <w:gridCol w:w="325"/>
        <w:gridCol w:w="1297"/>
        <w:gridCol w:w="650"/>
        <w:gridCol w:w="972"/>
        <w:gridCol w:w="976"/>
        <w:gridCol w:w="646"/>
        <w:gridCol w:w="1301"/>
        <w:gridCol w:w="321"/>
        <w:gridCol w:w="1626"/>
      </w:tblGrid>
      <w:tr w14:paraId="0FC2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pct"/>
            <w:tcBorders>
              <w:top w:val="single" w:color="auto" w:sz="4" w:space="0"/>
              <w:left w:val="single" w:color="auto" w:sz="4" w:space="0"/>
              <w:bottom w:val="single" w:color="auto" w:sz="4" w:space="0"/>
              <w:right w:val="single" w:color="auto" w:sz="4" w:space="0"/>
            </w:tcBorders>
            <w:vAlign w:val="center"/>
          </w:tcPr>
          <w:p w14:paraId="33D54C5B">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姓名</w:t>
            </w: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59C5D045">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85" w:rightChars="136"/>
              <w:jc w:val="center"/>
              <w:rPr>
                <w:rFonts w:hint="eastAsia" w:ascii="宋体" w:hAnsi="宋体" w:eastAsia="宋体" w:cs="宋体"/>
                <w:color w:val="auto"/>
                <w:kern w:val="0"/>
                <w:szCs w:val="21"/>
                <w:highlight w:val="none"/>
              </w:rPr>
            </w:pP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4617360B">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128" w:rightChars="-6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性别</w:t>
            </w: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3E3E355A">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85" w:rightChars="136"/>
              <w:jc w:val="center"/>
              <w:rPr>
                <w:rFonts w:hint="eastAsia" w:ascii="宋体" w:hAnsi="宋体" w:eastAsia="宋体" w:cs="宋体"/>
                <w:color w:val="auto"/>
                <w:kern w:val="0"/>
                <w:szCs w:val="21"/>
                <w:highlight w:val="none"/>
              </w:rPr>
            </w:pP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541B0C66">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 w:rightChars="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年龄</w:t>
            </w:r>
          </w:p>
        </w:tc>
        <w:tc>
          <w:tcPr>
            <w:tcW w:w="833" w:type="pct"/>
            <w:tcBorders>
              <w:top w:val="single" w:color="auto" w:sz="4" w:space="0"/>
              <w:left w:val="single" w:color="auto" w:sz="4" w:space="0"/>
              <w:bottom w:val="single" w:color="auto" w:sz="4" w:space="0"/>
              <w:right w:val="single" w:color="auto" w:sz="4" w:space="0"/>
            </w:tcBorders>
            <w:vAlign w:val="center"/>
          </w:tcPr>
          <w:p w14:paraId="49441289">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85" w:rightChars="136"/>
              <w:jc w:val="center"/>
              <w:rPr>
                <w:rFonts w:hint="eastAsia" w:ascii="宋体" w:hAnsi="宋体" w:eastAsia="宋体" w:cs="宋体"/>
                <w:color w:val="auto"/>
                <w:kern w:val="0"/>
                <w:szCs w:val="21"/>
                <w:highlight w:val="none"/>
              </w:rPr>
            </w:pPr>
          </w:p>
        </w:tc>
      </w:tr>
      <w:tr w14:paraId="498A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pct"/>
            <w:tcBorders>
              <w:top w:val="single" w:color="auto" w:sz="4" w:space="0"/>
              <w:left w:val="single" w:color="auto" w:sz="4" w:space="0"/>
              <w:bottom w:val="single" w:color="auto" w:sz="4" w:space="0"/>
              <w:right w:val="single" w:color="auto" w:sz="4" w:space="0"/>
            </w:tcBorders>
            <w:vAlign w:val="center"/>
          </w:tcPr>
          <w:p w14:paraId="4C2BB830">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职务</w:t>
            </w: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0DE568D5">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85" w:rightChars="136"/>
              <w:jc w:val="center"/>
              <w:rPr>
                <w:rFonts w:hint="eastAsia" w:ascii="宋体" w:hAnsi="宋体" w:eastAsia="宋体" w:cs="宋体"/>
                <w:color w:val="auto"/>
                <w:kern w:val="0"/>
                <w:szCs w:val="21"/>
                <w:highlight w:val="none"/>
              </w:rPr>
            </w:pP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019C79C4">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84" w:rightChars="-4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职称</w:t>
            </w: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75EF7DC0">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85" w:rightChars="136"/>
              <w:jc w:val="center"/>
              <w:rPr>
                <w:rFonts w:hint="eastAsia" w:ascii="宋体" w:hAnsi="宋体" w:eastAsia="宋体" w:cs="宋体"/>
                <w:color w:val="auto"/>
                <w:kern w:val="0"/>
                <w:szCs w:val="21"/>
                <w:highlight w:val="none"/>
              </w:rPr>
            </w:pP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3FBF53EA">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 w:rightChars="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学历</w:t>
            </w:r>
          </w:p>
        </w:tc>
        <w:tc>
          <w:tcPr>
            <w:tcW w:w="833" w:type="pct"/>
            <w:tcBorders>
              <w:top w:val="single" w:color="auto" w:sz="4" w:space="0"/>
              <w:left w:val="single" w:color="auto" w:sz="4" w:space="0"/>
              <w:bottom w:val="single" w:color="auto" w:sz="4" w:space="0"/>
              <w:right w:val="single" w:color="auto" w:sz="4" w:space="0"/>
            </w:tcBorders>
            <w:vAlign w:val="center"/>
          </w:tcPr>
          <w:p w14:paraId="186F1234">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 w:rightChars="1"/>
              <w:jc w:val="center"/>
              <w:rPr>
                <w:rFonts w:hint="eastAsia" w:ascii="宋体" w:hAnsi="宋体" w:eastAsia="宋体" w:cs="宋体"/>
                <w:color w:val="auto"/>
                <w:kern w:val="0"/>
                <w:szCs w:val="21"/>
                <w:highlight w:val="none"/>
              </w:rPr>
            </w:pPr>
          </w:p>
        </w:tc>
      </w:tr>
      <w:tr w14:paraId="723B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3" w:type="pct"/>
            <w:tcBorders>
              <w:top w:val="single" w:color="auto" w:sz="4" w:space="0"/>
              <w:left w:val="single" w:color="auto" w:sz="4" w:space="0"/>
              <w:bottom w:val="single" w:color="auto" w:sz="4" w:space="0"/>
              <w:right w:val="single" w:color="auto" w:sz="4" w:space="0"/>
            </w:tcBorders>
            <w:vAlign w:val="center"/>
          </w:tcPr>
          <w:p w14:paraId="045BB55D">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参加工作</w:t>
            </w:r>
          </w:p>
          <w:p w14:paraId="271FCA35">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时间</w:t>
            </w: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15A6A633">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52B79C60">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从事本行业工作年限</w:t>
            </w: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2D19CAB1">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p>
        </w:tc>
        <w:tc>
          <w:tcPr>
            <w:tcW w:w="833" w:type="pct"/>
            <w:gridSpan w:val="2"/>
            <w:tcBorders>
              <w:top w:val="single" w:color="auto" w:sz="4" w:space="0"/>
              <w:left w:val="single" w:color="auto" w:sz="4" w:space="0"/>
              <w:bottom w:val="single" w:color="auto" w:sz="4" w:space="0"/>
              <w:right w:val="single" w:color="auto" w:sz="4" w:space="0"/>
            </w:tcBorders>
            <w:vAlign w:val="center"/>
          </w:tcPr>
          <w:p w14:paraId="37A798A2">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个人专业资质及证书</w:t>
            </w:r>
          </w:p>
        </w:tc>
        <w:tc>
          <w:tcPr>
            <w:tcW w:w="833" w:type="pct"/>
            <w:tcBorders>
              <w:top w:val="single" w:color="auto" w:sz="4" w:space="0"/>
              <w:left w:val="single" w:color="auto" w:sz="4" w:space="0"/>
              <w:bottom w:val="single" w:color="auto" w:sz="4" w:space="0"/>
              <w:right w:val="single" w:color="auto" w:sz="4" w:space="0"/>
            </w:tcBorders>
            <w:vAlign w:val="center"/>
          </w:tcPr>
          <w:p w14:paraId="5E001A60">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p>
        </w:tc>
      </w:tr>
      <w:tr w14:paraId="2F0C8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5000" w:type="pct"/>
            <w:gridSpan w:val="10"/>
            <w:tcBorders>
              <w:top w:val="single" w:color="auto" w:sz="4" w:space="0"/>
              <w:left w:val="single" w:color="auto" w:sz="4" w:space="0"/>
              <w:bottom w:val="single" w:color="auto" w:sz="4" w:space="0"/>
              <w:right w:val="single" w:color="auto" w:sz="4" w:space="0"/>
            </w:tcBorders>
            <w:vAlign w:val="center"/>
          </w:tcPr>
          <w:p w14:paraId="2AF13493">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85" w:rightChars="136"/>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个人简介</w:t>
            </w:r>
          </w:p>
        </w:tc>
      </w:tr>
      <w:tr w14:paraId="41359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5000" w:type="pct"/>
            <w:gridSpan w:val="10"/>
            <w:tcBorders>
              <w:top w:val="single" w:color="auto" w:sz="4" w:space="0"/>
              <w:left w:val="single" w:color="auto" w:sz="4" w:space="0"/>
              <w:bottom w:val="single" w:color="auto" w:sz="4" w:space="0"/>
              <w:right w:val="single" w:color="auto" w:sz="4" w:space="0"/>
            </w:tcBorders>
            <w:vAlign w:val="center"/>
          </w:tcPr>
          <w:p w14:paraId="07B219EC">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85" w:rightChars="136"/>
              <w:jc w:val="center"/>
              <w:rPr>
                <w:rFonts w:hint="eastAsia" w:ascii="宋体" w:hAnsi="宋体" w:eastAsia="宋体" w:cs="宋体"/>
                <w:color w:val="auto"/>
                <w:kern w:val="0"/>
                <w:szCs w:val="21"/>
                <w:highlight w:val="none"/>
              </w:rPr>
            </w:pPr>
          </w:p>
        </w:tc>
      </w:tr>
      <w:tr w14:paraId="0301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5000" w:type="pct"/>
            <w:gridSpan w:val="10"/>
            <w:tcBorders>
              <w:top w:val="single" w:color="auto" w:sz="4" w:space="0"/>
              <w:left w:val="single" w:color="auto" w:sz="4" w:space="0"/>
              <w:bottom w:val="single" w:color="auto" w:sz="4" w:space="0"/>
              <w:right w:val="single" w:color="auto" w:sz="4" w:space="0"/>
            </w:tcBorders>
            <w:vAlign w:val="center"/>
          </w:tcPr>
          <w:p w14:paraId="719D68A0">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285" w:rightChars="136"/>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类似项目经验</w:t>
            </w:r>
          </w:p>
        </w:tc>
      </w:tr>
      <w:tr w14:paraId="6319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00" w:type="pct"/>
            <w:gridSpan w:val="2"/>
            <w:tcBorders>
              <w:top w:val="single" w:color="auto" w:sz="4" w:space="0"/>
              <w:left w:val="single" w:color="auto" w:sz="4" w:space="0"/>
              <w:bottom w:val="single" w:color="auto" w:sz="4" w:space="0"/>
              <w:right w:val="single" w:color="auto" w:sz="4" w:space="0"/>
            </w:tcBorders>
            <w:vAlign w:val="center"/>
          </w:tcPr>
          <w:p w14:paraId="04C33AC9">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项目单位</w:t>
            </w: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6D7EE6E5">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项目名称</w:t>
            </w: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4621EC08">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项目内容</w:t>
            </w: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350B665E">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项目金额</w:t>
            </w: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7D977D63">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项目时间</w:t>
            </w:r>
          </w:p>
        </w:tc>
      </w:tr>
      <w:tr w14:paraId="0CAA2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00" w:type="pct"/>
            <w:gridSpan w:val="2"/>
            <w:tcBorders>
              <w:top w:val="single" w:color="auto" w:sz="4" w:space="0"/>
              <w:left w:val="single" w:color="auto" w:sz="4" w:space="0"/>
              <w:bottom w:val="single" w:color="auto" w:sz="4" w:space="0"/>
              <w:right w:val="single" w:color="auto" w:sz="4" w:space="0"/>
            </w:tcBorders>
            <w:vAlign w:val="center"/>
          </w:tcPr>
          <w:p w14:paraId="431C8FF3">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1222399E">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14FFCCE6">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378BEF2F">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595F93DE">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r>
      <w:tr w14:paraId="40CB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00" w:type="pct"/>
            <w:gridSpan w:val="2"/>
            <w:tcBorders>
              <w:top w:val="single" w:color="auto" w:sz="4" w:space="0"/>
              <w:left w:val="single" w:color="auto" w:sz="4" w:space="0"/>
              <w:bottom w:val="single" w:color="auto" w:sz="4" w:space="0"/>
              <w:right w:val="single" w:color="auto" w:sz="4" w:space="0"/>
            </w:tcBorders>
            <w:vAlign w:val="center"/>
          </w:tcPr>
          <w:p w14:paraId="6F94679E">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266A0D2B">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49420CCA">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4D739CA0">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15101965">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r>
      <w:tr w14:paraId="1F58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00" w:type="pct"/>
            <w:gridSpan w:val="2"/>
            <w:tcBorders>
              <w:top w:val="single" w:color="auto" w:sz="4" w:space="0"/>
              <w:left w:val="single" w:color="auto" w:sz="4" w:space="0"/>
              <w:bottom w:val="single" w:color="auto" w:sz="4" w:space="0"/>
              <w:right w:val="single" w:color="auto" w:sz="4" w:space="0"/>
            </w:tcBorders>
            <w:vAlign w:val="center"/>
          </w:tcPr>
          <w:p w14:paraId="22293BF3">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616EDEA3">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790C9360">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74A2F099">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4DCD8BB2">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r>
      <w:tr w14:paraId="09048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00" w:type="pct"/>
            <w:gridSpan w:val="2"/>
            <w:tcBorders>
              <w:top w:val="single" w:color="auto" w:sz="4" w:space="0"/>
              <w:left w:val="single" w:color="auto" w:sz="4" w:space="0"/>
              <w:bottom w:val="single" w:color="auto" w:sz="4" w:space="0"/>
              <w:right w:val="single" w:color="auto" w:sz="4" w:space="0"/>
            </w:tcBorders>
            <w:vAlign w:val="center"/>
          </w:tcPr>
          <w:p w14:paraId="3B551A93">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53A9E773">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7F420D9C">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387868D0">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5574FD5C">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r>
      <w:tr w14:paraId="1433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00" w:type="pct"/>
            <w:gridSpan w:val="2"/>
            <w:tcBorders>
              <w:top w:val="single" w:color="auto" w:sz="4" w:space="0"/>
              <w:left w:val="single" w:color="auto" w:sz="4" w:space="0"/>
              <w:bottom w:val="single" w:color="auto" w:sz="4" w:space="0"/>
              <w:right w:val="single" w:color="auto" w:sz="4" w:space="0"/>
            </w:tcBorders>
            <w:vAlign w:val="center"/>
          </w:tcPr>
          <w:p w14:paraId="3B63F11B">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1E65E778">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5931F985">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1000" w:type="pct"/>
            <w:gridSpan w:val="2"/>
            <w:tcBorders>
              <w:top w:val="single" w:color="auto" w:sz="4" w:space="0"/>
              <w:left w:val="single" w:color="auto" w:sz="4" w:space="0"/>
              <w:bottom w:val="single" w:color="auto" w:sz="4" w:space="0"/>
              <w:right w:val="single" w:color="auto" w:sz="4" w:space="0"/>
            </w:tcBorders>
            <w:vAlign w:val="center"/>
          </w:tcPr>
          <w:p w14:paraId="2903136C">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29B6BFE9">
            <w:pPr>
              <w:keepNext w:val="0"/>
              <w:keepLines w:val="0"/>
              <w:pageBreakBefore w:val="0"/>
              <w:widowControl w:val="0"/>
              <w:suppressLineNumbers w:val="0"/>
              <w:kinsoku/>
              <w:wordWrap w:val="0"/>
              <w:overflowPunct/>
              <w:autoSpaceDE w:val="0"/>
              <w:autoSpaceDN w:val="0"/>
              <w:bidi w:val="0"/>
              <w:adjustRightInd w:val="0"/>
              <w:spacing w:before="0" w:beforeAutospacing="0" w:after="0" w:afterAutospacing="0" w:line="276" w:lineRule="auto"/>
              <w:ind w:left="0" w:right="-79" w:rightChars="-38"/>
              <w:jc w:val="center"/>
              <w:rPr>
                <w:rFonts w:hint="eastAsia" w:ascii="宋体" w:hAnsi="宋体" w:eastAsia="宋体" w:cs="宋体"/>
                <w:color w:val="auto"/>
                <w:kern w:val="0"/>
                <w:szCs w:val="21"/>
                <w:highlight w:val="none"/>
              </w:rPr>
            </w:pPr>
          </w:p>
        </w:tc>
      </w:tr>
    </w:tbl>
    <w:p w14:paraId="27D793F6">
      <w:pPr>
        <w:pageBreakBefore w:val="0"/>
        <w:widowControl w:val="0"/>
        <w:kinsoku/>
        <w:wordWrap w:val="0"/>
        <w:overflowPunct/>
        <w:bidi w:val="0"/>
        <w:spacing w:line="276" w:lineRule="auto"/>
        <w:ind w:left="619" w:hanging="619" w:hangingChars="295"/>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说明</w:t>
      </w:r>
      <w:r>
        <w:rPr>
          <w:rFonts w:hint="eastAsia" w:ascii="宋体" w:hAnsi="宋体" w:eastAsia="宋体" w:cs="宋体"/>
          <w:color w:val="auto"/>
          <w:szCs w:val="21"/>
          <w:highlight w:val="none"/>
          <w:lang w:val="zh-CN"/>
        </w:rPr>
        <w:t>：投标文件应附完整的相关证明材料清晰复印件加盖投标人公章，未按照要求详细完整填写此表，导致的后果由投标人自行承担。</w:t>
      </w:r>
    </w:p>
    <w:p w14:paraId="11015EFE">
      <w:pPr>
        <w:pageBreakBefore w:val="0"/>
        <w:widowControl w:val="0"/>
        <w:kinsoku/>
        <w:wordWrap w:val="0"/>
        <w:overflowPunct/>
        <w:bidi w:val="0"/>
        <w:spacing w:line="276" w:lineRule="auto"/>
        <w:jc w:val="left"/>
        <w:rPr>
          <w:rFonts w:hint="eastAsia" w:ascii="宋体" w:hAnsi="宋体" w:eastAsia="宋体" w:cs="宋体"/>
          <w:color w:val="auto"/>
          <w:szCs w:val="21"/>
          <w:highlight w:val="none"/>
          <w:lang w:val="zh-CN"/>
        </w:rPr>
      </w:pPr>
    </w:p>
    <w:p w14:paraId="3B617BDD">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516D287A">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年月日</w:t>
      </w:r>
    </w:p>
    <w:p w14:paraId="67BD161F">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bookmarkStart w:id="141" w:name="_Toc494665566"/>
      <w:bookmarkStart w:id="142" w:name="_Toc494665013"/>
      <w:bookmarkStart w:id="143" w:name="_Toc494665963"/>
      <w:bookmarkStart w:id="144" w:name="_Toc238276251"/>
      <w:bookmarkStart w:id="145" w:name="_Toc494702283"/>
      <w:bookmarkStart w:id="146" w:name="_Toc494745330"/>
      <w:bookmarkStart w:id="147" w:name="_Toc494721113"/>
      <w:bookmarkStart w:id="148" w:name="_Toc236473307"/>
      <w:r>
        <w:rPr>
          <w:rFonts w:hint="eastAsia" w:ascii="宋体" w:hAnsi="宋体" w:eastAsia="宋体" w:cs="宋体"/>
          <w:color w:val="auto"/>
          <w:szCs w:val="21"/>
          <w:highlight w:val="none"/>
        </w:rPr>
        <w:t>项目组成员一览表及证明材料（如需）</w:t>
      </w:r>
    </w:p>
    <w:bookmarkEnd w:id="141"/>
    <w:bookmarkEnd w:id="142"/>
    <w:bookmarkEnd w:id="143"/>
    <w:bookmarkEnd w:id="144"/>
    <w:bookmarkEnd w:id="145"/>
    <w:bookmarkEnd w:id="146"/>
    <w:bookmarkEnd w:id="147"/>
    <w:bookmarkEnd w:id="148"/>
    <w:p w14:paraId="0EAA203C">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项目组成员一览表及证明材料</w:t>
      </w:r>
    </w:p>
    <w:p w14:paraId="3EB4019A">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756C38D0">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项目编号：</w:t>
      </w:r>
      <w:r>
        <w:rPr>
          <w:rFonts w:hint="eastAsia" w:ascii="宋体" w:hAnsi="宋体" w:eastAsia="宋体" w:cs="宋体"/>
          <w:bCs/>
          <w:color w:val="auto"/>
          <w:szCs w:val="21"/>
          <w:highlight w:val="none"/>
          <w:lang w:val="zh-CN"/>
        </w:rPr>
        <w:t>项目名称</w:t>
      </w:r>
      <w:r>
        <w:rPr>
          <w:rFonts w:hint="eastAsia" w:ascii="宋体" w:hAnsi="宋体" w:cs="宋体"/>
          <w:bCs/>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3B5E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7072D1B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1D6C962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1F7574B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762D0D0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65C4ECD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578D522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18E1E28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个人专业资质及证书</w:t>
            </w:r>
          </w:p>
        </w:tc>
      </w:tr>
      <w:tr w14:paraId="3415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10D078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92" w:type="dxa"/>
            <w:tcBorders>
              <w:top w:val="single" w:color="auto" w:sz="4" w:space="0"/>
              <w:left w:val="single" w:color="auto" w:sz="4" w:space="0"/>
              <w:bottom w:val="single" w:color="auto" w:sz="4" w:space="0"/>
              <w:right w:val="single" w:color="auto" w:sz="4" w:space="0"/>
            </w:tcBorders>
            <w:vAlign w:val="center"/>
          </w:tcPr>
          <w:p w14:paraId="07E6FCA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DAF4F3">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07B175B">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6F8BA1D">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3E74736">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721716E5">
            <w:pPr>
              <w:keepNext w:val="0"/>
              <w:keepLines w:val="0"/>
              <w:pageBreakBefore w:val="0"/>
              <w:widowControl w:val="0"/>
              <w:suppressLineNumbers w:val="0"/>
              <w:kinsoku/>
              <w:wordWrap w:val="0"/>
              <w:overflowPunct/>
              <w:bidi w:val="0"/>
              <w:spacing w:before="0" w:beforeAutospacing="0" w:after="0" w:afterAutospacing="0" w:line="276" w:lineRule="auto"/>
              <w:ind w:left="0" w:right="0"/>
              <w:rPr>
                <w:rFonts w:hint="eastAsia" w:ascii="宋体" w:hAnsi="宋体" w:eastAsia="宋体" w:cs="宋体"/>
                <w:color w:val="auto"/>
                <w:szCs w:val="21"/>
                <w:highlight w:val="none"/>
              </w:rPr>
            </w:pPr>
          </w:p>
        </w:tc>
      </w:tr>
      <w:tr w14:paraId="67F4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515C445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992" w:type="dxa"/>
            <w:tcBorders>
              <w:top w:val="single" w:color="auto" w:sz="4" w:space="0"/>
              <w:left w:val="single" w:color="auto" w:sz="4" w:space="0"/>
              <w:bottom w:val="single" w:color="auto" w:sz="4" w:space="0"/>
              <w:right w:val="single" w:color="auto" w:sz="4" w:space="0"/>
            </w:tcBorders>
            <w:vAlign w:val="center"/>
          </w:tcPr>
          <w:p w14:paraId="001584E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A96138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79477D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67478D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2D7CB7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D2395C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38C4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316B5D3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992" w:type="dxa"/>
            <w:tcBorders>
              <w:top w:val="single" w:color="auto" w:sz="4" w:space="0"/>
              <w:left w:val="single" w:color="auto" w:sz="4" w:space="0"/>
              <w:bottom w:val="single" w:color="auto" w:sz="4" w:space="0"/>
              <w:right w:val="single" w:color="auto" w:sz="4" w:space="0"/>
            </w:tcBorders>
            <w:vAlign w:val="center"/>
          </w:tcPr>
          <w:p w14:paraId="6F2BC8E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F4323D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C1EDF1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8BC395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B94097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697D07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0579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D41D30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992" w:type="dxa"/>
            <w:tcBorders>
              <w:top w:val="single" w:color="auto" w:sz="4" w:space="0"/>
              <w:left w:val="single" w:color="auto" w:sz="4" w:space="0"/>
              <w:bottom w:val="single" w:color="auto" w:sz="4" w:space="0"/>
              <w:right w:val="single" w:color="auto" w:sz="4" w:space="0"/>
            </w:tcBorders>
            <w:vAlign w:val="center"/>
          </w:tcPr>
          <w:p w14:paraId="7760980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ED0920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61BAB4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54D9E4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A6713B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979233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6ED2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57EB96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992" w:type="dxa"/>
            <w:tcBorders>
              <w:top w:val="single" w:color="auto" w:sz="4" w:space="0"/>
              <w:left w:val="single" w:color="auto" w:sz="4" w:space="0"/>
              <w:bottom w:val="single" w:color="auto" w:sz="4" w:space="0"/>
              <w:right w:val="single" w:color="auto" w:sz="4" w:space="0"/>
            </w:tcBorders>
            <w:vAlign w:val="center"/>
          </w:tcPr>
          <w:p w14:paraId="7F3305A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9D82D45">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B1412E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16C957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B43E8E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73A2B866">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176C7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9BE2E2C">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992" w:type="dxa"/>
            <w:tcBorders>
              <w:top w:val="single" w:color="auto" w:sz="4" w:space="0"/>
              <w:left w:val="single" w:color="auto" w:sz="4" w:space="0"/>
              <w:bottom w:val="single" w:color="auto" w:sz="4" w:space="0"/>
              <w:right w:val="single" w:color="auto" w:sz="4" w:space="0"/>
            </w:tcBorders>
            <w:vAlign w:val="center"/>
          </w:tcPr>
          <w:p w14:paraId="0358FE6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E2D52C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D6DF61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8EC709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1DD0C9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43EE63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r w14:paraId="376F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5BE5A18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992" w:type="dxa"/>
            <w:tcBorders>
              <w:top w:val="single" w:color="auto" w:sz="4" w:space="0"/>
              <w:left w:val="single" w:color="auto" w:sz="4" w:space="0"/>
              <w:bottom w:val="single" w:color="auto" w:sz="4" w:space="0"/>
              <w:right w:val="single" w:color="auto" w:sz="4" w:space="0"/>
            </w:tcBorders>
            <w:vAlign w:val="center"/>
          </w:tcPr>
          <w:p w14:paraId="055C196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DA831F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9831E7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B6C0AED">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733439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44B8CD4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p>
        </w:tc>
      </w:tr>
    </w:tbl>
    <w:p w14:paraId="00D5EB38">
      <w:pPr>
        <w:pageBreakBefore w:val="0"/>
        <w:widowControl w:val="0"/>
        <w:kinsoku/>
        <w:wordWrap w:val="0"/>
        <w:overflowPunct/>
        <w:bidi w:val="0"/>
        <w:spacing w:line="276" w:lineRule="auto"/>
        <w:ind w:left="630" w:hanging="630" w:hangingChars="3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说明：投标文件应附完整的相关证明材料清晰复印件并加盖投标人公章，未按照要求详细完整填写此表，导致的后果由投标人自行承担。</w:t>
      </w:r>
    </w:p>
    <w:p w14:paraId="68498C22">
      <w:pPr>
        <w:pageBreakBefore w:val="0"/>
        <w:widowControl w:val="0"/>
        <w:kinsoku/>
        <w:wordWrap w:val="0"/>
        <w:overflowPunct/>
        <w:bidi w:val="0"/>
        <w:spacing w:line="276" w:lineRule="auto"/>
        <w:jc w:val="left"/>
        <w:rPr>
          <w:rFonts w:hint="eastAsia" w:ascii="宋体" w:hAnsi="宋体" w:eastAsia="宋体" w:cs="宋体"/>
          <w:color w:val="auto"/>
          <w:szCs w:val="21"/>
          <w:highlight w:val="none"/>
          <w:lang w:val="zh-CN"/>
        </w:rPr>
      </w:pPr>
    </w:p>
    <w:p w14:paraId="0466EA9A">
      <w:pPr>
        <w:pageBreakBefore w:val="0"/>
        <w:widowControl w:val="0"/>
        <w:kinsoku/>
        <w:wordWrap w:val="0"/>
        <w:overflowPunct/>
        <w:bidi w:val="0"/>
        <w:spacing w:line="276" w:lineRule="auto"/>
        <w:jc w:val="left"/>
        <w:rPr>
          <w:rFonts w:hint="eastAsia" w:ascii="宋体" w:hAnsi="宋体" w:eastAsia="宋体" w:cs="宋体"/>
          <w:color w:val="auto"/>
          <w:szCs w:val="21"/>
          <w:highlight w:val="none"/>
          <w:lang w:val="zh-CN"/>
        </w:rPr>
      </w:pPr>
    </w:p>
    <w:p w14:paraId="362CD91A">
      <w:pPr>
        <w:pageBreakBefore w:val="0"/>
        <w:widowControl w:val="0"/>
        <w:kinsoku/>
        <w:wordWrap w:val="0"/>
        <w:overflowPunct/>
        <w:bidi w:val="0"/>
        <w:spacing w:line="276" w:lineRule="auto"/>
        <w:jc w:val="left"/>
        <w:rPr>
          <w:rFonts w:hint="eastAsia" w:ascii="宋体" w:hAnsi="宋体" w:eastAsia="宋体" w:cs="宋体"/>
          <w:color w:val="auto"/>
          <w:szCs w:val="21"/>
          <w:highlight w:val="none"/>
          <w:lang w:val="zh-CN"/>
        </w:rPr>
      </w:pPr>
    </w:p>
    <w:p w14:paraId="1FACFA01">
      <w:pPr>
        <w:pageBreakBefore w:val="0"/>
        <w:widowControl w:val="0"/>
        <w:kinsoku/>
        <w:wordWrap w:val="0"/>
        <w:overflowPunct/>
        <w:bidi w:val="0"/>
        <w:spacing w:line="276" w:lineRule="auto"/>
        <w:jc w:val="left"/>
        <w:rPr>
          <w:rFonts w:hint="eastAsia" w:ascii="宋体" w:hAnsi="宋体" w:eastAsia="宋体" w:cs="宋体"/>
          <w:color w:val="auto"/>
          <w:szCs w:val="21"/>
          <w:highlight w:val="none"/>
          <w:lang w:val="zh-CN"/>
        </w:rPr>
      </w:pPr>
    </w:p>
    <w:p w14:paraId="59225E9E">
      <w:pPr>
        <w:pageBreakBefore w:val="0"/>
        <w:widowControl w:val="0"/>
        <w:kinsoku/>
        <w:wordWrap w:val="0"/>
        <w:overflowPunct/>
        <w:bidi w:val="0"/>
        <w:spacing w:line="276" w:lineRule="auto"/>
        <w:jc w:val="left"/>
        <w:rPr>
          <w:rFonts w:hint="eastAsia" w:ascii="宋体" w:hAnsi="宋体" w:eastAsia="宋体" w:cs="宋体"/>
          <w:color w:val="auto"/>
          <w:szCs w:val="21"/>
          <w:highlight w:val="none"/>
          <w:lang w:val="zh-CN"/>
        </w:rPr>
      </w:pPr>
    </w:p>
    <w:p w14:paraId="13FC4775">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6EFA6099">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年月日</w:t>
      </w:r>
    </w:p>
    <w:p w14:paraId="2C74A2B7">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r>
        <w:rPr>
          <w:rFonts w:hint="eastAsia" w:ascii="宋体" w:hAnsi="宋体" w:eastAsia="宋体" w:cs="宋体"/>
          <w:color w:val="auto"/>
          <w:szCs w:val="21"/>
          <w:highlight w:val="none"/>
        </w:rPr>
        <w:t>类似项目业绩表及证明材料（如需）</w:t>
      </w:r>
    </w:p>
    <w:p w14:paraId="414370D2">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类似项目业绩表</w:t>
      </w:r>
    </w:p>
    <w:p w14:paraId="38E559F3">
      <w:pPr>
        <w:pageBreakBefore w:val="0"/>
        <w:widowControl w:val="0"/>
        <w:kinsoku/>
        <w:wordWrap w:val="0"/>
        <w:overflowPunct/>
        <w:bidi w:val="0"/>
        <w:spacing w:line="276" w:lineRule="auto"/>
        <w:jc w:val="center"/>
        <w:rPr>
          <w:rFonts w:hint="eastAsia" w:ascii="宋体" w:hAnsi="宋体" w:eastAsia="宋体" w:cs="宋体"/>
          <w:b/>
          <w:color w:val="auto"/>
          <w:szCs w:val="21"/>
          <w:highlight w:val="none"/>
        </w:rPr>
      </w:pPr>
    </w:p>
    <w:p w14:paraId="3198BA3B">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p w14:paraId="1C882BC2">
      <w:pPr>
        <w:pageBreakBefore w:val="0"/>
        <w:widowControl w:val="0"/>
        <w:kinsoku/>
        <w:wordWrap w:val="0"/>
        <w:overflowPunct/>
        <w:bidi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项目编号：</w:t>
      </w:r>
      <w:r>
        <w:rPr>
          <w:rFonts w:hint="eastAsia" w:ascii="宋体" w:hAnsi="宋体" w:eastAsia="宋体" w:cs="宋体"/>
          <w:bCs/>
          <w:color w:val="auto"/>
          <w:szCs w:val="21"/>
          <w:highlight w:val="none"/>
          <w:lang w:val="zh-CN"/>
        </w:rPr>
        <w:t>项目名称</w:t>
      </w:r>
      <w:r>
        <w:rPr>
          <w:rFonts w:hint="eastAsia" w:ascii="宋体" w:hAnsi="宋体" w:cs="宋体"/>
          <w:bCs/>
          <w:color w:val="auto"/>
          <w:szCs w:val="21"/>
          <w:highlight w:val="none"/>
          <w:lang w:val="en-US" w:eastAsia="zh-CN"/>
        </w:rPr>
        <w:t>/包号</w:t>
      </w:r>
      <w:r>
        <w:rPr>
          <w:rFonts w:hint="eastAsia" w:ascii="宋体" w:hAnsi="宋体" w:eastAsia="宋体" w:cs="宋体"/>
          <w:bCs/>
          <w:color w:val="auto"/>
          <w:szCs w:val="21"/>
          <w:highlight w:val="none"/>
          <w:lang w:val="zh-CN"/>
        </w:rPr>
        <w:t>：</w:t>
      </w:r>
    </w:p>
    <w:tbl>
      <w:tblPr>
        <w:tblStyle w:val="2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465B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4FB8AC1">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2E6200A1">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72C911B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业主单位</w:t>
            </w:r>
          </w:p>
          <w:p w14:paraId="4AF3CD5D">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53745F5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26D869A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79C82FD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项目内容</w:t>
            </w:r>
          </w:p>
        </w:tc>
        <w:tc>
          <w:tcPr>
            <w:tcW w:w="996" w:type="dxa"/>
            <w:tcBorders>
              <w:top w:val="single" w:color="auto" w:sz="4" w:space="0"/>
              <w:left w:val="single" w:color="auto" w:sz="4" w:space="0"/>
              <w:bottom w:val="single" w:color="auto" w:sz="4" w:space="0"/>
              <w:right w:val="single" w:color="auto" w:sz="4" w:space="0"/>
            </w:tcBorders>
            <w:vAlign w:val="center"/>
          </w:tcPr>
          <w:p w14:paraId="42F56B2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356EF8E2">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60576A9B">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7CE3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312CCD82">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60295138">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0A11123">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13AF2DFF">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366B18D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D6E81F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4F2D33D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0077AF1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7D710B1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r>
      <w:tr w14:paraId="783B1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70B6E044">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126"/>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4180487F">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126"/>
              <w:jc w:val="center"/>
              <w:rPr>
                <w:rFonts w:hint="eastAsia" w:ascii="宋体" w:hAnsi="宋体" w:eastAsia="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21F1BB3">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126"/>
              <w:jc w:val="center"/>
              <w:rPr>
                <w:rFonts w:hint="eastAsia" w:ascii="宋体" w:hAnsi="宋体" w:eastAsia="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6F949FBD">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43E91CE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BF7EBCA">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18549A6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3362CD9">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6A1D986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r>
      <w:tr w14:paraId="34D76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69F12513">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61251E98">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4FABFBC">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1918AD35">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451424E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0C8F363">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14D6CF87">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9B6F9D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7186E650">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r>
      <w:tr w14:paraId="21EC2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3F2466AE">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5FE8735A">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0FC21805">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4158819C">
            <w:pPr>
              <w:keepNext w:val="0"/>
              <w:keepLines w:val="0"/>
              <w:pageBreakBefore w:val="0"/>
              <w:widowControl w:val="0"/>
              <w:suppressLineNumbers w:val="0"/>
              <w:kinsoku/>
              <w:wordWrap w:val="0"/>
              <w:overflowPunct/>
              <w:autoSpaceDE w:val="0"/>
              <w:autoSpaceDN w:val="0"/>
              <w:bidi w:val="0"/>
              <w:spacing w:before="0" w:beforeAutospacing="0" w:after="0" w:afterAutospacing="0" w:line="276" w:lineRule="auto"/>
              <w:ind w:left="0" w:right="0"/>
              <w:jc w:val="center"/>
              <w:rPr>
                <w:rFonts w:hint="eastAsia" w:ascii="宋体" w:hAnsi="宋体" w:eastAsia="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62A64371">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7BE3844">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418F3DCE">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CA3536F">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23442978">
            <w:pPr>
              <w:keepNext w:val="0"/>
              <w:keepLines w:val="0"/>
              <w:pageBreakBefore w:val="0"/>
              <w:widowControl w:val="0"/>
              <w:suppressLineNumbers w:val="0"/>
              <w:kinsoku/>
              <w:wordWrap w:val="0"/>
              <w:overflowPunct/>
              <w:bidi w:val="0"/>
              <w:spacing w:before="0" w:beforeAutospacing="0" w:after="0" w:afterAutospacing="0" w:line="276" w:lineRule="auto"/>
              <w:ind w:left="0" w:right="0"/>
              <w:jc w:val="center"/>
              <w:rPr>
                <w:rFonts w:hint="eastAsia" w:ascii="宋体" w:hAnsi="宋体" w:eastAsia="宋体" w:cs="宋体"/>
                <w:color w:val="auto"/>
                <w:kern w:val="0"/>
                <w:szCs w:val="21"/>
                <w:highlight w:val="none"/>
                <w:lang w:val="zh-CN"/>
              </w:rPr>
            </w:pPr>
          </w:p>
        </w:tc>
      </w:tr>
    </w:tbl>
    <w:p w14:paraId="27A68411">
      <w:pPr>
        <w:pageBreakBefore w:val="0"/>
        <w:widowControl w:val="0"/>
        <w:kinsoku/>
        <w:wordWrap w:val="0"/>
        <w:overflowPunct/>
        <w:bidi w:val="0"/>
        <w:spacing w:line="276" w:lineRule="auto"/>
        <w:ind w:left="955" w:hanging="955" w:hangingChars="455"/>
        <w:jc w:val="left"/>
        <w:rPr>
          <w:rFonts w:hint="eastAsia" w:ascii="宋体" w:hAnsi="宋体" w:eastAsia="宋体" w:cs="宋体"/>
          <w:color w:val="auto"/>
          <w:szCs w:val="21"/>
          <w:highlight w:val="none"/>
        </w:rPr>
      </w:pPr>
    </w:p>
    <w:p w14:paraId="24996893">
      <w:pPr>
        <w:pageBreakBefore w:val="0"/>
        <w:widowControl w:val="0"/>
        <w:kinsoku/>
        <w:wordWrap w:val="0"/>
        <w:overflowPunct/>
        <w:bidi w:val="0"/>
        <w:spacing w:line="276" w:lineRule="auto"/>
        <w:ind w:left="955" w:hanging="955" w:hangingChars="45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说明：1．每个项目应单独附相关证明材料（如中标通知书或合同首页、合同金额所在页、合同签字盖章页扫描件），未按照要求提供导致的后果由投标人自行承担。</w:t>
      </w:r>
    </w:p>
    <w:p w14:paraId="0F61552C">
      <w:pPr>
        <w:pageBreakBefore w:val="0"/>
        <w:widowControl w:val="0"/>
        <w:kinsoku/>
        <w:wordWrap w:val="0"/>
        <w:overflowPunct/>
        <w:bidi w:val="0"/>
        <w:spacing w:line="276" w:lineRule="auto"/>
        <w:ind w:left="1017" w:leftChars="339" w:hanging="306" w:hangingChars="14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2．项目内容应详细说明所承担的具体工作内容等。</w:t>
      </w:r>
    </w:p>
    <w:p w14:paraId="278FC2F9">
      <w:pPr>
        <w:pageBreakBefore w:val="0"/>
        <w:widowControl w:val="0"/>
        <w:kinsoku/>
        <w:wordWrap w:val="0"/>
        <w:overflowPunct/>
        <w:bidi w:val="0"/>
        <w:spacing w:line="276" w:lineRule="auto"/>
        <w:ind w:left="1017" w:leftChars="339" w:hanging="306" w:hangingChars="14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b/>
          <w:color w:val="auto"/>
          <w:szCs w:val="21"/>
          <w:highlight w:val="none"/>
        </w:rPr>
        <w:t>如采购需求或评审条款要求提供用户评价，请依照此表格式自制《类似项目业绩用户评价表》，并按项目逐一附业主评价材料（需业主单位盖章）扫描件</w:t>
      </w:r>
      <w:r>
        <w:rPr>
          <w:rFonts w:hint="eastAsia" w:ascii="宋体" w:hAnsi="宋体" w:eastAsia="宋体" w:cs="宋体"/>
          <w:color w:val="auto"/>
          <w:szCs w:val="21"/>
          <w:highlight w:val="none"/>
        </w:rPr>
        <w:t>。</w:t>
      </w:r>
    </w:p>
    <w:p w14:paraId="353FFDE9">
      <w:pPr>
        <w:pageBreakBefore w:val="0"/>
        <w:widowControl w:val="0"/>
        <w:kinsoku/>
        <w:wordWrap w:val="0"/>
        <w:overflowPunct/>
        <w:bidi w:val="0"/>
        <w:spacing w:line="276" w:lineRule="auto"/>
        <w:ind w:firstLine="630" w:firstLineChars="300"/>
        <w:rPr>
          <w:rFonts w:hint="eastAsia" w:ascii="宋体" w:hAnsi="宋体" w:eastAsia="宋体" w:cs="宋体"/>
          <w:color w:val="auto"/>
          <w:szCs w:val="21"/>
          <w:highlight w:val="none"/>
        </w:rPr>
      </w:pPr>
    </w:p>
    <w:p w14:paraId="4CD335A0">
      <w:pPr>
        <w:pageBreakBefore w:val="0"/>
        <w:widowControl w:val="0"/>
        <w:kinsoku/>
        <w:wordWrap w:val="0"/>
        <w:overflowPunct/>
        <w:bidi w:val="0"/>
        <w:spacing w:line="276" w:lineRule="auto"/>
        <w:ind w:firstLine="630" w:firstLineChars="300"/>
        <w:rPr>
          <w:rFonts w:hint="eastAsia" w:ascii="宋体" w:hAnsi="宋体" w:eastAsia="宋体" w:cs="宋体"/>
          <w:color w:val="auto"/>
          <w:szCs w:val="21"/>
          <w:highlight w:val="none"/>
        </w:rPr>
      </w:pPr>
    </w:p>
    <w:p w14:paraId="057C72F9">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rPr>
        <w:t>投标人名称（公章）：</w:t>
      </w:r>
    </w:p>
    <w:p w14:paraId="23936CA9">
      <w:pPr>
        <w:pageBreakBefore w:val="0"/>
        <w:widowControl w:val="0"/>
        <w:kinsoku/>
        <w:wordWrap w:val="0"/>
        <w:overflowPunct/>
        <w:bidi w:val="0"/>
        <w:spacing w:before="100" w:beforeAutospacing="1" w:after="100" w:afterAutospacing="1" w:line="276" w:lineRule="auto"/>
        <w:ind w:firstLine="2902" w:firstLineChars="1382"/>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日期</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年月日</w:t>
      </w:r>
    </w:p>
    <w:p w14:paraId="49157E4F">
      <w:pPr>
        <w:pStyle w:val="34"/>
        <w:pageBreakBefore w:val="0"/>
        <w:widowControl w:val="0"/>
        <w:numPr>
          <w:ilvl w:val="0"/>
          <w:numId w:val="55"/>
        </w:numPr>
        <w:kinsoku/>
        <w:wordWrap w:val="0"/>
        <w:overflowPunct/>
        <w:bidi w:val="0"/>
        <w:spacing w:line="276" w:lineRule="auto"/>
        <w:ind w:firstLineChars="0"/>
        <w:outlineLvl w:val="2"/>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br w:type="page"/>
      </w:r>
      <w:r>
        <w:rPr>
          <w:rFonts w:hint="eastAsia" w:ascii="宋体" w:hAnsi="宋体" w:eastAsia="宋体" w:cs="宋体"/>
          <w:color w:val="auto"/>
          <w:szCs w:val="21"/>
          <w:highlight w:val="none"/>
        </w:rPr>
        <w:t>技术、服务及商务文件</w:t>
      </w:r>
    </w:p>
    <w:p w14:paraId="46DC8820">
      <w:pPr>
        <w:pageBreakBefore w:val="0"/>
        <w:widowControl w:val="0"/>
        <w:kinsoku/>
        <w:wordWrap w:val="0"/>
        <w:overflowPunct/>
        <w:autoSpaceDE w:val="0"/>
        <w:autoSpaceDN w:val="0"/>
        <w:bidi w:val="0"/>
        <w:adjustRightInd w:val="0"/>
        <w:spacing w:before="156" w:beforeLines="50" w:after="156" w:afterLines="50" w:line="276" w:lineRule="auto"/>
        <w:jc w:val="center"/>
        <w:rPr>
          <w:rFonts w:hint="eastAsia" w:ascii="宋体" w:hAnsi="宋体" w:eastAsia="宋体" w:cs="宋体"/>
          <w:b/>
          <w:color w:val="auto"/>
          <w:kern w:val="0"/>
          <w:szCs w:val="21"/>
          <w:highlight w:val="none"/>
        </w:rPr>
      </w:pPr>
      <w:r>
        <w:rPr>
          <w:rFonts w:hint="eastAsia" w:ascii="宋体" w:hAnsi="宋体" w:eastAsia="宋体" w:cs="宋体"/>
          <w:b/>
          <w:color w:val="auto"/>
          <w:szCs w:val="21"/>
          <w:highlight w:val="none"/>
        </w:rPr>
        <w:t>技术、服务及商务文件</w:t>
      </w:r>
    </w:p>
    <w:p w14:paraId="256FE22C">
      <w:pPr>
        <w:pageBreakBefore w:val="0"/>
        <w:widowControl w:val="0"/>
        <w:kinsoku/>
        <w:wordWrap w:val="0"/>
        <w:overflowPunct/>
        <w:autoSpaceDE w:val="0"/>
        <w:autoSpaceDN w:val="0"/>
        <w:bidi w:val="0"/>
        <w:adjustRightInd w:val="0"/>
        <w:rPr>
          <w:rFonts w:hint="eastAsia" w:ascii="宋体" w:hAnsi="宋体" w:eastAsia="宋体" w:cs="宋体"/>
          <w:color w:val="auto"/>
          <w:kern w:val="0"/>
          <w:szCs w:val="21"/>
          <w:highlight w:val="none"/>
        </w:rPr>
      </w:pPr>
    </w:p>
    <w:p w14:paraId="3F2158CB">
      <w:pPr>
        <w:pageBreakBefore w:val="0"/>
        <w:widowControl w:val="0"/>
        <w:kinsoku/>
        <w:wordWrap w:val="0"/>
        <w:overflowPunct/>
        <w:autoSpaceDE w:val="0"/>
        <w:autoSpaceDN w:val="0"/>
        <w:bidi w:val="0"/>
        <w:adjustRightInd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（一）由投标人根据第三章技术、服务及商务要求自行编写，格式自拟</w:t>
      </w:r>
    </w:p>
    <w:p w14:paraId="38583DC7">
      <w:pPr>
        <w:pageBreakBefore w:val="0"/>
        <w:widowControl w:val="0"/>
        <w:kinsoku/>
        <w:wordWrap w:val="0"/>
        <w:overflowPunct/>
        <w:autoSpaceDE w:val="0"/>
        <w:autoSpaceDN w:val="0"/>
        <w:bidi w:val="0"/>
        <w:adjustRightInd w:val="0"/>
        <w:ind w:firstLine="420" w:firstLineChars="200"/>
        <w:rPr>
          <w:rFonts w:hint="eastAsia" w:ascii="宋体" w:hAnsi="宋体" w:eastAsia="宋体" w:cs="宋体"/>
          <w:bCs/>
          <w:color w:val="auto"/>
          <w:kern w:val="0"/>
          <w:szCs w:val="21"/>
          <w:highlight w:val="none"/>
        </w:rPr>
      </w:pPr>
    </w:p>
    <w:p w14:paraId="0CB844AB">
      <w:pPr>
        <w:pageBreakBefore w:val="0"/>
        <w:widowControl w:val="0"/>
        <w:kinsoku/>
        <w:wordWrap w:val="0"/>
        <w:overflowPunct/>
        <w:autoSpaceDE w:val="0"/>
        <w:autoSpaceDN w:val="0"/>
        <w:bidi w:val="0"/>
        <w:adjustRightInd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（二）招标文件要求或投标人认为需提供的其他材料或情况说明（如有）</w:t>
      </w:r>
    </w:p>
    <w:p w14:paraId="47793887">
      <w:pPr>
        <w:pageBreakBefore w:val="0"/>
        <w:widowControl w:val="0"/>
        <w:kinsoku/>
        <w:wordWrap w:val="0"/>
        <w:overflowPunct/>
        <w:bidi w:val="0"/>
        <w:jc w:val="left"/>
        <w:rPr>
          <w:rFonts w:hint="eastAsia" w:ascii="宋体" w:hAnsi="宋体" w:eastAsia="宋体" w:cs="宋体"/>
          <w:bCs/>
          <w:color w:val="auto"/>
          <w:szCs w:val="21"/>
          <w:highlight w:val="none"/>
        </w:rPr>
      </w:pPr>
    </w:p>
    <w:sectPr>
      <w:pgSz w:w="11906" w:h="16838"/>
      <w:pgMar w:top="1134" w:right="1191" w:bottom="1134" w:left="1191" w:header="851" w:footer="624"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Segoe UI Symbol">
    <w:panose1 w:val="020B0502040204020203"/>
    <w:charset w:val="00"/>
    <w:family w:val="swiss"/>
    <w:pitch w:val="default"/>
    <w:sig w:usb0="800001E3" w:usb1="1200FFEF" w:usb2="00040000" w:usb3="04000000" w:csb0="00000001" w:csb1="4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745BF">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6EEA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3995C">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43A4A">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AD43A4A">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F4BBC">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2D735">
                          <w:pPr>
                            <w:pStyle w:val="13"/>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6F2D735">
                    <w:pPr>
                      <w:pStyle w:val="13"/>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C32F7">
    <w:pPr>
      <w:ind w:left="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6BBFA">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E6425">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5AFFFD"/>
    <w:multiLevelType w:val="multilevel"/>
    <w:tmpl w:val="9E5AFFFD"/>
    <w:lvl w:ilvl="0" w:tentative="0">
      <w:start w:val="1"/>
      <w:numFmt w:val="decimal"/>
      <w:suff w:val="nothing"/>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
    <w:nsid w:val="AAE5BFAE"/>
    <w:multiLevelType w:val="multilevel"/>
    <w:tmpl w:val="AAE5BFAE"/>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E736C765"/>
    <w:multiLevelType w:val="multilevel"/>
    <w:tmpl w:val="E736C765"/>
    <w:lvl w:ilvl="0" w:tentative="0">
      <w:start w:val="1"/>
      <w:numFmt w:val="decimal"/>
      <w:lvlText w:val="%1"/>
      <w:lvlJc w:val="center"/>
      <w:pPr>
        <w:ind w:left="420" w:hanging="420"/>
      </w:pPr>
      <w:rPr>
        <w:rFonts w:hint="default" w:ascii="Times New Roman" w:hAnsi="Times New Roman" w:cs="Times New Roman"/>
        <w:b w:val="0"/>
        <w:i w:val="0"/>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
    <w:nsid w:val="E7DBF4ED"/>
    <w:multiLevelType w:val="multilevel"/>
    <w:tmpl w:val="E7DBF4ED"/>
    <w:lvl w:ilvl="0" w:tentative="0">
      <w:start w:val="1"/>
      <w:numFmt w:val="decimal"/>
      <w:suff w:val="nothing"/>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7">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8">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9">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1">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7">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326D6BE"/>
    <w:multiLevelType w:val="multilevel"/>
    <w:tmpl w:val="2326D6BE"/>
    <w:lvl w:ilvl="0" w:tentative="0">
      <w:start w:val="1"/>
      <w:numFmt w:val="decimal"/>
      <w:suff w:val="nothing"/>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0">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2">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7">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9">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4">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6">
    <w:nsid w:val="4DE22EB8"/>
    <w:multiLevelType w:val="multilevel"/>
    <w:tmpl w:val="4DE22EB8"/>
    <w:lvl w:ilvl="0" w:tentative="0">
      <w:start w:val="1"/>
      <w:numFmt w:val="decimal"/>
      <w:suff w:val="nothing"/>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7">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1">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2">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3">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60CDA8E4"/>
    <w:multiLevelType w:val="multilevel"/>
    <w:tmpl w:val="60CDA8E4"/>
    <w:lvl w:ilvl="0" w:tentative="0">
      <w:start w:val="1"/>
      <w:numFmt w:val="decimal"/>
      <w:suff w:val="nothing"/>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46">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8">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1">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58">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5"/>
    <w:lvlOverride w:ilvl="0">
      <w:startOverride w:val="1"/>
    </w:lvlOverride>
  </w:num>
  <w:num w:numId="2">
    <w:abstractNumId w:val="31"/>
    <w:lvlOverride w:ilvl="0">
      <w:startOverride w:val="1"/>
    </w:lvlOverride>
  </w:num>
  <w:num w:numId="3">
    <w:abstractNumId w:val="17"/>
    <w:lvlOverride w:ilvl="0">
      <w:startOverride w:val="1"/>
    </w:lvlOverride>
  </w:num>
  <w:num w:numId="4">
    <w:abstractNumId w:val="9"/>
    <w:lvlOverride w:ilvl="0">
      <w:startOverride w:val="1"/>
    </w:lvlOverride>
  </w:num>
  <w:num w:numId="5">
    <w:abstractNumId w:val="47"/>
  </w:num>
  <w:num w:numId="6">
    <w:abstractNumId w:val="29"/>
    <w:lvlOverride w:ilvl="0">
      <w:startOverride w:val="1"/>
    </w:lvlOverride>
  </w:num>
  <w:num w:numId="7">
    <w:abstractNumId w:val="40"/>
    <w:lvlOverride w:ilvl="0">
      <w:startOverride w:val="1"/>
    </w:lvlOverride>
  </w:num>
  <w:num w:numId="8">
    <w:abstractNumId w:val="28"/>
    <w:lvlOverride w:ilvl="0">
      <w:startOverride w:val="1"/>
    </w:lvlOverride>
  </w:num>
  <w:num w:numId="9">
    <w:abstractNumId w:val="8"/>
    <w:lvlOverride w:ilvl="0">
      <w:startOverride w:val="1"/>
    </w:lvlOverride>
  </w:num>
  <w:num w:numId="10">
    <w:abstractNumId w:val="57"/>
    <w:lvlOverride w:ilvl="0">
      <w:startOverride w:val="1"/>
    </w:lvlOverride>
  </w:num>
  <w:num w:numId="11">
    <w:abstractNumId w:val="26"/>
  </w:num>
  <w:num w:numId="12">
    <w:abstractNumId w:val="23"/>
    <w:lvlOverride w:ilvl="0">
      <w:startOverride w:val="1"/>
    </w:lvlOverride>
  </w:num>
  <w:num w:numId="13">
    <w:abstractNumId w:val="24"/>
    <w:lvlOverride w:ilvl="0">
      <w:startOverride w:val="1"/>
    </w:lvlOverride>
  </w:num>
  <w:num w:numId="14">
    <w:abstractNumId w:val="51"/>
    <w:lvlOverride w:ilvl="0">
      <w:startOverride w:val="1"/>
    </w:lvlOverride>
  </w:num>
  <w:num w:numId="15">
    <w:abstractNumId w:val="32"/>
    <w:lvlOverride w:ilvl="0">
      <w:startOverride w:val="1"/>
    </w:lvlOverride>
  </w:num>
  <w:num w:numId="16">
    <w:abstractNumId w:val="13"/>
    <w:lvlOverride w:ilvl="0">
      <w:startOverride w:val="1"/>
    </w:lvlOverride>
  </w:num>
  <w:num w:numId="17">
    <w:abstractNumId w:val="55"/>
    <w:lvlOverride w:ilvl="0">
      <w:startOverride w:val="1"/>
    </w:lvlOverride>
  </w:num>
  <w:num w:numId="18">
    <w:abstractNumId w:val="34"/>
    <w:lvlOverride w:ilvl="0">
      <w:startOverride w:val="1"/>
    </w:lvlOverride>
  </w:num>
  <w:num w:numId="19">
    <w:abstractNumId w:val="10"/>
    <w:lvlOverride w:ilvl="0">
      <w:startOverride w:val="1"/>
    </w:lvlOverride>
  </w:num>
  <w:num w:numId="20">
    <w:abstractNumId w:val="7"/>
  </w:num>
  <w:num w:numId="21">
    <w:abstractNumId w:val="15"/>
    <w:lvlOverride w:ilvl="0">
      <w:startOverride w:val="1"/>
    </w:lvlOverride>
  </w:num>
  <w:num w:numId="22">
    <w:abstractNumId w:val="35"/>
  </w:num>
  <w:num w:numId="23">
    <w:abstractNumId w:val="33"/>
  </w:num>
  <w:num w:numId="24">
    <w:abstractNumId w:val="38"/>
  </w:num>
  <w:num w:numId="25">
    <w:abstractNumId w:val="53"/>
  </w:num>
  <w:num w:numId="26">
    <w:abstractNumId w:val="56"/>
  </w:num>
  <w:num w:numId="27">
    <w:abstractNumId w:val="37"/>
  </w:num>
  <w:num w:numId="28">
    <w:abstractNumId w:val="12"/>
  </w:num>
  <w:num w:numId="29">
    <w:abstractNumId w:val="6"/>
  </w:num>
  <w:num w:numId="30">
    <w:abstractNumId w:val="54"/>
  </w:num>
  <w:num w:numId="31">
    <w:abstractNumId w:val="48"/>
  </w:num>
  <w:num w:numId="32">
    <w:abstractNumId w:val="41"/>
  </w:num>
  <w:num w:numId="33">
    <w:abstractNumId w:val="46"/>
  </w:num>
  <w:num w:numId="34">
    <w:abstractNumId w:val="52"/>
  </w:num>
  <w:num w:numId="35">
    <w:abstractNumId w:val="25"/>
  </w:num>
  <w:num w:numId="36">
    <w:abstractNumId w:val="49"/>
  </w:num>
  <w:num w:numId="37">
    <w:abstractNumId w:val="4"/>
  </w:num>
  <w:num w:numId="38">
    <w:abstractNumId w:val="39"/>
    <w:lvlOverride w:ilvl="0">
      <w:startOverride w:val="1"/>
    </w:lvlOverride>
  </w:num>
  <w:num w:numId="39">
    <w:abstractNumId w:val="14"/>
  </w:num>
  <w:num w:numId="40">
    <w:abstractNumId w:val="11"/>
  </w:num>
  <w:num w:numId="41">
    <w:abstractNumId w:val="27"/>
  </w:num>
  <w:num w:numId="42">
    <w:abstractNumId w:val="20"/>
  </w:num>
  <w:num w:numId="43">
    <w:abstractNumId w:val="42"/>
  </w:num>
  <w:num w:numId="44">
    <w:abstractNumId w:val="30"/>
    <w:lvlOverride w:ilvl="0">
      <w:startOverride w:val="1"/>
    </w:lvlOverride>
  </w:num>
  <w:num w:numId="45">
    <w:abstractNumId w:val="19"/>
    <w:lvlOverride w:ilvl="0">
      <w:startOverride w:val="1"/>
    </w:lvlOverride>
  </w:num>
  <w:num w:numId="46">
    <w:abstractNumId w:val="44"/>
  </w:num>
  <w:num w:numId="47">
    <w:abstractNumId w:val="58"/>
    <w:lvlOverride w:ilvl="0">
      <w:startOverride w:val="1"/>
    </w:lvlOverride>
  </w:num>
  <w:num w:numId="48">
    <w:abstractNumId w:val="21"/>
    <w:lvlOverride w:ilvl="0">
      <w:startOverride w:val="1"/>
    </w:lvlOverride>
  </w:num>
  <w:num w:numId="49">
    <w:abstractNumId w:val="0"/>
  </w:num>
  <w:num w:numId="50">
    <w:abstractNumId w:val="16"/>
  </w:num>
  <w:num w:numId="51">
    <w:abstractNumId w:val="45"/>
  </w:num>
  <w:num w:numId="52">
    <w:abstractNumId w:val="36"/>
  </w:num>
  <w:num w:numId="53">
    <w:abstractNumId w:val="2"/>
  </w:num>
  <w:num w:numId="54">
    <w:abstractNumId w:val="3"/>
  </w:num>
  <w:num w:numId="55">
    <w:abstractNumId w:val="18"/>
  </w:num>
  <w:num w:numId="56">
    <w:abstractNumId w:val="1"/>
  </w:num>
  <w:num w:numId="57">
    <w:abstractNumId w:val="22"/>
    <w:lvlOverride w:ilvl="0">
      <w:startOverride w:val="1"/>
    </w:lvlOverride>
  </w:num>
  <w:num w:numId="58">
    <w:abstractNumId w:val="43"/>
    <w:lvlOverride w:ilvl="0">
      <w:startOverride w:val="1"/>
    </w:lvlOverride>
  </w:num>
  <w:num w:numId="59">
    <w:abstractNumId w:val="5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dit="readOnly"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yYzQ4OWViMzk4MGExNjNhODlhNjdhNmE1ZDRmMTgifQ=="/>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E54C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2E7B"/>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A60"/>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5481"/>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06C"/>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2D44"/>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194ED0"/>
    <w:rsid w:val="012313A8"/>
    <w:rsid w:val="01534B98"/>
    <w:rsid w:val="016142C0"/>
    <w:rsid w:val="01635C49"/>
    <w:rsid w:val="017801F8"/>
    <w:rsid w:val="018F6A3E"/>
    <w:rsid w:val="01AC3B46"/>
    <w:rsid w:val="01F94DA0"/>
    <w:rsid w:val="01FC2DC5"/>
    <w:rsid w:val="01FF3BC3"/>
    <w:rsid w:val="01FF4024"/>
    <w:rsid w:val="02331ABF"/>
    <w:rsid w:val="024506A0"/>
    <w:rsid w:val="024F096D"/>
    <w:rsid w:val="025D4742"/>
    <w:rsid w:val="02693733"/>
    <w:rsid w:val="02747B03"/>
    <w:rsid w:val="02A7118B"/>
    <w:rsid w:val="02C40969"/>
    <w:rsid w:val="02DA63DE"/>
    <w:rsid w:val="02E06668"/>
    <w:rsid w:val="02EA1C73"/>
    <w:rsid w:val="032B6C3A"/>
    <w:rsid w:val="033779C9"/>
    <w:rsid w:val="034735DC"/>
    <w:rsid w:val="03730246"/>
    <w:rsid w:val="037B196F"/>
    <w:rsid w:val="038C592B"/>
    <w:rsid w:val="03912F41"/>
    <w:rsid w:val="03E52ED2"/>
    <w:rsid w:val="03EE3EEF"/>
    <w:rsid w:val="048605CC"/>
    <w:rsid w:val="04893C18"/>
    <w:rsid w:val="049A7F93"/>
    <w:rsid w:val="04A41D53"/>
    <w:rsid w:val="04C3537C"/>
    <w:rsid w:val="04E867A9"/>
    <w:rsid w:val="050A6BEA"/>
    <w:rsid w:val="05111273"/>
    <w:rsid w:val="05263F75"/>
    <w:rsid w:val="05374EAB"/>
    <w:rsid w:val="05513798"/>
    <w:rsid w:val="056A49B4"/>
    <w:rsid w:val="05872E7F"/>
    <w:rsid w:val="05906A06"/>
    <w:rsid w:val="059705B7"/>
    <w:rsid w:val="05A54A82"/>
    <w:rsid w:val="05AD1B88"/>
    <w:rsid w:val="05D435B9"/>
    <w:rsid w:val="05F6248C"/>
    <w:rsid w:val="05FD48BE"/>
    <w:rsid w:val="06147E59"/>
    <w:rsid w:val="062F259D"/>
    <w:rsid w:val="06475DB7"/>
    <w:rsid w:val="064A75E8"/>
    <w:rsid w:val="067304F4"/>
    <w:rsid w:val="06930D7E"/>
    <w:rsid w:val="06A74829"/>
    <w:rsid w:val="06AB431A"/>
    <w:rsid w:val="06AE6F96"/>
    <w:rsid w:val="06B21EC2"/>
    <w:rsid w:val="06C62F02"/>
    <w:rsid w:val="06CE1DB6"/>
    <w:rsid w:val="06F85085"/>
    <w:rsid w:val="075F6EB2"/>
    <w:rsid w:val="07AD5E6F"/>
    <w:rsid w:val="07AF7E3A"/>
    <w:rsid w:val="07DB1569"/>
    <w:rsid w:val="07E37AE3"/>
    <w:rsid w:val="07E83A6F"/>
    <w:rsid w:val="07EA2B8B"/>
    <w:rsid w:val="080F6B2A"/>
    <w:rsid w:val="082A3964"/>
    <w:rsid w:val="083357BB"/>
    <w:rsid w:val="084073BC"/>
    <w:rsid w:val="084E7652"/>
    <w:rsid w:val="08512BCB"/>
    <w:rsid w:val="08591D90"/>
    <w:rsid w:val="08624EAC"/>
    <w:rsid w:val="08BE2639"/>
    <w:rsid w:val="08CE1E54"/>
    <w:rsid w:val="092C7268"/>
    <w:rsid w:val="09523172"/>
    <w:rsid w:val="095852CB"/>
    <w:rsid w:val="099A53BF"/>
    <w:rsid w:val="099C2DD2"/>
    <w:rsid w:val="099E26EF"/>
    <w:rsid w:val="09CA622A"/>
    <w:rsid w:val="09D65B51"/>
    <w:rsid w:val="09D749CF"/>
    <w:rsid w:val="09F81D35"/>
    <w:rsid w:val="0A073F5D"/>
    <w:rsid w:val="0A56459C"/>
    <w:rsid w:val="0A6D371E"/>
    <w:rsid w:val="0A79472F"/>
    <w:rsid w:val="0A8F5D00"/>
    <w:rsid w:val="0A9B28F7"/>
    <w:rsid w:val="0AC509D7"/>
    <w:rsid w:val="0AC77248"/>
    <w:rsid w:val="0AC97464"/>
    <w:rsid w:val="0AD8183D"/>
    <w:rsid w:val="0AE14EF2"/>
    <w:rsid w:val="0AE61DC4"/>
    <w:rsid w:val="0B1F3CE3"/>
    <w:rsid w:val="0B41349E"/>
    <w:rsid w:val="0B676BA6"/>
    <w:rsid w:val="0B6C5181"/>
    <w:rsid w:val="0B8E0B32"/>
    <w:rsid w:val="0BA80AA0"/>
    <w:rsid w:val="0BDB744F"/>
    <w:rsid w:val="0C077986"/>
    <w:rsid w:val="0C362A05"/>
    <w:rsid w:val="0C3721AC"/>
    <w:rsid w:val="0C6E02C3"/>
    <w:rsid w:val="0D193955"/>
    <w:rsid w:val="0D4B23B2"/>
    <w:rsid w:val="0D6C2329"/>
    <w:rsid w:val="0D7A2C98"/>
    <w:rsid w:val="0D9A1368"/>
    <w:rsid w:val="0DA371D4"/>
    <w:rsid w:val="0DB8731C"/>
    <w:rsid w:val="0DBC505E"/>
    <w:rsid w:val="0DD431BD"/>
    <w:rsid w:val="0DF82B4B"/>
    <w:rsid w:val="0DFF4F4B"/>
    <w:rsid w:val="0E0B11FA"/>
    <w:rsid w:val="0E4D120A"/>
    <w:rsid w:val="0E533F26"/>
    <w:rsid w:val="0E54415D"/>
    <w:rsid w:val="0E8536A2"/>
    <w:rsid w:val="0E8C3DFD"/>
    <w:rsid w:val="0E974543"/>
    <w:rsid w:val="0EAB2494"/>
    <w:rsid w:val="0EAD49A7"/>
    <w:rsid w:val="0EFF581D"/>
    <w:rsid w:val="0F0323B9"/>
    <w:rsid w:val="0FBF64FF"/>
    <w:rsid w:val="0FC93A62"/>
    <w:rsid w:val="0FFC5BE6"/>
    <w:rsid w:val="1023280A"/>
    <w:rsid w:val="104F55CF"/>
    <w:rsid w:val="1066305F"/>
    <w:rsid w:val="109D55A3"/>
    <w:rsid w:val="10B44F38"/>
    <w:rsid w:val="10D206F5"/>
    <w:rsid w:val="10FB7C4C"/>
    <w:rsid w:val="111451B1"/>
    <w:rsid w:val="114A2C81"/>
    <w:rsid w:val="114C73CD"/>
    <w:rsid w:val="1158509E"/>
    <w:rsid w:val="115C1832"/>
    <w:rsid w:val="11823EC9"/>
    <w:rsid w:val="11897E9C"/>
    <w:rsid w:val="11BA0512"/>
    <w:rsid w:val="11C11984"/>
    <w:rsid w:val="11C26472"/>
    <w:rsid w:val="11E626AA"/>
    <w:rsid w:val="125A4E46"/>
    <w:rsid w:val="125C0160"/>
    <w:rsid w:val="12744159"/>
    <w:rsid w:val="127A56D7"/>
    <w:rsid w:val="13135720"/>
    <w:rsid w:val="13456767"/>
    <w:rsid w:val="135D2E40"/>
    <w:rsid w:val="1363745F"/>
    <w:rsid w:val="13682985"/>
    <w:rsid w:val="138660D7"/>
    <w:rsid w:val="13B65166"/>
    <w:rsid w:val="13C67017"/>
    <w:rsid w:val="13D061C6"/>
    <w:rsid w:val="13D63869"/>
    <w:rsid w:val="14240D59"/>
    <w:rsid w:val="14361A0C"/>
    <w:rsid w:val="143A0A8B"/>
    <w:rsid w:val="14553B17"/>
    <w:rsid w:val="146938CB"/>
    <w:rsid w:val="14972381"/>
    <w:rsid w:val="14B922F8"/>
    <w:rsid w:val="14EA67C6"/>
    <w:rsid w:val="15333C21"/>
    <w:rsid w:val="15415E49"/>
    <w:rsid w:val="156F1F39"/>
    <w:rsid w:val="15715660"/>
    <w:rsid w:val="15A12BAA"/>
    <w:rsid w:val="15DA0B6C"/>
    <w:rsid w:val="15DB629E"/>
    <w:rsid w:val="15F1161D"/>
    <w:rsid w:val="161A2AAB"/>
    <w:rsid w:val="16225C7A"/>
    <w:rsid w:val="16260CA4"/>
    <w:rsid w:val="16565924"/>
    <w:rsid w:val="165825D9"/>
    <w:rsid w:val="16784C85"/>
    <w:rsid w:val="168416E5"/>
    <w:rsid w:val="16907088"/>
    <w:rsid w:val="16A61AD4"/>
    <w:rsid w:val="16D85DA7"/>
    <w:rsid w:val="172A4DE7"/>
    <w:rsid w:val="1738335E"/>
    <w:rsid w:val="17416D43"/>
    <w:rsid w:val="17872239"/>
    <w:rsid w:val="179C611D"/>
    <w:rsid w:val="17A27073"/>
    <w:rsid w:val="17A74689"/>
    <w:rsid w:val="17A77336"/>
    <w:rsid w:val="17AE3C6A"/>
    <w:rsid w:val="17B12A65"/>
    <w:rsid w:val="17BD3EAD"/>
    <w:rsid w:val="17EE4B9F"/>
    <w:rsid w:val="180A596F"/>
    <w:rsid w:val="18216B7B"/>
    <w:rsid w:val="183C0883"/>
    <w:rsid w:val="18475E6C"/>
    <w:rsid w:val="18510A99"/>
    <w:rsid w:val="18577FBA"/>
    <w:rsid w:val="189B3AC2"/>
    <w:rsid w:val="18B81C5A"/>
    <w:rsid w:val="18C96881"/>
    <w:rsid w:val="18CE7F52"/>
    <w:rsid w:val="18D23E29"/>
    <w:rsid w:val="18D72D4C"/>
    <w:rsid w:val="18E216F1"/>
    <w:rsid w:val="193957B5"/>
    <w:rsid w:val="19461C80"/>
    <w:rsid w:val="19593CDE"/>
    <w:rsid w:val="195F08E7"/>
    <w:rsid w:val="196842EC"/>
    <w:rsid w:val="19744A3F"/>
    <w:rsid w:val="19864B7A"/>
    <w:rsid w:val="19914926"/>
    <w:rsid w:val="19C31523"/>
    <w:rsid w:val="1A1678A4"/>
    <w:rsid w:val="1A4B1C44"/>
    <w:rsid w:val="1A515204"/>
    <w:rsid w:val="1A5F124B"/>
    <w:rsid w:val="1A735B84"/>
    <w:rsid w:val="1AAA2EB8"/>
    <w:rsid w:val="1ABF1CEA"/>
    <w:rsid w:val="1AD31C39"/>
    <w:rsid w:val="1AD82DAC"/>
    <w:rsid w:val="1B0B3181"/>
    <w:rsid w:val="1B0B4F2F"/>
    <w:rsid w:val="1B163BB6"/>
    <w:rsid w:val="1B2407E8"/>
    <w:rsid w:val="1B3F3C25"/>
    <w:rsid w:val="1B4A29CD"/>
    <w:rsid w:val="1B8A22F8"/>
    <w:rsid w:val="1BA55384"/>
    <w:rsid w:val="1BD0747C"/>
    <w:rsid w:val="1C0876C1"/>
    <w:rsid w:val="1C447849"/>
    <w:rsid w:val="1C48140E"/>
    <w:rsid w:val="1C4A6047"/>
    <w:rsid w:val="1C612932"/>
    <w:rsid w:val="1C744D1F"/>
    <w:rsid w:val="1C915908"/>
    <w:rsid w:val="1C9D31E1"/>
    <w:rsid w:val="1CC57360"/>
    <w:rsid w:val="1CD66CC2"/>
    <w:rsid w:val="1CF87735"/>
    <w:rsid w:val="1D305121"/>
    <w:rsid w:val="1D4540EC"/>
    <w:rsid w:val="1D510BB8"/>
    <w:rsid w:val="1D747BA4"/>
    <w:rsid w:val="1D874BDD"/>
    <w:rsid w:val="1D970CFC"/>
    <w:rsid w:val="1DA27B8E"/>
    <w:rsid w:val="1DA653E3"/>
    <w:rsid w:val="1DA65E17"/>
    <w:rsid w:val="1E177C71"/>
    <w:rsid w:val="1E244305"/>
    <w:rsid w:val="1E2F7187"/>
    <w:rsid w:val="1E5B7F7C"/>
    <w:rsid w:val="1E636E30"/>
    <w:rsid w:val="1E663172"/>
    <w:rsid w:val="1EA24558"/>
    <w:rsid w:val="1EAA4A5F"/>
    <w:rsid w:val="1EC649E5"/>
    <w:rsid w:val="1ED55F80"/>
    <w:rsid w:val="1EE61F3B"/>
    <w:rsid w:val="1F184345"/>
    <w:rsid w:val="1F394761"/>
    <w:rsid w:val="1F4450EC"/>
    <w:rsid w:val="1FAD4807"/>
    <w:rsid w:val="1FBC7130"/>
    <w:rsid w:val="1FE03198"/>
    <w:rsid w:val="2000527E"/>
    <w:rsid w:val="200D7C71"/>
    <w:rsid w:val="200E5E3C"/>
    <w:rsid w:val="201725C8"/>
    <w:rsid w:val="20761213"/>
    <w:rsid w:val="20F4376C"/>
    <w:rsid w:val="20FC097A"/>
    <w:rsid w:val="20FC3B24"/>
    <w:rsid w:val="214E201A"/>
    <w:rsid w:val="218918F9"/>
    <w:rsid w:val="219271EE"/>
    <w:rsid w:val="219274B9"/>
    <w:rsid w:val="219A0028"/>
    <w:rsid w:val="21A93F47"/>
    <w:rsid w:val="21B955C6"/>
    <w:rsid w:val="21BF6A73"/>
    <w:rsid w:val="21D0493E"/>
    <w:rsid w:val="21E81426"/>
    <w:rsid w:val="21ED6E3E"/>
    <w:rsid w:val="221072CF"/>
    <w:rsid w:val="222610E6"/>
    <w:rsid w:val="2250591D"/>
    <w:rsid w:val="228E694F"/>
    <w:rsid w:val="22966BAA"/>
    <w:rsid w:val="229B4DEB"/>
    <w:rsid w:val="22A84D71"/>
    <w:rsid w:val="22C407E5"/>
    <w:rsid w:val="22D64075"/>
    <w:rsid w:val="23061875"/>
    <w:rsid w:val="2318254F"/>
    <w:rsid w:val="231B417D"/>
    <w:rsid w:val="2330604E"/>
    <w:rsid w:val="234E6301"/>
    <w:rsid w:val="235B27CC"/>
    <w:rsid w:val="23720241"/>
    <w:rsid w:val="23B96F2C"/>
    <w:rsid w:val="23D77E84"/>
    <w:rsid w:val="23DF5A0F"/>
    <w:rsid w:val="23E12CD1"/>
    <w:rsid w:val="23E50EF8"/>
    <w:rsid w:val="240D3AC6"/>
    <w:rsid w:val="241A61E3"/>
    <w:rsid w:val="24572F93"/>
    <w:rsid w:val="246B4C91"/>
    <w:rsid w:val="24912949"/>
    <w:rsid w:val="24970470"/>
    <w:rsid w:val="249B0B95"/>
    <w:rsid w:val="24CA5E5B"/>
    <w:rsid w:val="24FE3706"/>
    <w:rsid w:val="250E1D79"/>
    <w:rsid w:val="25105EF7"/>
    <w:rsid w:val="252C4420"/>
    <w:rsid w:val="25537BFE"/>
    <w:rsid w:val="25A228CE"/>
    <w:rsid w:val="25B753DF"/>
    <w:rsid w:val="25BC13CB"/>
    <w:rsid w:val="25CB1E8B"/>
    <w:rsid w:val="25CC175F"/>
    <w:rsid w:val="25E140B7"/>
    <w:rsid w:val="25E46AA9"/>
    <w:rsid w:val="260A0E9D"/>
    <w:rsid w:val="261A38FC"/>
    <w:rsid w:val="26377520"/>
    <w:rsid w:val="26730F04"/>
    <w:rsid w:val="26773DC1"/>
    <w:rsid w:val="267C1A48"/>
    <w:rsid w:val="269F0C21"/>
    <w:rsid w:val="26E50D2A"/>
    <w:rsid w:val="270D202F"/>
    <w:rsid w:val="27325B22"/>
    <w:rsid w:val="275F496D"/>
    <w:rsid w:val="278D42B8"/>
    <w:rsid w:val="27DD2E79"/>
    <w:rsid w:val="27EF4E0D"/>
    <w:rsid w:val="282B09BF"/>
    <w:rsid w:val="283052D8"/>
    <w:rsid w:val="2838132E"/>
    <w:rsid w:val="285B3D6A"/>
    <w:rsid w:val="2869619A"/>
    <w:rsid w:val="28920A3E"/>
    <w:rsid w:val="28974D29"/>
    <w:rsid w:val="28C80903"/>
    <w:rsid w:val="28E31299"/>
    <w:rsid w:val="28EF7C3E"/>
    <w:rsid w:val="28F60FCD"/>
    <w:rsid w:val="2939710B"/>
    <w:rsid w:val="29485689"/>
    <w:rsid w:val="295D4698"/>
    <w:rsid w:val="296543A4"/>
    <w:rsid w:val="297840D8"/>
    <w:rsid w:val="297B001D"/>
    <w:rsid w:val="298760C9"/>
    <w:rsid w:val="29910CF5"/>
    <w:rsid w:val="29955C15"/>
    <w:rsid w:val="29995DFC"/>
    <w:rsid w:val="299C4822"/>
    <w:rsid w:val="299E3412"/>
    <w:rsid w:val="29AE7AF9"/>
    <w:rsid w:val="29C4731D"/>
    <w:rsid w:val="2A33625A"/>
    <w:rsid w:val="2A7E2457"/>
    <w:rsid w:val="2AB033FD"/>
    <w:rsid w:val="2ACD2201"/>
    <w:rsid w:val="2AD25A1D"/>
    <w:rsid w:val="2AD83F7C"/>
    <w:rsid w:val="2AE65EE2"/>
    <w:rsid w:val="2AF1417B"/>
    <w:rsid w:val="2AF5002D"/>
    <w:rsid w:val="2AFA28CA"/>
    <w:rsid w:val="2B250618"/>
    <w:rsid w:val="2B752B15"/>
    <w:rsid w:val="2B852ADC"/>
    <w:rsid w:val="2BD1187D"/>
    <w:rsid w:val="2BD80E5D"/>
    <w:rsid w:val="2C1005F7"/>
    <w:rsid w:val="2C130C7C"/>
    <w:rsid w:val="2C1F6654"/>
    <w:rsid w:val="2C453860"/>
    <w:rsid w:val="2C46226B"/>
    <w:rsid w:val="2C4B7881"/>
    <w:rsid w:val="2C545002"/>
    <w:rsid w:val="2C583D4C"/>
    <w:rsid w:val="2C8B4122"/>
    <w:rsid w:val="2C931228"/>
    <w:rsid w:val="2CA12A32"/>
    <w:rsid w:val="2CB368C6"/>
    <w:rsid w:val="2CC215F0"/>
    <w:rsid w:val="2CE43832"/>
    <w:rsid w:val="2D160F26"/>
    <w:rsid w:val="2D2D6F87"/>
    <w:rsid w:val="2D342E0F"/>
    <w:rsid w:val="2D373F75"/>
    <w:rsid w:val="2D46091B"/>
    <w:rsid w:val="2D6942AF"/>
    <w:rsid w:val="2D7256F4"/>
    <w:rsid w:val="2D9708A4"/>
    <w:rsid w:val="2DA27975"/>
    <w:rsid w:val="2DBD655D"/>
    <w:rsid w:val="2DC85545"/>
    <w:rsid w:val="2DCC49F2"/>
    <w:rsid w:val="2DD90EBD"/>
    <w:rsid w:val="2E00644A"/>
    <w:rsid w:val="2E600924"/>
    <w:rsid w:val="2E6A7D67"/>
    <w:rsid w:val="2E7D3A6C"/>
    <w:rsid w:val="2E8E48BD"/>
    <w:rsid w:val="2E9359E6"/>
    <w:rsid w:val="2EC61441"/>
    <w:rsid w:val="2EF27E36"/>
    <w:rsid w:val="2EF5658A"/>
    <w:rsid w:val="2EFC1307"/>
    <w:rsid w:val="2F1039AD"/>
    <w:rsid w:val="2F3A65CB"/>
    <w:rsid w:val="2F61116A"/>
    <w:rsid w:val="2F6B3D97"/>
    <w:rsid w:val="2F77098D"/>
    <w:rsid w:val="2F8F5CD7"/>
    <w:rsid w:val="2F8F798E"/>
    <w:rsid w:val="2F9E4AD1"/>
    <w:rsid w:val="2FAF5689"/>
    <w:rsid w:val="2FB90FA6"/>
    <w:rsid w:val="2FCF2577"/>
    <w:rsid w:val="2FD80BBF"/>
    <w:rsid w:val="300079ED"/>
    <w:rsid w:val="300817B1"/>
    <w:rsid w:val="305B3E0B"/>
    <w:rsid w:val="30843362"/>
    <w:rsid w:val="30930AC3"/>
    <w:rsid w:val="30AB4053"/>
    <w:rsid w:val="30B26121"/>
    <w:rsid w:val="30C95219"/>
    <w:rsid w:val="30D42A97"/>
    <w:rsid w:val="314A45AB"/>
    <w:rsid w:val="3155354F"/>
    <w:rsid w:val="315E0E67"/>
    <w:rsid w:val="316513E5"/>
    <w:rsid w:val="31C12394"/>
    <w:rsid w:val="31C918C9"/>
    <w:rsid w:val="31E302DD"/>
    <w:rsid w:val="31F105F9"/>
    <w:rsid w:val="32004C6A"/>
    <w:rsid w:val="32006F4B"/>
    <w:rsid w:val="320D7387"/>
    <w:rsid w:val="322D17D7"/>
    <w:rsid w:val="322F72FD"/>
    <w:rsid w:val="323668DE"/>
    <w:rsid w:val="323D1A1A"/>
    <w:rsid w:val="32470AEB"/>
    <w:rsid w:val="325D20BC"/>
    <w:rsid w:val="326A5D92"/>
    <w:rsid w:val="32742A7C"/>
    <w:rsid w:val="327D776A"/>
    <w:rsid w:val="328F26AA"/>
    <w:rsid w:val="32AD22EC"/>
    <w:rsid w:val="32B12408"/>
    <w:rsid w:val="32C043F9"/>
    <w:rsid w:val="32C928EE"/>
    <w:rsid w:val="32D3264E"/>
    <w:rsid w:val="330662B0"/>
    <w:rsid w:val="33335EFB"/>
    <w:rsid w:val="338565CE"/>
    <w:rsid w:val="33C00B55"/>
    <w:rsid w:val="33C61EE3"/>
    <w:rsid w:val="33CA7A40"/>
    <w:rsid w:val="33DF6B01"/>
    <w:rsid w:val="341345D7"/>
    <w:rsid w:val="341E7629"/>
    <w:rsid w:val="342310E4"/>
    <w:rsid w:val="343E7CCC"/>
    <w:rsid w:val="34592D57"/>
    <w:rsid w:val="345B1D3C"/>
    <w:rsid w:val="34693998"/>
    <w:rsid w:val="347E631A"/>
    <w:rsid w:val="348953EB"/>
    <w:rsid w:val="34A57FC6"/>
    <w:rsid w:val="34B00F04"/>
    <w:rsid w:val="34BA1455"/>
    <w:rsid w:val="34E40873"/>
    <w:rsid w:val="34F271C2"/>
    <w:rsid w:val="350E58F0"/>
    <w:rsid w:val="351F5D4F"/>
    <w:rsid w:val="35262C3A"/>
    <w:rsid w:val="3538471B"/>
    <w:rsid w:val="35583DAF"/>
    <w:rsid w:val="35643762"/>
    <w:rsid w:val="35762582"/>
    <w:rsid w:val="359E1FAA"/>
    <w:rsid w:val="35B00E5D"/>
    <w:rsid w:val="35B35E56"/>
    <w:rsid w:val="35D54660"/>
    <w:rsid w:val="35DD334D"/>
    <w:rsid w:val="36015455"/>
    <w:rsid w:val="360B2D37"/>
    <w:rsid w:val="3617703B"/>
    <w:rsid w:val="36194C10"/>
    <w:rsid w:val="366D2B5C"/>
    <w:rsid w:val="36822566"/>
    <w:rsid w:val="36910587"/>
    <w:rsid w:val="36967543"/>
    <w:rsid w:val="36D30B9F"/>
    <w:rsid w:val="36DF5796"/>
    <w:rsid w:val="36E11F14"/>
    <w:rsid w:val="370C5E5F"/>
    <w:rsid w:val="371B60A2"/>
    <w:rsid w:val="372E04CB"/>
    <w:rsid w:val="37620175"/>
    <w:rsid w:val="37797999"/>
    <w:rsid w:val="379D15D1"/>
    <w:rsid w:val="37C130EE"/>
    <w:rsid w:val="37D24429"/>
    <w:rsid w:val="38085DDA"/>
    <w:rsid w:val="3830716D"/>
    <w:rsid w:val="385E26EA"/>
    <w:rsid w:val="386A5CFA"/>
    <w:rsid w:val="38B8629F"/>
    <w:rsid w:val="38C369F1"/>
    <w:rsid w:val="38CE5AC2"/>
    <w:rsid w:val="38E47848"/>
    <w:rsid w:val="38E928FC"/>
    <w:rsid w:val="38F92413"/>
    <w:rsid w:val="393C7C1B"/>
    <w:rsid w:val="39411685"/>
    <w:rsid w:val="394915ED"/>
    <w:rsid w:val="395979EF"/>
    <w:rsid w:val="39602BBD"/>
    <w:rsid w:val="397877DC"/>
    <w:rsid w:val="398F7860"/>
    <w:rsid w:val="39D709A6"/>
    <w:rsid w:val="39DA652D"/>
    <w:rsid w:val="39DC420F"/>
    <w:rsid w:val="39FE23D7"/>
    <w:rsid w:val="3A5F274A"/>
    <w:rsid w:val="3A717F41"/>
    <w:rsid w:val="3AA36ADA"/>
    <w:rsid w:val="3AA50AA5"/>
    <w:rsid w:val="3AAB15BC"/>
    <w:rsid w:val="3AB45295"/>
    <w:rsid w:val="3AB6680E"/>
    <w:rsid w:val="3AEA295B"/>
    <w:rsid w:val="3AF17846"/>
    <w:rsid w:val="3B175FE5"/>
    <w:rsid w:val="3B3A743F"/>
    <w:rsid w:val="3B6D0171"/>
    <w:rsid w:val="3B854432"/>
    <w:rsid w:val="3B9C1EA7"/>
    <w:rsid w:val="3BA05028"/>
    <w:rsid w:val="3BE253E0"/>
    <w:rsid w:val="3BE35F62"/>
    <w:rsid w:val="3BF05009"/>
    <w:rsid w:val="3C0E4427"/>
    <w:rsid w:val="3C4D3F01"/>
    <w:rsid w:val="3C7626F9"/>
    <w:rsid w:val="3C883773"/>
    <w:rsid w:val="3CAF6892"/>
    <w:rsid w:val="3D0F2205"/>
    <w:rsid w:val="3D115F7D"/>
    <w:rsid w:val="3D200EF0"/>
    <w:rsid w:val="3D271C45"/>
    <w:rsid w:val="3D566902"/>
    <w:rsid w:val="3D684A0B"/>
    <w:rsid w:val="3D7824A0"/>
    <w:rsid w:val="3D7A6602"/>
    <w:rsid w:val="3D840E45"/>
    <w:rsid w:val="3DBA4867"/>
    <w:rsid w:val="3DC01751"/>
    <w:rsid w:val="3DEB4A20"/>
    <w:rsid w:val="3DFF227A"/>
    <w:rsid w:val="3E1050C1"/>
    <w:rsid w:val="3E3D2DA2"/>
    <w:rsid w:val="3E3F6B3E"/>
    <w:rsid w:val="3E4B0DFA"/>
    <w:rsid w:val="3E560B7B"/>
    <w:rsid w:val="3E575ACD"/>
    <w:rsid w:val="3E734A16"/>
    <w:rsid w:val="3E9C514C"/>
    <w:rsid w:val="3EC63712"/>
    <w:rsid w:val="3ECA6D2C"/>
    <w:rsid w:val="3EEB27FE"/>
    <w:rsid w:val="3F340D5A"/>
    <w:rsid w:val="3F4C5993"/>
    <w:rsid w:val="3F672B2D"/>
    <w:rsid w:val="3F7647BE"/>
    <w:rsid w:val="3F7F7B16"/>
    <w:rsid w:val="3F910028"/>
    <w:rsid w:val="3F9B54CB"/>
    <w:rsid w:val="3FAC02A8"/>
    <w:rsid w:val="3FE257A6"/>
    <w:rsid w:val="3FF33612"/>
    <w:rsid w:val="4013200C"/>
    <w:rsid w:val="402661E4"/>
    <w:rsid w:val="403A57EB"/>
    <w:rsid w:val="40916E06"/>
    <w:rsid w:val="409E221E"/>
    <w:rsid w:val="40FC6557"/>
    <w:rsid w:val="412169AB"/>
    <w:rsid w:val="414508EB"/>
    <w:rsid w:val="41636FC4"/>
    <w:rsid w:val="416F45EC"/>
    <w:rsid w:val="41792343"/>
    <w:rsid w:val="41A0352A"/>
    <w:rsid w:val="41A43864"/>
    <w:rsid w:val="41A76EB0"/>
    <w:rsid w:val="41B24CC0"/>
    <w:rsid w:val="41EA4FEF"/>
    <w:rsid w:val="41EF2605"/>
    <w:rsid w:val="422B7AE1"/>
    <w:rsid w:val="42576B28"/>
    <w:rsid w:val="42884BB0"/>
    <w:rsid w:val="42BA70B7"/>
    <w:rsid w:val="42D55C9F"/>
    <w:rsid w:val="42DE4D32"/>
    <w:rsid w:val="43090ED8"/>
    <w:rsid w:val="430976F7"/>
    <w:rsid w:val="431016FC"/>
    <w:rsid w:val="4315253F"/>
    <w:rsid w:val="432B58BF"/>
    <w:rsid w:val="43791D39"/>
    <w:rsid w:val="43F123D7"/>
    <w:rsid w:val="44047066"/>
    <w:rsid w:val="44084F3F"/>
    <w:rsid w:val="44141B09"/>
    <w:rsid w:val="442B201A"/>
    <w:rsid w:val="4447497A"/>
    <w:rsid w:val="444E7AB7"/>
    <w:rsid w:val="44607359"/>
    <w:rsid w:val="44B47578"/>
    <w:rsid w:val="44B9585D"/>
    <w:rsid w:val="44C55DAB"/>
    <w:rsid w:val="44F468B0"/>
    <w:rsid w:val="44F52628"/>
    <w:rsid w:val="44FE19C0"/>
    <w:rsid w:val="45180523"/>
    <w:rsid w:val="45486BFC"/>
    <w:rsid w:val="456E6EBE"/>
    <w:rsid w:val="459534C4"/>
    <w:rsid w:val="459E05CA"/>
    <w:rsid w:val="45A310C8"/>
    <w:rsid w:val="45CA0CBD"/>
    <w:rsid w:val="45DD5596"/>
    <w:rsid w:val="45FB77CB"/>
    <w:rsid w:val="46235115"/>
    <w:rsid w:val="46480CB1"/>
    <w:rsid w:val="4649213E"/>
    <w:rsid w:val="46580004"/>
    <w:rsid w:val="46660FBE"/>
    <w:rsid w:val="468576EE"/>
    <w:rsid w:val="46A2233C"/>
    <w:rsid w:val="46AB11C4"/>
    <w:rsid w:val="46C10FD0"/>
    <w:rsid w:val="46CE4EDF"/>
    <w:rsid w:val="46F8008E"/>
    <w:rsid w:val="46FD71AF"/>
    <w:rsid w:val="472D7E58"/>
    <w:rsid w:val="47431429"/>
    <w:rsid w:val="4751250A"/>
    <w:rsid w:val="477A2D23"/>
    <w:rsid w:val="47983216"/>
    <w:rsid w:val="47B15672"/>
    <w:rsid w:val="47B40579"/>
    <w:rsid w:val="47D209FF"/>
    <w:rsid w:val="47FF6494"/>
    <w:rsid w:val="481A347D"/>
    <w:rsid w:val="48734A92"/>
    <w:rsid w:val="48761DFC"/>
    <w:rsid w:val="4910253C"/>
    <w:rsid w:val="49144199"/>
    <w:rsid w:val="494D658F"/>
    <w:rsid w:val="49636B2F"/>
    <w:rsid w:val="49641D12"/>
    <w:rsid w:val="497A30FC"/>
    <w:rsid w:val="498D1081"/>
    <w:rsid w:val="49E113CD"/>
    <w:rsid w:val="49FA09EC"/>
    <w:rsid w:val="4A236A07"/>
    <w:rsid w:val="4A2A4B22"/>
    <w:rsid w:val="4ABB6B0C"/>
    <w:rsid w:val="4ACA2AAD"/>
    <w:rsid w:val="4AD701AC"/>
    <w:rsid w:val="4AD93E52"/>
    <w:rsid w:val="4AEC627C"/>
    <w:rsid w:val="4AEE5B50"/>
    <w:rsid w:val="4AF576BE"/>
    <w:rsid w:val="4B3E6269"/>
    <w:rsid w:val="4B3F63AB"/>
    <w:rsid w:val="4B4C642F"/>
    <w:rsid w:val="4B4D0EEE"/>
    <w:rsid w:val="4B4E65EF"/>
    <w:rsid w:val="4B5B2467"/>
    <w:rsid w:val="4B6742F0"/>
    <w:rsid w:val="4B91641F"/>
    <w:rsid w:val="4B932C7D"/>
    <w:rsid w:val="4BCA036B"/>
    <w:rsid w:val="4BCD1FA2"/>
    <w:rsid w:val="4BF331F8"/>
    <w:rsid w:val="4C2D26A8"/>
    <w:rsid w:val="4C2F3698"/>
    <w:rsid w:val="4C334438"/>
    <w:rsid w:val="4C526B09"/>
    <w:rsid w:val="4C52710F"/>
    <w:rsid w:val="4C681932"/>
    <w:rsid w:val="4C6F2CC0"/>
    <w:rsid w:val="4C7D362F"/>
    <w:rsid w:val="4C886B9E"/>
    <w:rsid w:val="4C8A5D4C"/>
    <w:rsid w:val="4CCB297F"/>
    <w:rsid w:val="4CCC1EC1"/>
    <w:rsid w:val="4CD010C5"/>
    <w:rsid w:val="4CD174D7"/>
    <w:rsid w:val="4CD314A1"/>
    <w:rsid w:val="4CFB09F8"/>
    <w:rsid w:val="4CFB6302"/>
    <w:rsid w:val="4D20220D"/>
    <w:rsid w:val="4D471250"/>
    <w:rsid w:val="4D4A41CC"/>
    <w:rsid w:val="4D5325E2"/>
    <w:rsid w:val="4D5D0D6B"/>
    <w:rsid w:val="4D766704"/>
    <w:rsid w:val="4D7762D0"/>
    <w:rsid w:val="4D875DE8"/>
    <w:rsid w:val="4D9724CF"/>
    <w:rsid w:val="4DAA1D6E"/>
    <w:rsid w:val="4DB36BDD"/>
    <w:rsid w:val="4DBA7F6B"/>
    <w:rsid w:val="4DBE5CAD"/>
    <w:rsid w:val="4E310BEA"/>
    <w:rsid w:val="4E41068C"/>
    <w:rsid w:val="4E4D7C9E"/>
    <w:rsid w:val="4E8C5DAC"/>
    <w:rsid w:val="4E9C4EF1"/>
    <w:rsid w:val="4EA3604D"/>
    <w:rsid w:val="4EB72429"/>
    <w:rsid w:val="4F2170AB"/>
    <w:rsid w:val="4F367AC5"/>
    <w:rsid w:val="4F4D3939"/>
    <w:rsid w:val="4F6C34E7"/>
    <w:rsid w:val="4FD1713F"/>
    <w:rsid w:val="4FDA2591"/>
    <w:rsid w:val="4FDC515A"/>
    <w:rsid w:val="4FE14263"/>
    <w:rsid w:val="500454E6"/>
    <w:rsid w:val="500656EA"/>
    <w:rsid w:val="5010374F"/>
    <w:rsid w:val="50546455"/>
    <w:rsid w:val="507712A6"/>
    <w:rsid w:val="50852AB2"/>
    <w:rsid w:val="50A11653"/>
    <w:rsid w:val="50C1744A"/>
    <w:rsid w:val="50CC6933"/>
    <w:rsid w:val="511B6F73"/>
    <w:rsid w:val="512E5737"/>
    <w:rsid w:val="51324101"/>
    <w:rsid w:val="514E10F6"/>
    <w:rsid w:val="51AF590D"/>
    <w:rsid w:val="51C55131"/>
    <w:rsid w:val="51C92E73"/>
    <w:rsid w:val="51D32A1D"/>
    <w:rsid w:val="51E63A25"/>
    <w:rsid w:val="51E657D3"/>
    <w:rsid w:val="51FD2506"/>
    <w:rsid w:val="52065E75"/>
    <w:rsid w:val="5207018F"/>
    <w:rsid w:val="52091B35"/>
    <w:rsid w:val="523C67A1"/>
    <w:rsid w:val="523D0F25"/>
    <w:rsid w:val="52491CCE"/>
    <w:rsid w:val="526856F0"/>
    <w:rsid w:val="526861E8"/>
    <w:rsid w:val="526C68A3"/>
    <w:rsid w:val="528A2602"/>
    <w:rsid w:val="529F2249"/>
    <w:rsid w:val="52F40701"/>
    <w:rsid w:val="5321350E"/>
    <w:rsid w:val="532C190B"/>
    <w:rsid w:val="53337E5C"/>
    <w:rsid w:val="534558E3"/>
    <w:rsid w:val="538A1F15"/>
    <w:rsid w:val="53A414A2"/>
    <w:rsid w:val="53BA7A28"/>
    <w:rsid w:val="53D63625"/>
    <w:rsid w:val="54240834"/>
    <w:rsid w:val="543B62BB"/>
    <w:rsid w:val="54420CBA"/>
    <w:rsid w:val="544F3B03"/>
    <w:rsid w:val="5454111A"/>
    <w:rsid w:val="54696247"/>
    <w:rsid w:val="547277F2"/>
    <w:rsid w:val="54731328"/>
    <w:rsid w:val="548A53AA"/>
    <w:rsid w:val="54AD6A7C"/>
    <w:rsid w:val="54AE00FE"/>
    <w:rsid w:val="54CA13DC"/>
    <w:rsid w:val="54DE2973"/>
    <w:rsid w:val="54DE6C35"/>
    <w:rsid w:val="54DF3D78"/>
    <w:rsid w:val="55491A29"/>
    <w:rsid w:val="556C5FEF"/>
    <w:rsid w:val="557E3F74"/>
    <w:rsid w:val="55800D1D"/>
    <w:rsid w:val="55867B03"/>
    <w:rsid w:val="558F7F2F"/>
    <w:rsid w:val="55913C7C"/>
    <w:rsid w:val="55985036"/>
    <w:rsid w:val="55A439DB"/>
    <w:rsid w:val="55A74996"/>
    <w:rsid w:val="55A91672"/>
    <w:rsid w:val="56150BB5"/>
    <w:rsid w:val="5619022D"/>
    <w:rsid w:val="562A2C1B"/>
    <w:rsid w:val="569C6DA8"/>
    <w:rsid w:val="56AB2B47"/>
    <w:rsid w:val="56CD0D7E"/>
    <w:rsid w:val="56FC33A3"/>
    <w:rsid w:val="57224A51"/>
    <w:rsid w:val="57347DAF"/>
    <w:rsid w:val="57502B21"/>
    <w:rsid w:val="578D586B"/>
    <w:rsid w:val="579F1367"/>
    <w:rsid w:val="57AC301B"/>
    <w:rsid w:val="57BB0F3A"/>
    <w:rsid w:val="57DF519E"/>
    <w:rsid w:val="57E24C8E"/>
    <w:rsid w:val="580C00A1"/>
    <w:rsid w:val="582E0F4F"/>
    <w:rsid w:val="58614814"/>
    <w:rsid w:val="58670CF0"/>
    <w:rsid w:val="58B959EF"/>
    <w:rsid w:val="58E6780D"/>
    <w:rsid w:val="59050C34"/>
    <w:rsid w:val="591F781C"/>
    <w:rsid w:val="59241785"/>
    <w:rsid w:val="592A1893"/>
    <w:rsid w:val="59471624"/>
    <w:rsid w:val="594B76EC"/>
    <w:rsid w:val="594C6863"/>
    <w:rsid w:val="596156A7"/>
    <w:rsid w:val="5964586E"/>
    <w:rsid w:val="59663D4B"/>
    <w:rsid w:val="596D2336"/>
    <w:rsid w:val="59941FB8"/>
    <w:rsid w:val="59E20F76"/>
    <w:rsid w:val="59F70789"/>
    <w:rsid w:val="5A0A61CB"/>
    <w:rsid w:val="5A2F36F3"/>
    <w:rsid w:val="5A383CD2"/>
    <w:rsid w:val="5A3B2434"/>
    <w:rsid w:val="5A546DC1"/>
    <w:rsid w:val="5A687DD5"/>
    <w:rsid w:val="5A6C5218"/>
    <w:rsid w:val="5A7122F9"/>
    <w:rsid w:val="5AED7BD2"/>
    <w:rsid w:val="5AFF3461"/>
    <w:rsid w:val="5B2D6220"/>
    <w:rsid w:val="5B6836FC"/>
    <w:rsid w:val="5B6D0D13"/>
    <w:rsid w:val="5B72774B"/>
    <w:rsid w:val="5B7A6F8C"/>
    <w:rsid w:val="5B7C7C7A"/>
    <w:rsid w:val="5B7E082A"/>
    <w:rsid w:val="5B7F45A2"/>
    <w:rsid w:val="5B991B08"/>
    <w:rsid w:val="5B9E5921"/>
    <w:rsid w:val="5BA858A7"/>
    <w:rsid w:val="5BEF34D6"/>
    <w:rsid w:val="5BFD0D0E"/>
    <w:rsid w:val="5C0F107D"/>
    <w:rsid w:val="5C313AEE"/>
    <w:rsid w:val="5C4E644E"/>
    <w:rsid w:val="5C5D48E3"/>
    <w:rsid w:val="5C643EC4"/>
    <w:rsid w:val="5C9D38E9"/>
    <w:rsid w:val="5CDC1DAF"/>
    <w:rsid w:val="5CF17836"/>
    <w:rsid w:val="5CF74D38"/>
    <w:rsid w:val="5D423AD9"/>
    <w:rsid w:val="5D437F7D"/>
    <w:rsid w:val="5D4D7582"/>
    <w:rsid w:val="5D692532"/>
    <w:rsid w:val="5D7117CF"/>
    <w:rsid w:val="5DA402F0"/>
    <w:rsid w:val="5DEA1D56"/>
    <w:rsid w:val="5DF179D9"/>
    <w:rsid w:val="5E36034D"/>
    <w:rsid w:val="5E460176"/>
    <w:rsid w:val="5E7423B8"/>
    <w:rsid w:val="5E902278"/>
    <w:rsid w:val="5EB12C47"/>
    <w:rsid w:val="5ED75362"/>
    <w:rsid w:val="5EFA466C"/>
    <w:rsid w:val="5F4973A1"/>
    <w:rsid w:val="5F500C9D"/>
    <w:rsid w:val="5F7334FD"/>
    <w:rsid w:val="5F762093"/>
    <w:rsid w:val="5F8E222D"/>
    <w:rsid w:val="600B26C3"/>
    <w:rsid w:val="60231944"/>
    <w:rsid w:val="60255718"/>
    <w:rsid w:val="602C2F4B"/>
    <w:rsid w:val="602D3FA4"/>
    <w:rsid w:val="604745DC"/>
    <w:rsid w:val="606E519E"/>
    <w:rsid w:val="60760711"/>
    <w:rsid w:val="608C182C"/>
    <w:rsid w:val="610B7004"/>
    <w:rsid w:val="61143A4D"/>
    <w:rsid w:val="613227E3"/>
    <w:rsid w:val="6199628F"/>
    <w:rsid w:val="61A32A9E"/>
    <w:rsid w:val="61B33919"/>
    <w:rsid w:val="61B76844"/>
    <w:rsid w:val="61DB0FD1"/>
    <w:rsid w:val="61DB639E"/>
    <w:rsid w:val="61E84034"/>
    <w:rsid w:val="61F53810"/>
    <w:rsid w:val="622540F5"/>
    <w:rsid w:val="623A44B2"/>
    <w:rsid w:val="62436329"/>
    <w:rsid w:val="626253CB"/>
    <w:rsid w:val="6285587D"/>
    <w:rsid w:val="628D3A49"/>
    <w:rsid w:val="62AA45FB"/>
    <w:rsid w:val="62C169CF"/>
    <w:rsid w:val="62C60F92"/>
    <w:rsid w:val="62FF4946"/>
    <w:rsid w:val="62FF6856"/>
    <w:rsid w:val="63095B0B"/>
    <w:rsid w:val="630C156C"/>
    <w:rsid w:val="631B79C0"/>
    <w:rsid w:val="63200C00"/>
    <w:rsid w:val="63360B92"/>
    <w:rsid w:val="639F57E1"/>
    <w:rsid w:val="63BA4CBD"/>
    <w:rsid w:val="63D9208C"/>
    <w:rsid w:val="63FC2C34"/>
    <w:rsid w:val="64357EF4"/>
    <w:rsid w:val="64760C38"/>
    <w:rsid w:val="64783A03"/>
    <w:rsid w:val="647C3D75"/>
    <w:rsid w:val="6481138B"/>
    <w:rsid w:val="648E783C"/>
    <w:rsid w:val="64947310"/>
    <w:rsid w:val="64A5151D"/>
    <w:rsid w:val="64AC6408"/>
    <w:rsid w:val="64DE058B"/>
    <w:rsid w:val="64FC092D"/>
    <w:rsid w:val="6502427A"/>
    <w:rsid w:val="65183A9D"/>
    <w:rsid w:val="652B653A"/>
    <w:rsid w:val="65324A77"/>
    <w:rsid w:val="654354C3"/>
    <w:rsid w:val="654725D5"/>
    <w:rsid w:val="65526E3E"/>
    <w:rsid w:val="658C6239"/>
    <w:rsid w:val="65A0680A"/>
    <w:rsid w:val="65D83FAD"/>
    <w:rsid w:val="65EB2F60"/>
    <w:rsid w:val="66044022"/>
    <w:rsid w:val="662B15AE"/>
    <w:rsid w:val="664E6604"/>
    <w:rsid w:val="665E094F"/>
    <w:rsid w:val="666B1279"/>
    <w:rsid w:val="66854D92"/>
    <w:rsid w:val="66A355E9"/>
    <w:rsid w:val="66B5531C"/>
    <w:rsid w:val="66E44B4E"/>
    <w:rsid w:val="66FD73EF"/>
    <w:rsid w:val="673B3A73"/>
    <w:rsid w:val="673F3F6F"/>
    <w:rsid w:val="67DF4D46"/>
    <w:rsid w:val="67ED7463"/>
    <w:rsid w:val="67F51E74"/>
    <w:rsid w:val="67F748D0"/>
    <w:rsid w:val="680A383B"/>
    <w:rsid w:val="6816444D"/>
    <w:rsid w:val="683F7593"/>
    <w:rsid w:val="684A6092"/>
    <w:rsid w:val="684F3BD0"/>
    <w:rsid w:val="685E60A5"/>
    <w:rsid w:val="6864130D"/>
    <w:rsid w:val="68B858B8"/>
    <w:rsid w:val="692C5D69"/>
    <w:rsid w:val="692D1791"/>
    <w:rsid w:val="6933534A"/>
    <w:rsid w:val="693C3AD3"/>
    <w:rsid w:val="695C3D4C"/>
    <w:rsid w:val="69782D5D"/>
    <w:rsid w:val="69801C11"/>
    <w:rsid w:val="69815D25"/>
    <w:rsid w:val="6983090D"/>
    <w:rsid w:val="698E5A2F"/>
    <w:rsid w:val="69D20B9D"/>
    <w:rsid w:val="69D32C65"/>
    <w:rsid w:val="69DE1DE2"/>
    <w:rsid w:val="6A2E5B11"/>
    <w:rsid w:val="6A4110C0"/>
    <w:rsid w:val="6A461388"/>
    <w:rsid w:val="6A576352"/>
    <w:rsid w:val="6A7C4ACE"/>
    <w:rsid w:val="6A8D0A8A"/>
    <w:rsid w:val="6A9E4885"/>
    <w:rsid w:val="6AA302AD"/>
    <w:rsid w:val="6AB04778"/>
    <w:rsid w:val="6AC124E1"/>
    <w:rsid w:val="6ADF6E0B"/>
    <w:rsid w:val="6AF477D8"/>
    <w:rsid w:val="6B1940CB"/>
    <w:rsid w:val="6B293E85"/>
    <w:rsid w:val="6B533A81"/>
    <w:rsid w:val="6B596BBE"/>
    <w:rsid w:val="6B693A5A"/>
    <w:rsid w:val="6B8E4AB9"/>
    <w:rsid w:val="6B902CAD"/>
    <w:rsid w:val="6B970455"/>
    <w:rsid w:val="6BA344F1"/>
    <w:rsid w:val="6BFE5AA6"/>
    <w:rsid w:val="6C101972"/>
    <w:rsid w:val="6C20148A"/>
    <w:rsid w:val="6C582E82"/>
    <w:rsid w:val="6C7A4D15"/>
    <w:rsid w:val="6CA125CA"/>
    <w:rsid w:val="6CB0280D"/>
    <w:rsid w:val="6CCC0737"/>
    <w:rsid w:val="6CEE7D34"/>
    <w:rsid w:val="6D475D9B"/>
    <w:rsid w:val="6D5D064A"/>
    <w:rsid w:val="6D5F008B"/>
    <w:rsid w:val="6D844C4F"/>
    <w:rsid w:val="6D8A305E"/>
    <w:rsid w:val="6D9739CD"/>
    <w:rsid w:val="6D9E6B0A"/>
    <w:rsid w:val="6DA13330"/>
    <w:rsid w:val="6DB4041D"/>
    <w:rsid w:val="6DCE1B7E"/>
    <w:rsid w:val="6DDE15FC"/>
    <w:rsid w:val="6E0C7AA8"/>
    <w:rsid w:val="6E14501E"/>
    <w:rsid w:val="6E2434B3"/>
    <w:rsid w:val="6E2C249C"/>
    <w:rsid w:val="6E2E4B54"/>
    <w:rsid w:val="6E3B7C63"/>
    <w:rsid w:val="6E44099F"/>
    <w:rsid w:val="6E453429"/>
    <w:rsid w:val="6E6721AC"/>
    <w:rsid w:val="6E947E27"/>
    <w:rsid w:val="6E9D68AD"/>
    <w:rsid w:val="6EA97E5C"/>
    <w:rsid w:val="6F046E40"/>
    <w:rsid w:val="6F050B09"/>
    <w:rsid w:val="6F20011E"/>
    <w:rsid w:val="6F725586"/>
    <w:rsid w:val="6F743FC6"/>
    <w:rsid w:val="6F7E5FEF"/>
    <w:rsid w:val="6F963F3C"/>
    <w:rsid w:val="6FB870D9"/>
    <w:rsid w:val="6FDE07A0"/>
    <w:rsid w:val="70077E0F"/>
    <w:rsid w:val="70220315"/>
    <w:rsid w:val="704E272C"/>
    <w:rsid w:val="705412D3"/>
    <w:rsid w:val="705F07D2"/>
    <w:rsid w:val="706923E4"/>
    <w:rsid w:val="70A07075"/>
    <w:rsid w:val="70A73F27"/>
    <w:rsid w:val="70C04FE9"/>
    <w:rsid w:val="70EE5FFA"/>
    <w:rsid w:val="712B2DAA"/>
    <w:rsid w:val="712E63F7"/>
    <w:rsid w:val="7141437C"/>
    <w:rsid w:val="7141612A"/>
    <w:rsid w:val="71632544"/>
    <w:rsid w:val="71767512"/>
    <w:rsid w:val="71862610"/>
    <w:rsid w:val="71961636"/>
    <w:rsid w:val="71997FEE"/>
    <w:rsid w:val="71AA0173"/>
    <w:rsid w:val="71BC3A02"/>
    <w:rsid w:val="71C32FE3"/>
    <w:rsid w:val="71D40D4C"/>
    <w:rsid w:val="71DF6A89"/>
    <w:rsid w:val="71E202B2"/>
    <w:rsid w:val="71E91227"/>
    <w:rsid w:val="71F014B0"/>
    <w:rsid w:val="71F22FB4"/>
    <w:rsid w:val="720140CE"/>
    <w:rsid w:val="720667CF"/>
    <w:rsid w:val="721455EC"/>
    <w:rsid w:val="725A3474"/>
    <w:rsid w:val="7265245B"/>
    <w:rsid w:val="728A58AF"/>
    <w:rsid w:val="729130E1"/>
    <w:rsid w:val="72D80D10"/>
    <w:rsid w:val="72E44894"/>
    <w:rsid w:val="72E72D01"/>
    <w:rsid w:val="733E4FB1"/>
    <w:rsid w:val="735679BF"/>
    <w:rsid w:val="736E6F7E"/>
    <w:rsid w:val="73756857"/>
    <w:rsid w:val="739509AF"/>
    <w:rsid w:val="73C93033"/>
    <w:rsid w:val="73CB43D1"/>
    <w:rsid w:val="73CD639B"/>
    <w:rsid w:val="7480340D"/>
    <w:rsid w:val="748D1686"/>
    <w:rsid w:val="74AF784E"/>
    <w:rsid w:val="74D754DC"/>
    <w:rsid w:val="74DA0950"/>
    <w:rsid w:val="74F86FE9"/>
    <w:rsid w:val="74FA62F4"/>
    <w:rsid w:val="75364C39"/>
    <w:rsid w:val="753D0260"/>
    <w:rsid w:val="75640639"/>
    <w:rsid w:val="75834F63"/>
    <w:rsid w:val="758D7F13"/>
    <w:rsid w:val="75AD3D8E"/>
    <w:rsid w:val="75EE27EC"/>
    <w:rsid w:val="7601451D"/>
    <w:rsid w:val="760D0CD1"/>
    <w:rsid w:val="763A78B0"/>
    <w:rsid w:val="768B09FE"/>
    <w:rsid w:val="76A33C20"/>
    <w:rsid w:val="76A64D36"/>
    <w:rsid w:val="76C5235F"/>
    <w:rsid w:val="76C90556"/>
    <w:rsid w:val="76C9109B"/>
    <w:rsid w:val="76F53C3E"/>
    <w:rsid w:val="76FB0E40"/>
    <w:rsid w:val="76FE1353"/>
    <w:rsid w:val="7779317A"/>
    <w:rsid w:val="778E6D86"/>
    <w:rsid w:val="779C1F25"/>
    <w:rsid w:val="779F3BAA"/>
    <w:rsid w:val="77C61FD8"/>
    <w:rsid w:val="77E93077"/>
    <w:rsid w:val="77F2017E"/>
    <w:rsid w:val="77FA0D8D"/>
    <w:rsid w:val="780A3270"/>
    <w:rsid w:val="78284655"/>
    <w:rsid w:val="783B1B25"/>
    <w:rsid w:val="78462278"/>
    <w:rsid w:val="784B5179"/>
    <w:rsid w:val="78661E84"/>
    <w:rsid w:val="786C7F30"/>
    <w:rsid w:val="78882890"/>
    <w:rsid w:val="78C34B5F"/>
    <w:rsid w:val="78EE303B"/>
    <w:rsid w:val="78F32400"/>
    <w:rsid w:val="791C7506"/>
    <w:rsid w:val="793B3DA7"/>
    <w:rsid w:val="794F3089"/>
    <w:rsid w:val="79534C4C"/>
    <w:rsid w:val="796A38C5"/>
    <w:rsid w:val="797F76B4"/>
    <w:rsid w:val="798474FC"/>
    <w:rsid w:val="79A8143C"/>
    <w:rsid w:val="79AD459E"/>
    <w:rsid w:val="79AE303C"/>
    <w:rsid w:val="79B853F7"/>
    <w:rsid w:val="7A284669"/>
    <w:rsid w:val="7A2A00A3"/>
    <w:rsid w:val="7A2D36EF"/>
    <w:rsid w:val="7A7570F7"/>
    <w:rsid w:val="7A9E5E4D"/>
    <w:rsid w:val="7AB21E46"/>
    <w:rsid w:val="7ABE2599"/>
    <w:rsid w:val="7AC52552"/>
    <w:rsid w:val="7AFF41CC"/>
    <w:rsid w:val="7B206B55"/>
    <w:rsid w:val="7B2C7E4B"/>
    <w:rsid w:val="7B4F58E7"/>
    <w:rsid w:val="7B9630A2"/>
    <w:rsid w:val="7BA268EC"/>
    <w:rsid w:val="7BA774D1"/>
    <w:rsid w:val="7BBE53C9"/>
    <w:rsid w:val="7BD209F2"/>
    <w:rsid w:val="7BDA7E4C"/>
    <w:rsid w:val="7BE2675B"/>
    <w:rsid w:val="7BF1556B"/>
    <w:rsid w:val="7C9F77F1"/>
    <w:rsid w:val="7CA4419C"/>
    <w:rsid w:val="7CAD4317"/>
    <w:rsid w:val="7CB63E70"/>
    <w:rsid w:val="7CD12A58"/>
    <w:rsid w:val="7CD6172A"/>
    <w:rsid w:val="7D0050EB"/>
    <w:rsid w:val="7D0D1CF2"/>
    <w:rsid w:val="7D0F532E"/>
    <w:rsid w:val="7D545437"/>
    <w:rsid w:val="7D6255D1"/>
    <w:rsid w:val="7D6733BC"/>
    <w:rsid w:val="7D8C2E23"/>
    <w:rsid w:val="7DC50454"/>
    <w:rsid w:val="7DD345AE"/>
    <w:rsid w:val="7DEB2236"/>
    <w:rsid w:val="7DF162DD"/>
    <w:rsid w:val="7E15161E"/>
    <w:rsid w:val="7E282B4B"/>
    <w:rsid w:val="7E431733"/>
    <w:rsid w:val="7E9401E1"/>
    <w:rsid w:val="7EB22F8B"/>
    <w:rsid w:val="7EED7210"/>
    <w:rsid w:val="7EEE1462"/>
    <w:rsid w:val="7F037115"/>
    <w:rsid w:val="7F0718AD"/>
    <w:rsid w:val="7F4F6BA4"/>
    <w:rsid w:val="7F590AE3"/>
    <w:rsid w:val="7F7C73FD"/>
    <w:rsid w:val="7F7D1C1B"/>
    <w:rsid w:val="7F865359"/>
    <w:rsid w:val="7F8E0DA1"/>
    <w:rsid w:val="7F912972"/>
    <w:rsid w:val="7FC33C0D"/>
    <w:rsid w:val="7FC56178"/>
    <w:rsid w:val="7FCB7450"/>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49"/>
    <w:qFormat/>
    <w:uiPriority w:val="1"/>
    <w:pPr>
      <w:keepNext/>
      <w:keepLines/>
      <w:spacing w:before="340" w:after="330" w:line="576" w:lineRule="auto"/>
      <w:outlineLvl w:val="0"/>
    </w:pPr>
    <w:rPr>
      <w:b/>
      <w:bCs/>
      <w:kern w:val="44"/>
      <w:sz w:val="44"/>
      <w:szCs w:val="44"/>
    </w:rPr>
  </w:style>
  <w:style w:type="paragraph" w:styleId="5">
    <w:name w:val="heading 2"/>
    <w:basedOn w:val="1"/>
    <w:next w:val="1"/>
    <w:link w:val="50"/>
    <w:unhideWhenUsed/>
    <w:qFormat/>
    <w:uiPriority w:val="9"/>
    <w:pPr>
      <w:keepNext/>
      <w:keepLines/>
      <w:spacing w:before="260" w:after="260" w:line="415" w:lineRule="auto"/>
      <w:outlineLvl w:val="1"/>
    </w:pPr>
    <w:rPr>
      <w:rFonts w:ascii="Cambria" w:hAnsi="Cambria"/>
      <w:b/>
      <w:bCs/>
      <w:kern w:val="0"/>
      <w:sz w:val="32"/>
      <w:szCs w:val="32"/>
    </w:rPr>
  </w:style>
  <w:style w:type="paragraph" w:styleId="6">
    <w:name w:val="heading 3"/>
    <w:basedOn w:val="1"/>
    <w:next w:val="1"/>
    <w:link w:val="51"/>
    <w:unhideWhenUsed/>
    <w:qFormat/>
    <w:uiPriority w:val="9"/>
    <w:pPr>
      <w:keepNext/>
      <w:keepLines/>
      <w:spacing w:before="260" w:after="260" w:line="415" w:lineRule="auto"/>
      <w:outlineLvl w:val="2"/>
    </w:pPr>
    <w:rPr>
      <w:b/>
      <w:bCs/>
      <w:sz w:val="32"/>
      <w:szCs w:val="32"/>
    </w:rPr>
  </w:style>
  <w:style w:type="character" w:default="1" w:styleId="27">
    <w:name w:val="Default Paragraph Font"/>
    <w:semiHidden/>
    <w:unhideWhenUsed/>
    <w:qFormat/>
    <w:uiPriority w:val="1"/>
  </w:style>
  <w:style w:type="table" w:default="1" w:styleId="2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link w:val="58"/>
    <w:unhideWhenUsed/>
    <w:qFormat/>
    <w:uiPriority w:val="99"/>
    <w:pPr>
      <w:widowControl/>
      <w:spacing w:after="160"/>
      <w:jc w:val="left"/>
    </w:pPr>
    <w:rPr>
      <w:rFonts w:ascii="仿宋体" w:eastAsia="仿宋体"/>
      <w:kern w:val="0"/>
      <w:sz w:val="20"/>
      <w:lang w:eastAsia="en-US"/>
    </w:rPr>
  </w:style>
  <w:style w:type="paragraph" w:styleId="3">
    <w:name w:val="toc 7"/>
    <w:basedOn w:val="1"/>
    <w:next w:val="1"/>
    <w:unhideWhenUsed/>
    <w:qFormat/>
    <w:uiPriority w:val="39"/>
    <w:pPr>
      <w:spacing w:line="300" w:lineRule="exact"/>
      <w:jc w:val="center"/>
    </w:pPr>
    <w:rPr>
      <w:rFonts w:ascii="宋体" w:hAnsi="宋体" w:cs="宋体"/>
      <w:b/>
      <w:bCs/>
      <w:szCs w:val="21"/>
    </w:rPr>
  </w:style>
  <w:style w:type="paragraph" w:styleId="7">
    <w:name w:val="Normal Indent"/>
    <w:basedOn w:val="1"/>
    <w:link w:val="52"/>
    <w:unhideWhenUsed/>
    <w:qFormat/>
    <w:uiPriority w:val="0"/>
    <w:pPr>
      <w:ind w:firstLine="420"/>
    </w:pPr>
    <w:rPr>
      <w:rFonts w:ascii="等线" w:hAnsi="等线" w:cs="黑体"/>
    </w:rPr>
  </w:style>
  <w:style w:type="paragraph" w:styleId="8">
    <w:name w:val="annotation text"/>
    <w:basedOn w:val="1"/>
    <w:link w:val="53"/>
    <w:unhideWhenUsed/>
    <w:qFormat/>
    <w:uiPriority w:val="99"/>
    <w:pPr>
      <w:jc w:val="left"/>
    </w:pPr>
  </w:style>
  <w:style w:type="paragraph" w:styleId="9">
    <w:name w:val="Body Text Indent"/>
    <w:basedOn w:val="1"/>
    <w:semiHidden/>
    <w:unhideWhenUsed/>
    <w:qFormat/>
    <w:uiPriority w:val="99"/>
    <w:pPr>
      <w:spacing w:after="120"/>
      <w:ind w:left="283"/>
    </w:pPr>
  </w:style>
  <w:style w:type="paragraph" w:styleId="10">
    <w:name w:val="Plain Text"/>
    <w:basedOn w:val="1"/>
    <w:link w:val="59"/>
    <w:unhideWhenUsed/>
    <w:qFormat/>
    <w:uiPriority w:val="99"/>
    <w:rPr>
      <w:rFonts w:ascii="宋体" w:hAnsi="Courier New" w:cs="Courier New"/>
      <w:szCs w:val="21"/>
    </w:rPr>
  </w:style>
  <w:style w:type="paragraph" w:styleId="11">
    <w:name w:val="endnote text"/>
    <w:basedOn w:val="1"/>
    <w:link w:val="57"/>
    <w:unhideWhenUsed/>
    <w:qFormat/>
    <w:uiPriority w:val="99"/>
    <w:pPr>
      <w:snapToGrid w:val="0"/>
      <w:jc w:val="left"/>
    </w:pPr>
    <w:rPr>
      <w:rFonts w:ascii="等线" w:hAnsi="等线" w:cs="黑体"/>
    </w:rPr>
  </w:style>
  <w:style w:type="paragraph" w:styleId="12">
    <w:name w:val="Balloon Text"/>
    <w:basedOn w:val="1"/>
    <w:link w:val="61"/>
    <w:unhideWhenUsed/>
    <w:qFormat/>
    <w:uiPriority w:val="99"/>
    <w:rPr>
      <w:rFonts w:ascii="等线" w:hAnsi="等线" w:cs="黑体"/>
      <w:sz w:val="18"/>
      <w:szCs w:val="18"/>
    </w:rPr>
  </w:style>
  <w:style w:type="paragraph" w:styleId="13">
    <w:name w:val="footer"/>
    <w:basedOn w:val="1"/>
    <w:link w:val="56"/>
    <w:unhideWhenUsed/>
    <w:qFormat/>
    <w:uiPriority w:val="99"/>
    <w:pPr>
      <w:tabs>
        <w:tab w:val="center" w:pos="4153"/>
        <w:tab w:val="right" w:pos="8306"/>
      </w:tabs>
      <w:snapToGrid w:val="0"/>
      <w:jc w:val="left"/>
    </w:pPr>
    <w:rPr>
      <w:rFonts w:ascii="等线" w:hAnsi="等线" w:cs="黑体"/>
      <w:sz w:val="18"/>
      <w:szCs w:val="18"/>
    </w:rPr>
  </w:style>
  <w:style w:type="paragraph" w:styleId="14">
    <w:name w:val="header"/>
    <w:basedOn w:val="1"/>
    <w:link w:val="55"/>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5">
    <w:name w:val="toc 1"/>
    <w:basedOn w:val="16"/>
    <w:next w:val="4"/>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16">
    <w:name w:val="引用1"/>
    <w:basedOn w:val="1"/>
    <w:next w:val="1"/>
    <w:link w:val="62"/>
    <w:qFormat/>
    <w:uiPriority w:val="29"/>
    <w:rPr>
      <w:rFonts w:ascii="等线" w:hAnsi="等线" w:cs="黑体"/>
      <w:i/>
      <w:iCs/>
      <w:color w:val="000000"/>
    </w:rPr>
  </w:style>
  <w:style w:type="paragraph" w:styleId="17">
    <w:name w:val="List"/>
    <w:basedOn w:val="1"/>
    <w:unhideWhenUsed/>
    <w:qFormat/>
    <w:uiPriority w:val="99"/>
    <w:pPr>
      <w:ind w:left="200" w:hanging="200" w:hangingChars="200"/>
    </w:pPr>
    <w:rPr>
      <w:rFonts w:ascii="Calibri" w:hAnsi="Calibri" w:eastAsia="宋体" w:cs="Times New Roman"/>
      <w:szCs w:val="24"/>
    </w:rPr>
  </w:style>
  <w:style w:type="paragraph" w:styleId="18">
    <w:name w:val="toc 2"/>
    <w:basedOn w:val="16"/>
    <w:next w:val="5"/>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19">
    <w:name w:val="Body Text 2"/>
    <w:basedOn w:val="1"/>
    <w:qFormat/>
    <w:uiPriority w:val="0"/>
    <w:pPr>
      <w:tabs>
        <w:tab w:val="left" w:pos="9105"/>
      </w:tabs>
      <w:spacing w:before="40" w:after="40"/>
      <w:jc w:val="center"/>
    </w:pPr>
  </w:style>
  <w:style w:type="paragraph" w:styleId="20">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1">
    <w:name w:val="Title"/>
    <w:basedOn w:val="1"/>
    <w:next w:val="1"/>
    <w:qFormat/>
    <w:uiPriority w:val="0"/>
    <w:pPr>
      <w:spacing w:after="80"/>
      <w:contextualSpacing/>
      <w:jc w:val="center"/>
    </w:pPr>
    <w:rPr>
      <w:rFonts w:asciiTheme="majorHAnsi" w:hAnsiTheme="majorHAnsi" w:eastAsiaTheme="majorEastAsia" w:cstheme="majorBidi"/>
      <w:spacing w:val="-10"/>
      <w:kern w:val="28"/>
      <w:sz w:val="56"/>
      <w:szCs w:val="56"/>
    </w:rPr>
  </w:style>
  <w:style w:type="paragraph" w:styleId="22">
    <w:name w:val="annotation subject"/>
    <w:basedOn w:val="8"/>
    <w:next w:val="8"/>
    <w:link w:val="60"/>
    <w:unhideWhenUsed/>
    <w:qFormat/>
    <w:uiPriority w:val="99"/>
    <w:rPr>
      <w:rFonts w:ascii="等线" w:hAnsi="等线" w:cs="黑体"/>
      <w:b/>
      <w:bCs/>
    </w:rPr>
  </w:style>
  <w:style w:type="paragraph" w:styleId="23">
    <w:name w:val="Body Text First Indent"/>
    <w:basedOn w:val="2"/>
    <w:unhideWhenUsed/>
    <w:qFormat/>
    <w:uiPriority w:val="0"/>
    <w:pPr>
      <w:ind w:firstLine="420" w:firstLineChars="100"/>
    </w:pPr>
    <w:rPr>
      <w:rFonts w:ascii="宋体" w:hAnsi="宋体"/>
      <w:szCs w:val="20"/>
    </w:rPr>
  </w:style>
  <w:style w:type="paragraph" w:styleId="24">
    <w:name w:val="Body Text First Indent 2"/>
    <w:basedOn w:val="9"/>
    <w:unhideWhenUsed/>
    <w:qFormat/>
    <w:uiPriority w:val="99"/>
    <w:pPr>
      <w:spacing w:after="0"/>
      <w:ind w:left="360" w:firstLine="360"/>
    </w:pPr>
  </w:style>
  <w:style w:type="table" w:styleId="26">
    <w:name w:val="Table Grid"/>
    <w:basedOn w:val="2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rPr>
  </w:style>
  <w:style w:type="character" w:styleId="29">
    <w:name w:val="FollowedHyperlink"/>
    <w:basedOn w:val="27"/>
    <w:unhideWhenUsed/>
    <w:qFormat/>
    <w:uiPriority w:val="99"/>
    <w:rPr>
      <w:color w:val="954F72"/>
      <w:u w:val="single"/>
    </w:rPr>
  </w:style>
  <w:style w:type="character" w:styleId="30">
    <w:name w:val="Emphasis"/>
    <w:qFormat/>
    <w:uiPriority w:val="20"/>
    <w:rPr>
      <w:i/>
      <w:iCs/>
    </w:rPr>
  </w:style>
  <w:style w:type="character" w:styleId="31">
    <w:name w:val="Hyperlink"/>
    <w:basedOn w:val="27"/>
    <w:unhideWhenUsed/>
    <w:qFormat/>
    <w:uiPriority w:val="99"/>
    <w:rPr>
      <w:color w:val="0000FF"/>
      <w:u w:val="single"/>
    </w:rPr>
  </w:style>
  <w:style w:type="character" w:styleId="32">
    <w:name w:val="annotation reference"/>
    <w:basedOn w:val="27"/>
    <w:unhideWhenUsed/>
    <w:qFormat/>
    <w:uiPriority w:val="99"/>
    <w:rPr>
      <w:sz w:val="21"/>
      <w:szCs w:val="21"/>
    </w:rPr>
  </w:style>
  <w:style w:type="paragraph" w:customStyle="1" w:styleId="33">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4">
    <w:name w:val="列表段落1"/>
    <w:basedOn w:val="1"/>
    <w:link w:val="67"/>
    <w:qFormat/>
    <w:uiPriority w:val="34"/>
    <w:pPr>
      <w:ind w:firstLine="420" w:firstLineChars="200"/>
    </w:pPr>
  </w:style>
  <w:style w:type="paragraph" w:customStyle="1" w:styleId="35">
    <w:name w:val="列出段落1"/>
    <w:basedOn w:val="1"/>
    <w:qFormat/>
    <w:uiPriority w:val="34"/>
    <w:pPr>
      <w:ind w:firstLine="420" w:firstLineChars="200"/>
    </w:pPr>
  </w:style>
  <w:style w:type="paragraph" w:customStyle="1" w:styleId="36">
    <w:name w:val="TOC 标题1"/>
    <w:basedOn w:val="4"/>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7">
    <w:name w:val="列出段落2"/>
    <w:basedOn w:val="1"/>
    <w:qFormat/>
    <w:uiPriority w:val="34"/>
    <w:pPr>
      <w:ind w:firstLine="420" w:firstLineChars="200"/>
    </w:pPr>
  </w:style>
  <w:style w:type="paragraph" w:customStyle="1" w:styleId="38">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9">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40">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41">
    <w:name w:val="样式 标题 1 + 四号 居中 段前: 12 磅 段后: 12 磅 行距: 单倍行距"/>
    <w:basedOn w:val="4"/>
    <w:qFormat/>
    <w:uiPriority w:val="99"/>
    <w:pPr>
      <w:spacing w:before="240" w:after="240" w:line="240" w:lineRule="auto"/>
      <w:ind w:firstLine="288"/>
      <w:jc w:val="center"/>
    </w:pPr>
    <w:rPr>
      <w:rFonts w:ascii="Calibri" w:hAnsi="Calibri" w:cs="宋体"/>
      <w:sz w:val="28"/>
      <w:szCs w:val="20"/>
    </w:rPr>
  </w:style>
  <w:style w:type="paragraph" w:customStyle="1" w:styleId="42">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样式 标题 3 + (中文) 黑体 小四 非加粗 段前: 7.8 磅 段后: 0 磅 行距: 固定值 20 磅"/>
    <w:basedOn w:val="6"/>
    <w:qFormat/>
    <w:uiPriority w:val="99"/>
    <w:pPr>
      <w:spacing w:before="0" w:after="0" w:line="400" w:lineRule="exact"/>
    </w:pPr>
    <w:rPr>
      <w:rFonts w:ascii="Calibri" w:hAnsi="Calibri" w:eastAsia="黑体" w:cs="宋体"/>
      <w:b w:val="0"/>
      <w:sz w:val="24"/>
      <w:szCs w:val="20"/>
    </w:rPr>
  </w:style>
  <w:style w:type="paragraph" w:customStyle="1" w:styleId="44">
    <w:name w:val="Table Paragraph"/>
    <w:basedOn w:val="1"/>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5">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6">
    <w:name w:val="footnote description"/>
    <w:next w:val="1"/>
    <w:link w:val="63"/>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7">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48">
    <w:name w:val="普通 (Web)"/>
    <w:basedOn w:val="1"/>
    <w:next w:val="1"/>
    <w:link w:val="72"/>
    <w:qFormat/>
    <w:uiPriority w:val="0"/>
    <w:pPr>
      <w:autoSpaceDE w:val="0"/>
      <w:autoSpaceDN w:val="0"/>
      <w:adjustRightInd w:val="0"/>
      <w:jc w:val="left"/>
    </w:pPr>
    <w:rPr>
      <w:rFonts w:ascii="黑体" w:eastAsia="黑体"/>
      <w:kern w:val="0"/>
      <w:sz w:val="24"/>
    </w:rPr>
  </w:style>
  <w:style w:type="character" w:customStyle="1" w:styleId="49">
    <w:name w:val="标题 1 字符"/>
    <w:basedOn w:val="27"/>
    <w:link w:val="4"/>
    <w:qFormat/>
    <w:uiPriority w:val="1"/>
    <w:rPr>
      <w:rFonts w:ascii="Times New Roman" w:hAnsi="Times New Roman" w:eastAsia="宋体" w:cs="Times New Roman"/>
      <w:b/>
      <w:bCs/>
      <w:kern w:val="44"/>
      <w:sz w:val="44"/>
      <w:szCs w:val="44"/>
    </w:rPr>
  </w:style>
  <w:style w:type="character" w:customStyle="1" w:styleId="50">
    <w:name w:val="标题 2 字符"/>
    <w:basedOn w:val="27"/>
    <w:link w:val="5"/>
    <w:semiHidden/>
    <w:qFormat/>
    <w:uiPriority w:val="9"/>
    <w:rPr>
      <w:rFonts w:ascii="Cambria" w:hAnsi="Cambria" w:eastAsia="宋体" w:cs="Times New Roman"/>
      <w:b/>
      <w:bCs/>
      <w:kern w:val="0"/>
      <w:sz w:val="32"/>
      <w:szCs w:val="32"/>
    </w:rPr>
  </w:style>
  <w:style w:type="character" w:customStyle="1" w:styleId="51">
    <w:name w:val="标题 3 字符"/>
    <w:basedOn w:val="27"/>
    <w:link w:val="6"/>
    <w:semiHidden/>
    <w:qFormat/>
    <w:uiPriority w:val="9"/>
    <w:rPr>
      <w:rFonts w:ascii="Times New Roman" w:hAnsi="Times New Roman" w:eastAsia="宋体" w:cs="Times New Roman"/>
      <w:b/>
      <w:bCs/>
      <w:sz w:val="32"/>
      <w:szCs w:val="32"/>
    </w:rPr>
  </w:style>
  <w:style w:type="character" w:customStyle="1" w:styleId="52">
    <w:name w:val="正文缩进 字符"/>
    <w:link w:val="7"/>
    <w:semiHidden/>
    <w:qFormat/>
    <w:locked/>
    <w:uiPriority w:val="0"/>
  </w:style>
  <w:style w:type="character" w:customStyle="1" w:styleId="53">
    <w:name w:val="批注文字 字符1"/>
    <w:basedOn w:val="27"/>
    <w:link w:val="8"/>
    <w:semiHidden/>
    <w:qFormat/>
    <w:locked/>
    <w:uiPriority w:val="99"/>
    <w:rPr>
      <w:rFonts w:ascii="Times New Roman" w:hAnsi="Times New Roman" w:eastAsia="宋体" w:cs="Times New Roman"/>
    </w:rPr>
  </w:style>
  <w:style w:type="character" w:customStyle="1" w:styleId="54">
    <w:name w:val="批注文字 字符"/>
    <w:basedOn w:val="27"/>
    <w:semiHidden/>
    <w:qFormat/>
    <w:uiPriority w:val="99"/>
    <w:rPr>
      <w:rFonts w:ascii="Times New Roman" w:hAnsi="Times New Roman" w:eastAsia="宋体" w:cs="Times New Roman"/>
    </w:rPr>
  </w:style>
  <w:style w:type="character" w:customStyle="1" w:styleId="55">
    <w:name w:val="页眉 字符"/>
    <w:basedOn w:val="27"/>
    <w:link w:val="14"/>
    <w:qFormat/>
    <w:uiPriority w:val="99"/>
    <w:rPr>
      <w:sz w:val="18"/>
      <w:szCs w:val="18"/>
    </w:rPr>
  </w:style>
  <w:style w:type="character" w:customStyle="1" w:styleId="56">
    <w:name w:val="页脚 字符"/>
    <w:basedOn w:val="27"/>
    <w:link w:val="13"/>
    <w:qFormat/>
    <w:uiPriority w:val="99"/>
    <w:rPr>
      <w:sz w:val="18"/>
      <w:szCs w:val="18"/>
    </w:rPr>
  </w:style>
  <w:style w:type="character" w:customStyle="1" w:styleId="57">
    <w:name w:val="尾注文本 字符"/>
    <w:basedOn w:val="27"/>
    <w:link w:val="11"/>
    <w:semiHidden/>
    <w:qFormat/>
    <w:uiPriority w:val="99"/>
  </w:style>
  <w:style w:type="character" w:customStyle="1" w:styleId="58">
    <w:name w:val="正文文本 字符"/>
    <w:basedOn w:val="27"/>
    <w:link w:val="2"/>
    <w:semiHidden/>
    <w:qFormat/>
    <w:uiPriority w:val="99"/>
    <w:rPr>
      <w:rFonts w:ascii="仿宋体" w:hAnsi="Times New Roman" w:eastAsia="仿宋体" w:cs="Times New Roman"/>
      <w:kern w:val="0"/>
      <w:sz w:val="20"/>
      <w:lang w:eastAsia="en-US"/>
    </w:rPr>
  </w:style>
  <w:style w:type="character" w:customStyle="1" w:styleId="59">
    <w:name w:val="纯文本 字符"/>
    <w:basedOn w:val="27"/>
    <w:link w:val="10"/>
    <w:semiHidden/>
    <w:qFormat/>
    <w:uiPriority w:val="99"/>
    <w:rPr>
      <w:rFonts w:ascii="宋体" w:hAnsi="Courier New" w:cs="Courier New"/>
      <w:szCs w:val="21"/>
    </w:rPr>
  </w:style>
  <w:style w:type="character" w:customStyle="1" w:styleId="60">
    <w:name w:val="批注主题 字符"/>
    <w:basedOn w:val="54"/>
    <w:link w:val="22"/>
    <w:semiHidden/>
    <w:qFormat/>
    <w:uiPriority w:val="99"/>
    <w:rPr>
      <w:rFonts w:ascii="Times New Roman" w:hAnsi="Times New Roman" w:eastAsia="宋体" w:cs="Times New Roman"/>
      <w:b/>
      <w:bCs/>
    </w:rPr>
  </w:style>
  <w:style w:type="character" w:customStyle="1" w:styleId="61">
    <w:name w:val="批注框文本 字符"/>
    <w:basedOn w:val="27"/>
    <w:link w:val="12"/>
    <w:semiHidden/>
    <w:qFormat/>
    <w:uiPriority w:val="99"/>
    <w:rPr>
      <w:sz w:val="18"/>
      <w:szCs w:val="18"/>
    </w:rPr>
  </w:style>
  <w:style w:type="character" w:customStyle="1" w:styleId="62">
    <w:name w:val="引用 Char"/>
    <w:link w:val="16"/>
    <w:qFormat/>
    <w:locked/>
    <w:uiPriority w:val="29"/>
    <w:rPr>
      <w:i/>
      <w:iCs/>
      <w:color w:val="000000"/>
    </w:rPr>
  </w:style>
  <w:style w:type="character" w:customStyle="1" w:styleId="63">
    <w:name w:val="footnote description Char"/>
    <w:link w:val="46"/>
    <w:qFormat/>
    <w:locked/>
    <w:uiPriority w:val="0"/>
    <w:rPr>
      <w:rFonts w:ascii="宋体" w:hAnsi="宋体" w:eastAsia="宋体" w:cs="宋体"/>
      <w:color w:val="000000"/>
      <w:sz w:val="18"/>
    </w:rPr>
  </w:style>
  <w:style w:type="character" w:customStyle="1" w:styleId="64">
    <w:name w:val="font01"/>
    <w:qFormat/>
    <w:uiPriority w:val="0"/>
    <w:rPr>
      <w:rFonts w:hint="eastAsia" w:ascii="宋体" w:hAnsi="宋体" w:eastAsia="宋体" w:cs="宋体"/>
      <w:color w:val="000000"/>
      <w:sz w:val="20"/>
      <w:szCs w:val="20"/>
      <w:u w:val="none"/>
    </w:rPr>
  </w:style>
  <w:style w:type="character" w:customStyle="1" w:styleId="65">
    <w:name w:val="font21"/>
    <w:qFormat/>
    <w:uiPriority w:val="0"/>
    <w:rPr>
      <w:rFonts w:hint="eastAsia" w:ascii="宋体" w:hAnsi="宋体" w:eastAsia="宋体"/>
      <w:color w:val="000000"/>
      <w:sz w:val="20"/>
      <w:szCs w:val="20"/>
      <w:u w:val="none"/>
    </w:rPr>
  </w:style>
  <w:style w:type="character" w:customStyle="1" w:styleId="66">
    <w:name w:val="纯文本 字符1"/>
    <w:basedOn w:val="27"/>
    <w:qFormat/>
    <w:uiPriority w:val="0"/>
    <w:rPr>
      <w:rFonts w:hint="eastAsia" w:ascii="宋体" w:hAnsi="Courier New" w:eastAsia="等线" w:cs="Courier New"/>
    </w:rPr>
  </w:style>
  <w:style w:type="character" w:customStyle="1" w:styleId="67">
    <w:name w:val="列出段落 字符"/>
    <w:link w:val="34"/>
    <w:qFormat/>
    <w:uiPriority w:val="34"/>
    <w:rPr>
      <w:rFonts w:ascii="Times New Roman" w:hAnsi="Times New Roman" w:eastAsia="宋体" w:cs="Times New Roman"/>
    </w:rPr>
  </w:style>
  <w:style w:type="character" w:customStyle="1" w:styleId="68">
    <w:name w:val="页脚 字符1"/>
    <w:basedOn w:val="27"/>
    <w:semiHidden/>
    <w:qFormat/>
    <w:uiPriority w:val="99"/>
    <w:rPr>
      <w:rFonts w:hint="default" w:ascii="Times New Roman" w:hAnsi="Times New Roman" w:eastAsia="宋体" w:cs="Times New Roman"/>
      <w:sz w:val="18"/>
      <w:szCs w:val="18"/>
    </w:rPr>
  </w:style>
  <w:style w:type="character" w:customStyle="1" w:styleId="69">
    <w:name w:val="尾注文本 字符1"/>
    <w:basedOn w:val="27"/>
    <w:semiHidden/>
    <w:qFormat/>
    <w:uiPriority w:val="99"/>
    <w:rPr>
      <w:rFonts w:hint="default" w:ascii="Times New Roman" w:hAnsi="Times New Roman" w:eastAsia="宋体" w:cs="Times New Roman"/>
    </w:rPr>
  </w:style>
  <w:style w:type="character" w:customStyle="1" w:styleId="70">
    <w:name w:val="批注主题 字符1"/>
    <w:basedOn w:val="54"/>
    <w:semiHidden/>
    <w:qFormat/>
    <w:uiPriority w:val="99"/>
    <w:rPr>
      <w:rFonts w:hint="default" w:ascii="Times New Roman" w:hAnsi="Times New Roman" w:eastAsia="宋体" w:cs="Times New Roman"/>
      <w:b/>
      <w:bCs/>
    </w:rPr>
  </w:style>
  <w:style w:type="character" w:customStyle="1" w:styleId="71">
    <w:name w:val="批注框文本 字符1"/>
    <w:basedOn w:val="27"/>
    <w:semiHidden/>
    <w:qFormat/>
    <w:uiPriority w:val="99"/>
    <w:rPr>
      <w:rFonts w:hint="default" w:ascii="Times New Roman" w:hAnsi="Times New Roman" w:eastAsia="宋体" w:cs="Times New Roman"/>
      <w:sz w:val="18"/>
      <w:szCs w:val="18"/>
    </w:rPr>
  </w:style>
  <w:style w:type="character" w:customStyle="1" w:styleId="72">
    <w:name w:val="普通 (Web) Char"/>
    <w:link w:val="48"/>
    <w:qFormat/>
    <w:uiPriority w:val="0"/>
    <w:rPr>
      <w:rFonts w:ascii="黑体" w:eastAsia="黑体"/>
      <w:kern w:val="0"/>
      <w:sz w:val="24"/>
    </w:rPr>
  </w:style>
  <w:style w:type="table" w:customStyle="1" w:styleId="73">
    <w:name w:val="网格型1"/>
    <w:basedOn w:val="2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4">
    <w:name w:val="List Paragraph"/>
    <w:basedOn w:val="1"/>
    <w:qFormat/>
    <w:uiPriority w:val="34"/>
    <w:pPr>
      <w:ind w:left="720"/>
      <w:contextualSpacing/>
    </w:pPr>
  </w:style>
  <w:style w:type="paragraph" w:customStyle="1" w:styleId="75">
    <w:name w:val="样式1"/>
    <w:basedOn w:val="1"/>
    <w:qFormat/>
    <w:uiPriority w:val="0"/>
    <w:pPr>
      <w:widowControl/>
    </w:pPr>
    <w:rPr>
      <w:rFonts w:ascii="宋体" w:hAnsi="宋体" w:eastAsia="仿宋" w:cs="Times New Roman"/>
      <w:bCs/>
      <w:color w:val="000000" w:themeColor="text1"/>
      <w:szCs w:val="24"/>
      <w14:textFill>
        <w14:solidFill>
          <w14:schemeClr w14:val="tx1"/>
        </w14:solidFill>
      </w14:textFill>
    </w:rPr>
  </w:style>
  <w:style w:type="paragraph" w:customStyle="1" w:styleId="76">
    <w:name w:val="_Style 30"/>
    <w:basedOn w:val="1"/>
    <w:next w:val="74"/>
    <w:qFormat/>
    <w:uiPriority w:val="0"/>
    <w:pPr>
      <w:ind w:firstLine="420" w:firstLineChars="200"/>
    </w:pPr>
    <w:rPr>
      <w:rFonts w:ascii="Calibri" w:hAnsi="Calibri" w:eastAsia="宋体" w:cs="Times New Roman"/>
      <w:szCs w:val="24"/>
    </w:rPr>
  </w:style>
  <w:style w:type="character" w:customStyle="1" w:styleId="77">
    <w:name w:val="font41"/>
    <w:basedOn w:val="27"/>
    <w:qFormat/>
    <w:uiPriority w:val="0"/>
    <w:rPr>
      <w:rFonts w:ascii="Segoe UI Symbol" w:hAnsi="Segoe UI Symbol" w:eastAsia="Segoe UI Symbol" w:cs="Segoe UI Symbol"/>
      <w:color w:val="000000"/>
      <w:sz w:val="22"/>
      <w:szCs w:val="22"/>
      <w:u w:val="none"/>
    </w:rPr>
  </w:style>
  <w:style w:type="character" w:customStyle="1" w:styleId="78">
    <w:name w:val="font51"/>
    <w:basedOn w:val="27"/>
    <w:qFormat/>
    <w:uiPriority w:val="0"/>
    <w:rPr>
      <w:rFonts w:hint="eastAsia" w:ascii="宋体" w:hAnsi="宋体" w:eastAsia="宋体" w:cs="宋体"/>
      <w:color w:val="FF0000"/>
      <w:sz w:val="21"/>
      <w:szCs w:val="21"/>
      <w:u w:val="none"/>
    </w:rPr>
  </w:style>
  <w:style w:type="character" w:customStyle="1" w:styleId="79">
    <w:name w:val="font31"/>
    <w:basedOn w:val="27"/>
    <w:qFormat/>
    <w:uiPriority w:val="0"/>
    <w:rPr>
      <w:rFonts w:hint="eastAsia" w:ascii="宋体" w:hAnsi="宋体" w:eastAsia="宋体" w:cs="宋体"/>
      <w:color w:val="000000"/>
      <w:sz w:val="21"/>
      <w:szCs w:val="21"/>
      <w:u w:val="none"/>
    </w:rPr>
  </w:style>
  <w:style w:type="paragraph" w:customStyle="1" w:styleId="80">
    <w:name w:val="Normal_0"/>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table" w:customStyle="1" w:styleId="81">
    <w:name w:val="普通表格1"/>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82">
    <w:name w:val="正文文本 31"/>
    <w:basedOn w:val="1"/>
    <w:unhideWhenUsed/>
    <w:qFormat/>
    <w:uiPriority w:val="99"/>
    <w:pPr>
      <w:spacing w:after="120"/>
    </w:pPr>
    <w:rPr>
      <w:sz w:val="16"/>
      <w:szCs w:val="16"/>
    </w:rPr>
  </w:style>
  <w:style w:type="character" w:customStyle="1" w:styleId="83">
    <w:name w:val="16"/>
    <w:basedOn w:val="27"/>
    <w:qFormat/>
    <w:uiPriority w:val="0"/>
    <w:rPr>
      <w:rFonts w:hint="eastAsia" w:ascii="黑体" w:hAnsi="宋体" w:eastAsia="黑体" w:cs="黑体"/>
      <w:sz w:val="24"/>
      <w:szCs w:val="24"/>
    </w:rPr>
  </w:style>
  <w:style w:type="character" w:customStyle="1" w:styleId="84">
    <w:name w:val="15"/>
    <w:basedOn w:val="27"/>
    <w:qFormat/>
    <w:uiPriority w:val="0"/>
    <w:rPr>
      <w:rFonts w:hint="default" w:ascii="Times New Roman" w:hAnsi="Times New Roman" w:cs="Times New Roman"/>
      <w:i/>
      <w:iC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70</Pages>
  <Words>15282</Words>
  <Characters>16115</Characters>
  <Lines>1</Lines>
  <Paragraphs>1</Paragraphs>
  <TotalTime>3</TotalTime>
  <ScaleCrop>false</ScaleCrop>
  <LinksUpToDate>false</LinksUpToDate>
  <CharactersWithSpaces>16228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      Samsara</cp:lastModifiedBy>
  <cp:lastPrinted>2025-05-27T07:07:00Z</cp:lastPrinted>
  <dcterms:modified xsi:type="dcterms:W3CDTF">2026-05-11T06:02:42Z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11E683D5EFBE43BC81216A852608048C_13</vt:lpwstr>
  </property>
  <property fmtid="{D5CDD505-2E9C-101B-9397-08002B2CF9AE}" pid="4" name="KSOTemplateDocerSaveRecord">
    <vt:lpwstr>eyJoZGlkIjoiMGIyYzhiOTViOTlhY2Y3ZWU3OTlhNjdlNjlhZDAwNDgiLCJ1c2VySWQiOiIyMjkwMTcyMDMifQ==</vt:lpwstr>
  </property>
</Properties>
</file>