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809E66">
      <w:pPr>
        <w:spacing w:line="240" w:lineRule="exact"/>
        <w:jc w:val="left"/>
        <w:rPr>
          <w:rFonts w:ascii="宋体" w:hAnsi="宋体"/>
          <w:b/>
          <w:color w:val="auto"/>
          <w:sz w:val="32"/>
          <w:highlight w:val="none"/>
        </w:rPr>
      </w:pPr>
      <w:bookmarkStart w:id="157" w:name="_GoBack"/>
      <w:bookmarkEnd w:id="157"/>
    </w:p>
    <w:p w14:paraId="4E219D19">
      <w:pPr>
        <w:spacing w:line="240" w:lineRule="exact"/>
        <w:jc w:val="left"/>
        <w:rPr>
          <w:rFonts w:ascii="宋体" w:hAnsi="宋体"/>
          <w:b/>
          <w:color w:val="auto"/>
          <w:sz w:val="32"/>
          <w:highlight w:val="none"/>
        </w:rPr>
      </w:pPr>
    </w:p>
    <w:p w14:paraId="72A58CD8">
      <w:pPr>
        <w:spacing w:line="240" w:lineRule="exact"/>
        <w:jc w:val="left"/>
        <w:rPr>
          <w:rFonts w:ascii="宋体" w:hAnsi="宋体"/>
          <w:b/>
          <w:color w:val="auto"/>
          <w:sz w:val="32"/>
          <w:highlight w:val="none"/>
        </w:rPr>
      </w:pPr>
    </w:p>
    <w:p w14:paraId="7C50B7EB">
      <w:pPr>
        <w:spacing w:line="240" w:lineRule="exact"/>
        <w:jc w:val="left"/>
        <w:rPr>
          <w:rFonts w:ascii="宋体" w:hAnsi="宋体"/>
          <w:b/>
          <w:color w:val="auto"/>
          <w:sz w:val="32"/>
          <w:highlight w:val="none"/>
        </w:rPr>
      </w:pPr>
    </w:p>
    <w:p w14:paraId="53C6D96D">
      <w:pPr>
        <w:spacing w:line="240" w:lineRule="exact"/>
        <w:jc w:val="left"/>
        <w:rPr>
          <w:rFonts w:ascii="宋体" w:hAnsi="宋体"/>
          <w:b/>
          <w:color w:val="auto"/>
          <w:sz w:val="32"/>
          <w:highlight w:val="none"/>
        </w:rPr>
      </w:pPr>
    </w:p>
    <w:p w14:paraId="271645D0">
      <w:pPr>
        <w:spacing w:line="240" w:lineRule="exact"/>
        <w:jc w:val="left"/>
        <w:rPr>
          <w:rFonts w:ascii="宋体" w:hAnsi="宋体"/>
          <w:b/>
          <w:color w:val="auto"/>
          <w:sz w:val="32"/>
          <w:highlight w:val="none"/>
        </w:rPr>
      </w:pPr>
    </w:p>
    <w:p w14:paraId="60F4D864">
      <w:pPr>
        <w:spacing w:line="240" w:lineRule="exact"/>
        <w:jc w:val="left"/>
        <w:rPr>
          <w:rFonts w:ascii="宋体" w:hAnsi="宋体"/>
          <w:b/>
          <w:color w:val="auto"/>
          <w:sz w:val="32"/>
          <w:highlight w:val="none"/>
        </w:rPr>
      </w:pPr>
    </w:p>
    <w:p w14:paraId="184CF9D4">
      <w:pPr>
        <w:spacing w:line="240" w:lineRule="exact"/>
        <w:jc w:val="left"/>
        <w:rPr>
          <w:rFonts w:ascii="宋体" w:hAnsi="宋体"/>
          <w:b/>
          <w:color w:val="auto"/>
          <w:sz w:val="32"/>
          <w:highlight w:val="none"/>
        </w:rPr>
      </w:pPr>
    </w:p>
    <w:p w14:paraId="4C47AA82">
      <w:pPr>
        <w:spacing w:line="360" w:lineRule="auto"/>
        <w:jc w:val="center"/>
        <w:rPr>
          <w:rFonts w:ascii="宋体" w:hAnsi="宋体"/>
          <w:b/>
          <w:color w:val="auto"/>
          <w:sz w:val="120"/>
          <w:szCs w:val="120"/>
          <w:highlight w:val="none"/>
        </w:rPr>
      </w:pPr>
      <w:r>
        <w:rPr>
          <w:rFonts w:hint="eastAsia" w:ascii="宋体" w:hAnsi="宋体"/>
          <w:b/>
          <w:color w:val="auto"/>
          <w:sz w:val="120"/>
          <w:szCs w:val="120"/>
          <w:highlight w:val="none"/>
        </w:rPr>
        <w:t>公开招标文件</w:t>
      </w:r>
    </w:p>
    <w:p w14:paraId="4579ABA5">
      <w:pPr>
        <w:pStyle w:val="10"/>
        <w:tabs>
          <w:tab w:val="left" w:pos="703"/>
        </w:tabs>
        <w:spacing w:line="360" w:lineRule="auto"/>
        <w:rPr>
          <w:rFonts w:hint="eastAsia" w:ascii="Calibri" w:hAnsi="Calibri" w:eastAsia="宋体"/>
          <w:b/>
          <w:color w:val="auto"/>
          <w:sz w:val="28"/>
          <w:highlight w:val="none"/>
          <w:lang w:eastAsia="zh-CN"/>
        </w:rPr>
      </w:pPr>
      <w:r>
        <w:rPr>
          <w:rFonts w:hint="eastAsia" w:ascii="Calibri" w:hAnsi="Calibri"/>
          <w:b/>
          <w:color w:val="auto"/>
          <w:sz w:val="32"/>
          <w:szCs w:val="32"/>
          <w:highlight w:val="none"/>
          <w:lang w:val="en-US" w:eastAsia="zh-CN"/>
        </w:rPr>
        <w:t xml:space="preserve"> </w:t>
      </w:r>
    </w:p>
    <w:p w14:paraId="17C84C6E">
      <w:pPr>
        <w:pStyle w:val="10"/>
        <w:tabs>
          <w:tab w:val="left" w:pos="703"/>
        </w:tabs>
        <w:spacing w:line="360" w:lineRule="auto"/>
        <w:rPr>
          <w:rFonts w:ascii="Calibri" w:hAnsi="Calibri"/>
          <w:b/>
          <w:color w:val="auto"/>
          <w:sz w:val="28"/>
          <w:highlight w:val="none"/>
        </w:rPr>
      </w:pPr>
    </w:p>
    <w:p w14:paraId="62C8B417">
      <w:pPr>
        <w:pStyle w:val="10"/>
        <w:tabs>
          <w:tab w:val="left" w:pos="703"/>
        </w:tabs>
        <w:spacing w:line="360" w:lineRule="auto"/>
        <w:rPr>
          <w:rFonts w:ascii="Calibri" w:hAnsi="Calibri"/>
          <w:b/>
          <w:color w:val="auto"/>
          <w:sz w:val="28"/>
          <w:highlight w:val="none"/>
        </w:rPr>
      </w:pPr>
    </w:p>
    <w:p w14:paraId="63296133">
      <w:pPr>
        <w:pStyle w:val="10"/>
        <w:tabs>
          <w:tab w:val="left" w:pos="703"/>
        </w:tabs>
        <w:spacing w:line="360" w:lineRule="auto"/>
        <w:ind w:firstLine="1416" w:firstLineChars="506"/>
        <w:rPr>
          <w:rFonts w:ascii="Calibri" w:hAnsi="Calibri"/>
          <w:b/>
          <w:color w:val="auto"/>
          <w:sz w:val="28"/>
          <w:highlight w:val="none"/>
        </w:rPr>
      </w:pPr>
      <w:r>
        <w:rPr>
          <w:rFonts w:hint="eastAsia" w:ascii="Calibri" w:hAnsi="Calibri"/>
          <w:b/>
          <w:color w:val="auto"/>
          <w:sz w:val="28"/>
          <w:highlight w:val="none"/>
        </w:rPr>
        <w:t>项目编号：WUTG2026060023</w:t>
      </w:r>
    </w:p>
    <w:p w14:paraId="0F508F19">
      <w:pPr>
        <w:pStyle w:val="10"/>
        <w:tabs>
          <w:tab w:val="left" w:pos="703"/>
        </w:tabs>
        <w:spacing w:line="360" w:lineRule="auto"/>
        <w:ind w:firstLine="1416" w:firstLineChars="506"/>
        <w:rPr>
          <w:rFonts w:hAnsi="宋体"/>
          <w:b/>
          <w:color w:val="auto"/>
          <w:sz w:val="24"/>
          <w:highlight w:val="none"/>
        </w:rPr>
      </w:pPr>
      <w:r>
        <w:rPr>
          <w:rFonts w:hint="eastAsia" w:ascii="Calibri" w:hAnsi="Calibri"/>
          <w:b/>
          <w:color w:val="auto"/>
          <w:sz w:val="28"/>
          <w:highlight w:val="none"/>
        </w:rPr>
        <w:t>项目名称：南湖校区供配电设备设施运维服务项目</w:t>
      </w:r>
    </w:p>
    <w:p w14:paraId="0A64658B">
      <w:pPr>
        <w:pStyle w:val="10"/>
        <w:tabs>
          <w:tab w:val="left" w:pos="703"/>
        </w:tabs>
        <w:spacing w:line="360" w:lineRule="auto"/>
        <w:rPr>
          <w:rFonts w:hAnsi="宋体"/>
          <w:b/>
          <w:color w:val="auto"/>
          <w:sz w:val="24"/>
          <w:highlight w:val="none"/>
        </w:rPr>
      </w:pPr>
    </w:p>
    <w:p w14:paraId="6C5CC028">
      <w:pPr>
        <w:pStyle w:val="10"/>
        <w:tabs>
          <w:tab w:val="left" w:pos="703"/>
        </w:tabs>
        <w:spacing w:line="360" w:lineRule="auto"/>
        <w:rPr>
          <w:rFonts w:hAnsi="宋体"/>
          <w:b/>
          <w:color w:val="auto"/>
          <w:sz w:val="24"/>
          <w:highlight w:val="none"/>
        </w:rPr>
      </w:pPr>
    </w:p>
    <w:p w14:paraId="666460F7">
      <w:pPr>
        <w:pStyle w:val="10"/>
        <w:tabs>
          <w:tab w:val="left" w:pos="703"/>
        </w:tabs>
        <w:spacing w:line="360" w:lineRule="auto"/>
        <w:rPr>
          <w:rFonts w:hAnsi="宋体"/>
          <w:b/>
          <w:color w:val="auto"/>
          <w:sz w:val="24"/>
          <w:highlight w:val="none"/>
        </w:rPr>
      </w:pPr>
    </w:p>
    <w:p w14:paraId="499C0CD6">
      <w:pPr>
        <w:pStyle w:val="10"/>
        <w:tabs>
          <w:tab w:val="left" w:pos="703"/>
        </w:tabs>
        <w:spacing w:line="360" w:lineRule="auto"/>
        <w:rPr>
          <w:rFonts w:hAnsi="宋体"/>
          <w:b/>
          <w:color w:val="auto"/>
          <w:sz w:val="24"/>
          <w:highlight w:val="none"/>
        </w:rPr>
      </w:pPr>
    </w:p>
    <w:p w14:paraId="07239168">
      <w:pPr>
        <w:pStyle w:val="10"/>
        <w:tabs>
          <w:tab w:val="left" w:pos="703"/>
        </w:tabs>
        <w:spacing w:line="360" w:lineRule="auto"/>
        <w:rPr>
          <w:rFonts w:hAnsi="宋体"/>
          <w:b/>
          <w:color w:val="auto"/>
          <w:sz w:val="24"/>
          <w:highlight w:val="none"/>
        </w:rPr>
      </w:pPr>
    </w:p>
    <w:p w14:paraId="496E7054">
      <w:pPr>
        <w:pStyle w:val="10"/>
        <w:tabs>
          <w:tab w:val="left" w:pos="703"/>
        </w:tabs>
        <w:spacing w:line="360" w:lineRule="auto"/>
        <w:rPr>
          <w:rFonts w:hAnsi="宋体"/>
          <w:b/>
          <w:color w:val="auto"/>
          <w:sz w:val="24"/>
          <w:highlight w:val="none"/>
        </w:rPr>
      </w:pPr>
    </w:p>
    <w:tbl>
      <w:tblPr>
        <w:tblStyle w:val="21"/>
        <w:tblW w:w="7540" w:type="dxa"/>
        <w:jc w:val="center"/>
        <w:tblLayout w:type="fixed"/>
        <w:tblCellMar>
          <w:top w:w="0" w:type="dxa"/>
          <w:left w:w="108" w:type="dxa"/>
          <w:bottom w:w="0" w:type="dxa"/>
          <w:right w:w="108" w:type="dxa"/>
        </w:tblCellMar>
      </w:tblPr>
      <w:tblGrid>
        <w:gridCol w:w="7540"/>
      </w:tblGrid>
      <w:tr w14:paraId="54E5D9A6">
        <w:tblPrEx>
          <w:tblCellMar>
            <w:top w:w="0" w:type="dxa"/>
            <w:left w:w="108" w:type="dxa"/>
            <w:bottom w:w="0" w:type="dxa"/>
            <w:right w:w="108" w:type="dxa"/>
          </w:tblCellMar>
        </w:tblPrEx>
        <w:trPr>
          <w:trHeight w:val="854" w:hRule="atLeast"/>
          <w:jc w:val="center"/>
        </w:trPr>
        <w:tc>
          <w:tcPr>
            <w:tcW w:w="7540" w:type="dxa"/>
            <w:vAlign w:val="center"/>
          </w:tcPr>
          <w:p w14:paraId="15DEAE09">
            <w:pPr>
              <w:spacing w:before="120" w:after="120"/>
              <w:jc w:val="left"/>
              <w:rPr>
                <w:b/>
                <w:color w:val="auto"/>
                <w:sz w:val="28"/>
                <w:szCs w:val="28"/>
                <w:highlight w:val="none"/>
                <w:lang w:val="zh-CN"/>
              </w:rPr>
            </w:pPr>
            <w:r>
              <w:rPr>
                <w:rFonts w:hint="eastAsia"/>
                <w:b/>
                <w:color w:val="auto"/>
                <w:sz w:val="28"/>
                <w:szCs w:val="28"/>
                <w:highlight w:val="none"/>
                <w:lang w:val="zh-CN"/>
              </w:rPr>
              <w:t>采 购 人：武汉理工大学</w:t>
            </w:r>
          </w:p>
        </w:tc>
      </w:tr>
      <w:tr w14:paraId="01D333C2">
        <w:tblPrEx>
          <w:tblCellMar>
            <w:top w:w="0" w:type="dxa"/>
            <w:left w:w="108" w:type="dxa"/>
            <w:bottom w:w="0" w:type="dxa"/>
            <w:right w:w="108" w:type="dxa"/>
          </w:tblCellMar>
        </w:tblPrEx>
        <w:trPr>
          <w:trHeight w:val="854" w:hRule="atLeast"/>
          <w:jc w:val="center"/>
        </w:trPr>
        <w:tc>
          <w:tcPr>
            <w:tcW w:w="7540" w:type="dxa"/>
            <w:vAlign w:val="center"/>
          </w:tcPr>
          <w:p w14:paraId="5583B788">
            <w:pPr>
              <w:spacing w:before="120" w:after="120"/>
              <w:jc w:val="left"/>
              <w:rPr>
                <w:b/>
                <w:color w:val="auto"/>
                <w:sz w:val="28"/>
                <w:szCs w:val="28"/>
                <w:highlight w:val="none"/>
                <w:lang w:val="zh-CN"/>
              </w:rPr>
            </w:pPr>
            <w:r>
              <w:rPr>
                <w:rFonts w:hint="eastAsia"/>
                <w:b/>
                <w:color w:val="auto"/>
                <w:sz w:val="28"/>
                <w:szCs w:val="28"/>
                <w:highlight w:val="none"/>
                <w:lang w:val="zh-CN"/>
              </w:rPr>
              <w:t>代理机构：瀚景项目管理有限公司</w:t>
            </w:r>
          </w:p>
        </w:tc>
      </w:tr>
      <w:tr w14:paraId="45A232C9">
        <w:tblPrEx>
          <w:tblCellMar>
            <w:top w:w="0" w:type="dxa"/>
            <w:left w:w="108" w:type="dxa"/>
            <w:bottom w:w="0" w:type="dxa"/>
            <w:right w:w="108" w:type="dxa"/>
          </w:tblCellMar>
        </w:tblPrEx>
        <w:trPr>
          <w:trHeight w:val="854" w:hRule="atLeast"/>
          <w:jc w:val="center"/>
        </w:trPr>
        <w:tc>
          <w:tcPr>
            <w:tcW w:w="7540" w:type="dxa"/>
            <w:vAlign w:val="center"/>
          </w:tcPr>
          <w:p w14:paraId="556137CA">
            <w:pPr>
              <w:spacing w:before="120" w:after="120"/>
              <w:jc w:val="left"/>
              <w:rPr>
                <w:b/>
                <w:color w:val="auto"/>
                <w:sz w:val="28"/>
                <w:szCs w:val="28"/>
                <w:highlight w:val="none"/>
                <w:lang w:val="zh-CN"/>
              </w:rPr>
            </w:pPr>
            <w:r>
              <w:rPr>
                <w:rFonts w:hint="eastAsia"/>
                <w:b/>
                <w:color w:val="auto"/>
                <w:sz w:val="28"/>
                <w:szCs w:val="28"/>
                <w:highlight w:val="none"/>
                <w:lang w:val="zh-CN"/>
              </w:rPr>
              <w:t>编制时间：</w:t>
            </w:r>
            <w:r>
              <w:rPr>
                <w:rFonts w:hint="eastAsia" w:ascii="宋体" w:hAnsi="宋体"/>
                <w:b/>
                <w:color w:val="auto"/>
                <w:sz w:val="28"/>
                <w:szCs w:val="28"/>
                <w:highlight w:val="none"/>
                <w:lang w:val="en-US" w:eastAsia="zh-CN"/>
              </w:rPr>
              <w:t>2026</w:t>
            </w:r>
            <w:r>
              <w:rPr>
                <w:rFonts w:hint="eastAsia" w:ascii="宋体" w:hAnsi="宋体"/>
                <w:b/>
                <w:color w:val="auto"/>
                <w:sz w:val="28"/>
                <w:szCs w:val="28"/>
                <w:highlight w:val="none"/>
                <w:lang w:val="zh-CN"/>
              </w:rPr>
              <w:t>年</w:t>
            </w:r>
            <w:r>
              <w:rPr>
                <w:rFonts w:hint="eastAsia" w:ascii="宋体" w:hAnsi="宋体"/>
                <w:b/>
                <w:color w:val="auto"/>
                <w:sz w:val="28"/>
                <w:szCs w:val="28"/>
                <w:highlight w:val="none"/>
                <w:lang w:val="en-US" w:eastAsia="zh-CN"/>
              </w:rPr>
              <w:t>07</w:t>
            </w:r>
            <w:r>
              <w:rPr>
                <w:rFonts w:hint="eastAsia"/>
                <w:b/>
                <w:color w:val="auto"/>
                <w:sz w:val="28"/>
                <w:szCs w:val="28"/>
                <w:highlight w:val="none"/>
                <w:lang w:val="zh-CN"/>
              </w:rPr>
              <w:t>月</w:t>
            </w:r>
          </w:p>
        </w:tc>
      </w:tr>
    </w:tbl>
    <w:p w14:paraId="0F243EA1">
      <w:pPr>
        <w:spacing w:before="312" w:beforeLines="100" w:line="276" w:lineRule="auto"/>
        <w:jc w:val="center"/>
        <w:rPr>
          <w:rFonts w:ascii="黑体" w:hAnsi="黑体" w:eastAsia="黑体"/>
          <w:color w:val="auto"/>
          <w:sz w:val="30"/>
          <w:szCs w:val="30"/>
          <w:highlight w:val="none"/>
        </w:rPr>
        <w:sectPr>
          <w:type w:val="continuous"/>
          <w:pgSz w:w="11906" w:h="16838"/>
          <w:pgMar w:top="1134" w:right="1191" w:bottom="1134" w:left="1191" w:header="851" w:footer="624" w:gutter="0"/>
          <w:pgNumType w:fmt="decimal" w:start="0"/>
          <w:cols w:space="720" w:num="1"/>
          <w:titlePg/>
          <w:docGrid w:type="linesAndChars" w:linePitch="312" w:charSpace="0"/>
        </w:sectPr>
      </w:pPr>
    </w:p>
    <w:p w14:paraId="62336B7F">
      <w:pPr>
        <w:widowControl/>
        <w:jc w:val="left"/>
        <w:rPr>
          <w:rFonts w:ascii="宋体" w:hAnsi="宋体"/>
          <w:color w:val="auto"/>
          <w:sz w:val="30"/>
          <w:szCs w:val="30"/>
          <w:highlight w:val="none"/>
        </w:rPr>
      </w:pPr>
      <w:r>
        <w:rPr>
          <w:rFonts w:ascii="宋体" w:hAnsi="宋体"/>
          <w:color w:val="auto"/>
          <w:sz w:val="30"/>
          <w:szCs w:val="30"/>
          <w:highlight w:val="none"/>
        </w:rPr>
        <w:br w:type="page"/>
      </w:r>
    </w:p>
    <w:p w14:paraId="26D32A2D">
      <w:pPr>
        <w:spacing w:before="312" w:beforeLines="100" w:line="276" w:lineRule="auto"/>
        <w:jc w:val="center"/>
        <w:rPr>
          <w:rFonts w:ascii="宋体" w:hAnsi="宋体"/>
          <w:color w:val="auto"/>
          <w:sz w:val="30"/>
          <w:szCs w:val="30"/>
          <w:highlight w:val="none"/>
        </w:rPr>
      </w:pPr>
      <w:r>
        <w:rPr>
          <w:rFonts w:hint="eastAsia" w:ascii="宋体" w:hAnsi="宋体"/>
          <w:color w:val="auto"/>
          <w:sz w:val="30"/>
          <w:szCs w:val="30"/>
          <w:highlight w:val="none"/>
        </w:rPr>
        <w:t>目   录</w:t>
      </w:r>
    </w:p>
    <w:p w14:paraId="29F6C3E6">
      <w:pPr>
        <w:pStyle w:val="15"/>
        <w:tabs>
          <w:tab w:val="right" w:leader="dot" w:pos="9524"/>
          <w:tab w:val="clear" w:pos="9514"/>
        </w:tabs>
        <w:rPr>
          <w:color w:val="auto"/>
          <w:highlight w:val="none"/>
        </w:rPr>
      </w:pPr>
      <w:r>
        <w:rPr>
          <w:rFonts w:hint="eastAsia" w:ascii="宋体" w:hAnsi="宋体" w:eastAsia="宋体"/>
          <w:b w:val="0"/>
          <w:iCs w:val="0"/>
          <w:color w:val="auto"/>
          <w:szCs w:val="21"/>
          <w:highlight w:val="none"/>
        </w:rPr>
        <w:fldChar w:fldCharType="begin"/>
      </w:r>
      <w:r>
        <w:rPr>
          <w:rFonts w:hint="eastAsia" w:ascii="宋体" w:hAnsi="宋体" w:eastAsia="宋体"/>
          <w:b w:val="0"/>
          <w:iCs w:val="0"/>
          <w:color w:val="auto"/>
          <w:szCs w:val="21"/>
          <w:highlight w:val="none"/>
        </w:rPr>
        <w:instrText xml:space="preserve"> TOC \o "1-2" \h \z \u </w:instrText>
      </w:r>
      <w:r>
        <w:rPr>
          <w:rFonts w:hint="eastAsia" w:ascii="宋体" w:hAnsi="宋体" w:eastAsia="宋体"/>
          <w:b w:val="0"/>
          <w:iCs w:val="0"/>
          <w:color w:val="auto"/>
          <w:szCs w:val="21"/>
          <w:highlight w:val="none"/>
        </w:rPr>
        <w:fldChar w:fldCharType="separate"/>
      </w:r>
      <w:r>
        <w:rPr>
          <w:rFonts w:hint="eastAsia" w:ascii="宋体" w:hAnsi="宋体" w:eastAsia="宋体"/>
          <w:iCs w:val="0"/>
          <w:color w:val="auto"/>
          <w:szCs w:val="21"/>
          <w:highlight w:val="none"/>
        </w:rPr>
        <w:fldChar w:fldCharType="begin"/>
      </w:r>
      <w:r>
        <w:rPr>
          <w:rFonts w:hint="eastAsia" w:ascii="宋体" w:hAnsi="宋体" w:eastAsia="宋体"/>
          <w:iCs w:val="0"/>
          <w:color w:val="auto"/>
          <w:szCs w:val="21"/>
          <w:highlight w:val="none"/>
        </w:rPr>
        <w:instrText xml:space="preserve"> HYPERLINK \l _Toc7583 </w:instrText>
      </w:r>
      <w:r>
        <w:rPr>
          <w:rFonts w:hint="eastAsia" w:ascii="宋体" w:hAnsi="宋体" w:eastAsia="宋体"/>
          <w:iCs w:val="0"/>
          <w:color w:val="auto"/>
          <w:szCs w:val="21"/>
          <w:highlight w:val="none"/>
        </w:rPr>
        <w:fldChar w:fldCharType="separate"/>
      </w:r>
      <w:r>
        <w:rPr>
          <w:rFonts w:hint="eastAsia" w:ascii="黑体" w:hAnsi="黑体" w:eastAsia="黑体"/>
          <w:color w:val="auto"/>
          <w:szCs w:val="28"/>
          <w:highlight w:val="none"/>
        </w:rPr>
        <w:t>第一章 招标公告（投标邀请书）</w:t>
      </w:r>
      <w:r>
        <w:rPr>
          <w:color w:val="auto"/>
          <w:highlight w:val="none"/>
        </w:rPr>
        <w:tab/>
      </w:r>
      <w:r>
        <w:rPr>
          <w:color w:val="auto"/>
          <w:highlight w:val="none"/>
        </w:rPr>
        <w:fldChar w:fldCharType="begin"/>
      </w:r>
      <w:r>
        <w:rPr>
          <w:color w:val="auto"/>
          <w:highlight w:val="none"/>
        </w:rPr>
        <w:instrText xml:space="preserve"> PAGEREF _Toc7583 \h </w:instrText>
      </w:r>
      <w:r>
        <w:rPr>
          <w:color w:val="auto"/>
          <w:highlight w:val="none"/>
        </w:rPr>
        <w:fldChar w:fldCharType="separate"/>
      </w:r>
      <w:r>
        <w:rPr>
          <w:color w:val="auto"/>
          <w:highlight w:val="none"/>
        </w:rPr>
        <w:t>- 1 -</w:t>
      </w:r>
      <w:r>
        <w:rPr>
          <w:color w:val="auto"/>
          <w:highlight w:val="none"/>
        </w:rPr>
        <w:fldChar w:fldCharType="end"/>
      </w:r>
      <w:r>
        <w:rPr>
          <w:rFonts w:hint="eastAsia" w:ascii="宋体" w:hAnsi="宋体" w:eastAsia="宋体"/>
          <w:iCs w:val="0"/>
          <w:color w:val="auto"/>
          <w:szCs w:val="21"/>
          <w:highlight w:val="none"/>
        </w:rPr>
        <w:fldChar w:fldCharType="end"/>
      </w:r>
    </w:p>
    <w:p w14:paraId="1FA3CC30">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_Toc19958 </w:instrText>
      </w:r>
      <w:r>
        <w:rPr>
          <w:rFonts w:hint="eastAsia" w:ascii="宋体" w:hAnsi="宋体"/>
          <w:color w:val="auto"/>
          <w:highlight w:val="none"/>
        </w:rPr>
        <w:fldChar w:fldCharType="separate"/>
      </w:r>
      <w:r>
        <w:rPr>
          <w:rFonts w:hint="eastAsia" w:ascii="宋体" w:hAnsi="宋体" w:cs="宋体"/>
          <w:color w:val="auto"/>
          <w:szCs w:val="21"/>
          <w:highlight w:val="none"/>
        </w:rPr>
        <w:t>一、项目基本情况</w:t>
      </w:r>
      <w:r>
        <w:rPr>
          <w:color w:val="auto"/>
          <w:highlight w:val="none"/>
        </w:rPr>
        <w:tab/>
      </w:r>
      <w:r>
        <w:rPr>
          <w:color w:val="auto"/>
          <w:highlight w:val="none"/>
        </w:rPr>
        <w:fldChar w:fldCharType="begin"/>
      </w:r>
      <w:r>
        <w:rPr>
          <w:color w:val="auto"/>
          <w:highlight w:val="none"/>
        </w:rPr>
        <w:instrText xml:space="preserve"> PAGEREF _Toc19958 \h </w:instrText>
      </w:r>
      <w:r>
        <w:rPr>
          <w:color w:val="auto"/>
          <w:highlight w:val="none"/>
        </w:rPr>
        <w:fldChar w:fldCharType="separate"/>
      </w:r>
      <w:r>
        <w:rPr>
          <w:color w:val="auto"/>
          <w:highlight w:val="none"/>
        </w:rPr>
        <w:t>- 1 -</w:t>
      </w:r>
      <w:r>
        <w:rPr>
          <w:color w:val="auto"/>
          <w:highlight w:val="none"/>
        </w:rPr>
        <w:fldChar w:fldCharType="end"/>
      </w:r>
      <w:r>
        <w:rPr>
          <w:rFonts w:hint="eastAsia" w:ascii="宋体" w:hAnsi="宋体"/>
          <w:color w:val="auto"/>
          <w:highlight w:val="none"/>
        </w:rPr>
        <w:fldChar w:fldCharType="end"/>
      </w:r>
    </w:p>
    <w:p w14:paraId="1D415B75">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_Toc126 </w:instrText>
      </w:r>
      <w:r>
        <w:rPr>
          <w:rFonts w:hint="eastAsia" w:ascii="宋体" w:hAnsi="宋体"/>
          <w:color w:val="auto"/>
          <w:highlight w:val="none"/>
        </w:rPr>
        <w:fldChar w:fldCharType="separate"/>
      </w:r>
      <w:r>
        <w:rPr>
          <w:rFonts w:hint="eastAsia" w:ascii="宋体" w:hAnsi="宋体" w:cs="宋体"/>
          <w:color w:val="auto"/>
          <w:szCs w:val="21"/>
          <w:highlight w:val="none"/>
        </w:rPr>
        <w:t>二、投标人的资格要求</w:t>
      </w:r>
      <w:r>
        <w:rPr>
          <w:color w:val="auto"/>
          <w:highlight w:val="none"/>
        </w:rPr>
        <w:tab/>
      </w:r>
      <w:r>
        <w:rPr>
          <w:color w:val="auto"/>
          <w:highlight w:val="none"/>
        </w:rPr>
        <w:fldChar w:fldCharType="begin"/>
      </w:r>
      <w:r>
        <w:rPr>
          <w:color w:val="auto"/>
          <w:highlight w:val="none"/>
        </w:rPr>
        <w:instrText xml:space="preserve"> PAGEREF _Toc126 \h </w:instrText>
      </w:r>
      <w:r>
        <w:rPr>
          <w:color w:val="auto"/>
          <w:highlight w:val="none"/>
        </w:rPr>
        <w:fldChar w:fldCharType="separate"/>
      </w:r>
      <w:r>
        <w:rPr>
          <w:color w:val="auto"/>
          <w:highlight w:val="none"/>
        </w:rPr>
        <w:t>- 2 -</w:t>
      </w:r>
      <w:r>
        <w:rPr>
          <w:color w:val="auto"/>
          <w:highlight w:val="none"/>
        </w:rPr>
        <w:fldChar w:fldCharType="end"/>
      </w:r>
      <w:r>
        <w:rPr>
          <w:rFonts w:hint="eastAsia" w:ascii="宋体" w:hAnsi="宋体"/>
          <w:color w:val="auto"/>
          <w:highlight w:val="none"/>
        </w:rPr>
        <w:fldChar w:fldCharType="end"/>
      </w:r>
    </w:p>
    <w:p w14:paraId="4234D5E9">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_Toc18731 </w:instrText>
      </w:r>
      <w:r>
        <w:rPr>
          <w:rFonts w:hint="eastAsia" w:ascii="宋体" w:hAnsi="宋体"/>
          <w:color w:val="auto"/>
          <w:highlight w:val="none"/>
        </w:rPr>
        <w:fldChar w:fldCharType="separate"/>
      </w:r>
      <w:r>
        <w:rPr>
          <w:rFonts w:hint="eastAsia" w:ascii="宋体" w:hAnsi="宋体" w:cs="宋体"/>
          <w:color w:val="auto"/>
          <w:szCs w:val="21"/>
          <w:highlight w:val="none"/>
        </w:rPr>
        <w:t>三、获取招标文件</w:t>
      </w:r>
      <w:r>
        <w:rPr>
          <w:color w:val="auto"/>
          <w:highlight w:val="none"/>
        </w:rPr>
        <w:tab/>
      </w:r>
      <w:r>
        <w:rPr>
          <w:color w:val="auto"/>
          <w:highlight w:val="none"/>
        </w:rPr>
        <w:fldChar w:fldCharType="begin"/>
      </w:r>
      <w:r>
        <w:rPr>
          <w:color w:val="auto"/>
          <w:highlight w:val="none"/>
        </w:rPr>
        <w:instrText xml:space="preserve"> PAGEREF _Toc18731 \h </w:instrText>
      </w:r>
      <w:r>
        <w:rPr>
          <w:color w:val="auto"/>
          <w:highlight w:val="none"/>
        </w:rPr>
        <w:fldChar w:fldCharType="separate"/>
      </w:r>
      <w:r>
        <w:rPr>
          <w:color w:val="auto"/>
          <w:highlight w:val="none"/>
        </w:rPr>
        <w:t>- 2 -</w:t>
      </w:r>
      <w:r>
        <w:rPr>
          <w:color w:val="auto"/>
          <w:highlight w:val="none"/>
        </w:rPr>
        <w:fldChar w:fldCharType="end"/>
      </w:r>
      <w:r>
        <w:rPr>
          <w:rFonts w:hint="eastAsia" w:ascii="宋体" w:hAnsi="宋体"/>
          <w:color w:val="auto"/>
          <w:highlight w:val="none"/>
        </w:rPr>
        <w:fldChar w:fldCharType="end"/>
      </w:r>
    </w:p>
    <w:p w14:paraId="3D4E5F0B">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_Toc3458 </w:instrText>
      </w:r>
      <w:r>
        <w:rPr>
          <w:rFonts w:hint="eastAsia" w:ascii="宋体" w:hAnsi="宋体"/>
          <w:color w:val="auto"/>
          <w:highlight w:val="none"/>
        </w:rPr>
        <w:fldChar w:fldCharType="separate"/>
      </w:r>
      <w:r>
        <w:rPr>
          <w:rFonts w:hint="eastAsia" w:ascii="宋体" w:hAnsi="宋体" w:cs="宋体"/>
          <w:color w:val="auto"/>
          <w:szCs w:val="21"/>
          <w:highlight w:val="none"/>
        </w:rPr>
        <w:t>四、提交投标文件截止时间、开标时间和地点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_Toc3458 \h </w:instrText>
      </w:r>
      <w:r>
        <w:rPr>
          <w:color w:val="auto"/>
          <w:highlight w:val="none"/>
        </w:rPr>
        <w:fldChar w:fldCharType="separate"/>
      </w:r>
      <w:r>
        <w:rPr>
          <w:color w:val="auto"/>
          <w:highlight w:val="none"/>
        </w:rPr>
        <w:t>- 3 -</w:t>
      </w:r>
      <w:r>
        <w:rPr>
          <w:color w:val="auto"/>
          <w:highlight w:val="none"/>
        </w:rPr>
        <w:fldChar w:fldCharType="end"/>
      </w:r>
      <w:r>
        <w:rPr>
          <w:rFonts w:hint="eastAsia" w:ascii="宋体" w:hAnsi="宋体"/>
          <w:color w:val="auto"/>
          <w:highlight w:val="none"/>
        </w:rPr>
        <w:fldChar w:fldCharType="end"/>
      </w:r>
    </w:p>
    <w:p w14:paraId="70229D30">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_Toc26579 </w:instrText>
      </w:r>
      <w:r>
        <w:rPr>
          <w:rFonts w:hint="eastAsia" w:ascii="宋体" w:hAnsi="宋体"/>
          <w:color w:val="auto"/>
          <w:highlight w:val="none"/>
        </w:rPr>
        <w:fldChar w:fldCharType="separate"/>
      </w:r>
      <w:r>
        <w:rPr>
          <w:rFonts w:hint="eastAsia" w:ascii="宋体" w:hAnsi="宋体" w:cs="宋体"/>
          <w:color w:val="auto"/>
          <w:szCs w:val="21"/>
          <w:highlight w:val="none"/>
        </w:rPr>
        <w:t>五、公告期限</w:t>
      </w:r>
      <w:r>
        <w:rPr>
          <w:color w:val="auto"/>
          <w:highlight w:val="none"/>
        </w:rPr>
        <w:tab/>
      </w:r>
      <w:r>
        <w:rPr>
          <w:color w:val="auto"/>
          <w:highlight w:val="none"/>
        </w:rPr>
        <w:fldChar w:fldCharType="begin"/>
      </w:r>
      <w:r>
        <w:rPr>
          <w:color w:val="auto"/>
          <w:highlight w:val="none"/>
        </w:rPr>
        <w:instrText xml:space="preserve"> PAGEREF _Toc26579 \h </w:instrText>
      </w:r>
      <w:r>
        <w:rPr>
          <w:color w:val="auto"/>
          <w:highlight w:val="none"/>
        </w:rPr>
        <w:fldChar w:fldCharType="separate"/>
      </w:r>
      <w:r>
        <w:rPr>
          <w:color w:val="auto"/>
          <w:highlight w:val="none"/>
        </w:rPr>
        <w:t>- 3 -</w:t>
      </w:r>
      <w:r>
        <w:rPr>
          <w:color w:val="auto"/>
          <w:highlight w:val="none"/>
        </w:rPr>
        <w:fldChar w:fldCharType="end"/>
      </w:r>
      <w:r>
        <w:rPr>
          <w:rFonts w:hint="eastAsia" w:ascii="宋体" w:hAnsi="宋体"/>
          <w:color w:val="auto"/>
          <w:highlight w:val="none"/>
        </w:rPr>
        <w:fldChar w:fldCharType="end"/>
      </w:r>
    </w:p>
    <w:p w14:paraId="377E3FD5">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_Toc7053 </w:instrText>
      </w:r>
      <w:r>
        <w:rPr>
          <w:rFonts w:hint="eastAsia" w:ascii="宋体" w:hAnsi="宋体"/>
          <w:color w:val="auto"/>
          <w:highlight w:val="none"/>
        </w:rPr>
        <w:fldChar w:fldCharType="separate"/>
      </w:r>
      <w:r>
        <w:rPr>
          <w:rFonts w:hint="eastAsia" w:ascii="宋体" w:hAnsi="宋体" w:cs="宋体"/>
          <w:color w:val="auto"/>
          <w:szCs w:val="21"/>
          <w:highlight w:val="none"/>
        </w:rPr>
        <w:t>六、其他补充事宜</w:t>
      </w:r>
      <w:r>
        <w:rPr>
          <w:color w:val="auto"/>
          <w:highlight w:val="none"/>
        </w:rPr>
        <w:tab/>
      </w:r>
      <w:r>
        <w:rPr>
          <w:color w:val="auto"/>
          <w:highlight w:val="none"/>
        </w:rPr>
        <w:fldChar w:fldCharType="begin"/>
      </w:r>
      <w:r>
        <w:rPr>
          <w:color w:val="auto"/>
          <w:highlight w:val="none"/>
        </w:rPr>
        <w:instrText xml:space="preserve"> PAGEREF _Toc7053 \h </w:instrText>
      </w:r>
      <w:r>
        <w:rPr>
          <w:color w:val="auto"/>
          <w:highlight w:val="none"/>
        </w:rPr>
        <w:fldChar w:fldCharType="separate"/>
      </w:r>
      <w:r>
        <w:rPr>
          <w:color w:val="auto"/>
          <w:highlight w:val="none"/>
        </w:rPr>
        <w:t>- 3 -</w:t>
      </w:r>
      <w:r>
        <w:rPr>
          <w:color w:val="auto"/>
          <w:highlight w:val="none"/>
        </w:rPr>
        <w:fldChar w:fldCharType="end"/>
      </w:r>
      <w:r>
        <w:rPr>
          <w:rFonts w:hint="eastAsia" w:ascii="宋体" w:hAnsi="宋体"/>
          <w:color w:val="auto"/>
          <w:highlight w:val="none"/>
        </w:rPr>
        <w:fldChar w:fldCharType="end"/>
      </w:r>
    </w:p>
    <w:p w14:paraId="55E7BB09">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_Toc20041 </w:instrText>
      </w:r>
      <w:r>
        <w:rPr>
          <w:rFonts w:hint="eastAsia" w:ascii="宋体" w:hAnsi="宋体"/>
          <w:color w:val="auto"/>
          <w:highlight w:val="none"/>
        </w:rPr>
        <w:fldChar w:fldCharType="separate"/>
      </w:r>
      <w:r>
        <w:rPr>
          <w:rFonts w:hint="eastAsia" w:ascii="宋体" w:hAnsi="宋体" w:cs="宋体"/>
          <w:color w:val="auto"/>
          <w:szCs w:val="21"/>
          <w:highlight w:val="none"/>
        </w:rPr>
        <w:t>七、对本次招标提出询问，请按以下方式联系。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_Toc20041 \h </w:instrText>
      </w:r>
      <w:r>
        <w:rPr>
          <w:color w:val="auto"/>
          <w:highlight w:val="none"/>
        </w:rPr>
        <w:fldChar w:fldCharType="separate"/>
      </w:r>
      <w:r>
        <w:rPr>
          <w:color w:val="auto"/>
          <w:highlight w:val="none"/>
        </w:rPr>
        <w:t>- 3 -</w:t>
      </w:r>
      <w:r>
        <w:rPr>
          <w:color w:val="auto"/>
          <w:highlight w:val="none"/>
        </w:rPr>
        <w:fldChar w:fldCharType="end"/>
      </w:r>
      <w:r>
        <w:rPr>
          <w:rFonts w:hint="eastAsia" w:ascii="宋体" w:hAnsi="宋体"/>
          <w:color w:val="auto"/>
          <w:highlight w:val="none"/>
        </w:rPr>
        <w:fldChar w:fldCharType="end"/>
      </w:r>
    </w:p>
    <w:p w14:paraId="31F074A8">
      <w:pPr>
        <w:pStyle w:val="15"/>
        <w:tabs>
          <w:tab w:val="right" w:leader="dot" w:pos="952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_Toc19080 </w:instrText>
      </w:r>
      <w:r>
        <w:rPr>
          <w:rFonts w:hint="eastAsia" w:ascii="宋体" w:hAnsi="宋体"/>
          <w:color w:val="auto"/>
          <w:highlight w:val="none"/>
        </w:rPr>
        <w:fldChar w:fldCharType="separate"/>
      </w:r>
      <w:r>
        <w:rPr>
          <w:rFonts w:hint="eastAsia" w:ascii="黑体" w:hAnsi="黑体" w:eastAsia="黑体"/>
          <w:color w:val="auto"/>
          <w:szCs w:val="28"/>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_Toc19080 \h </w:instrText>
      </w:r>
      <w:r>
        <w:rPr>
          <w:color w:val="auto"/>
          <w:highlight w:val="none"/>
        </w:rPr>
        <w:fldChar w:fldCharType="separate"/>
      </w:r>
      <w:r>
        <w:rPr>
          <w:color w:val="auto"/>
          <w:highlight w:val="none"/>
        </w:rPr>
        <w:t>- 4 -</w:t>
      </w:r>
      <w:r>
        <w:rPr>
          <w:color w:val="auto"/>
          <w:highlight w:val="none"/>
        </w:rPr>
        <w:fldChar w:fldCharType="end"/>
      </w:r>
      <w:r>
        <w:rPr>
          <w:rFonts w:hint="eastAsia" w:ascii="宋体" w:hAnsi="宋体"/>
          <w:color w:val="auto"/>
          <w:highlight w:val="none"/>
        </w:rPr>
        <w:fldChar w:fldCharType="end"/>
      </w:r>
    </w:p>
    <w:p w14:paraId="7B1962A1">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_Toc24036 </w:instrText>
      </w:r>
      <w:r>
        <w:rPr>
          <w:rFonts w:hint="eastAsia" w:ascii="宋体" w:hAnsi="宋体"/>
          <w:color w:val="auto"/>
          <w:highlight w:val="none"/>
        </w:rPr>
        <w:fldChar w:fldCharType="separate"/>
      </w:r>
      <w:r>
        <w:rPr>
          <w:rFonts w:hint="eastAsia" w:ascii="宋体" w:hAnsi="宋体"/>
          <w:bCs/>
          <w:color w:val="auto"/>
          <w:szCs w:val="21"/>
          <w:highlight w:val="none"/>
          <w:lang w:val="zh-CN"/>
        </w:rPr>
        <w:t>投标人须知前附表</w:t>
      </w:r>
      <w:r>
        <w:rPr>
          <w:color w:val="auto"/>
          <w:highlight w:val="none"/>
        </w:rPr>
        <w:tab/>
      </w:r>
      <w:r>
        <w:rPr>
          <w:color w:val="auto"/>
          <w:highlight w:val="none"/>
        </w:rPr>
        <w:fldChar w:fldCharType="begin"/>
      </w:r>
      <w:r>
        <w:rPr>
          <w:color w:val="auto"/>
          <w:highlight w:val="none"/>
        </w:rPr>
        <w:instrText xml:space="preserve"> PAGEREF _Toc24036 \h </w:instrText>
      </w:r>
      <w:r>
        <w:rPr>
          <w:color w:val="auto"/>
          <w:highlight w:val="none"/>
        </w:rPr>
        <w:fldChar w:fldCharType="separate"/>
      </w:r>
      <w:r>
        <w:rPr>
          <w:color w:val="auto"/>
          <w:highlight w:val="none"/>
        </w:rPr>
        <w:t>- 4 -</w:t>
      </w:r>
      <w:r>
        <w:rPr>
          <w:color w:val="auto"/>
          <w:highlight w:val="none"/>
        </w:rPr>
        <w:fldChar w:fldCharType="end"/>
      </w:r>
      <w:r>
        <w:rPr>
          <w:rFonts w:hint="eastAsia" w:ascii="宋体" w:hAnsi="宋体"/>
          <w:color w:val="auto"/>
          <w:highlight w:val="none"/>
        </w:rPr>
        <w:fldChar w:fldCharType="end"/>
      </w:r>
    </w:p>
    <w:p w14:paraId="2333EE5B">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_Toc31545 </w:instrText>
      </w:r>
      <w:r>
        <w:rPr>
          <w:rFonts w:hint="eastAsia" w:ascii="宋体" w:hAnsi="宋体"/>
          <w:color w:val="auto"/>
          <w:highlight w:val="none"/>
        </w:rPr>
        <w:fldChar w:fldCharType="separate"/>
      </w:r>
      <w:r>
        <w:rPr>
          <w:rFonts w:hint="eastAsia" w:ascii="宋体" w:hAnsi="宋体"/>
          <w:bCs/>
          <w:color w:val="auto"/>
          <w:szCs w:val="21"/>
          <w:highlight w:val="none"/>
          <w:lang w:val="zh-CN"/>
        </w:rPr>
        <w:t>投标人须知</w:t>
      </w:r>
      <w:r>
        <w:rPr>
          <w:color w:val="auto"/>
          <w:highlight w:val="none"/>
        </w:rPr>
        <w:tab/>
      </w:r>
      <w:r>
        <w:rPr>
          <w:color w:val="auto"/>
          <w:highlight w:val="none"/>
        </w:rPr>
        <w:fldChar w:fldCharType="begin"/>
      </w:r>
      <w:r>
        <w:rPr>
          <w:color w:val="auto"/>
          <w:highlight w:val="none"/>
        </w:rPr>
        <w:instrText xml:space="preserve"> PAGEREF _Toc31545 \h </w:instrText>
      </w:r>
      <w:r>
        <w:rPr>
          <w:color w:val="auto"/>
          <w:highlight w:val="none"/>
        </w:rPr>
        <w:fldChar w:fldCharType="separate"/>
      </w:r>
      <w:r>
        <w:rPr>
          <w:color w:val="auto"/>
          <w:highlight w:val="none"/>
        </w:rPr>
        <w:t>- 7 -</w:t>
      </w:r>
      <w:r>
        <w:rPr>
          <w:color w:val="auto"/>
          <w:highlight w:val="none"/>
        </w:rPr>
        <w:fldChar w:fldCharType="end"/>
      </w:r>
      <w:r>
        <w:rPr>
          <w:rFonts w:hint="eastAsia" w:ascii="宋体" w:hAnsi="宋体"/>
          <w:color w:val="auto"/>
          <w:highlight w:val="none"/>
        </w:rPr>
        <w:fldChar w:fldCharType="end"/>
      </w:r>
    </w:p>
    <w:p w14:paraId="0CC56BC2">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_Toc3570 </w:instrText>
      </w:r>
      <w:r>
        <w:rPr>
          <w:rFonts w:hint="eastAsia" w:ascii="宋体" w:hAnsi="宋体"/>
          <w:color w:val="auto"/>
          <w:highlight w:val="none"/>
        </w:rPr>
        <w:fldChar w:fldCharType="separate"/>
      </w:r>
      <w:r>
        <w:rPr>
          <w:rFonts w:ascii="宋体" w:hAnsi="宋体"/>
          <w:color w:val="auto"/>
          <w:kern w:val="0"/>
          <w:szCs w:val="21"/>
          <w:highlight w:val="none"/>
          <w:lang w:val="zh-CN"/>
        </w:rPr>
        <w:t xml:space="preserve">一、 </w:t>
      </w:r>
      <w:r>
        <w:rPr>
          <w:rFonts w:hint="eastAsia" w:ascii="宋体" w:hAnsi="宋体"/>
          <w:color w:val="auto"/>
          <w:kern w:val="0"/>
          <w:szCs w:val="21"/>
          <w:highlight w:val="none"/>
          <w:lang w:val="zh-CN"/>
        </w:rPr>
        <w:t>说明</w:t>
      </w:r>
      <w:r>
        <w:rPr>
          <w:color w:val="auto"/>
          <w:highlight w:val="none"/>
        </w:rPr>
        <w:tab/>
      </w:r>
      <w:r>
        <w:rPr>
          <w:color w:val="auto"/>
          <w:highlight w:val="none"/>
        </w:rPr>
        <w:fldChar w:fldCharType="begin"/>
      </w:r>
      <w:r>
        <w:rPr>
          <w:color w:val="auto"/>
          <w:highlight w:val="none"/>
        </w:rPr>
        <w:instrText xml:space="preserve"> PAGEREF _Toc3570 \h </w:instrText>
      </w:r>
      <w:r>
        <w:rPr>
          <w:color w:val="auto"/>
          <w:highlight w:val="none"/>
        </w:rPr>
        <w:fldChar w:fldCharType="separate"/>
      </w:r>
      <w:r>
        <w:rPr>
          <w:color w:val="auto"/>
          <w:highlight w:val="none"/>
        </w:rPr>
        <w:t>- 7 -</w:t>
      </w:r>
      <w:r>
        <w:rPr>
          <w:color w:val="auto"/>
          <w:highlight w:val="none"/>
        </w:rPr>
        <w:fldChar w:fldCharType="end"/>
      </w:r>
      <w:r>
        <w:rPr>
          <w:rFonts w:hint="eastAsia" w:ascii="宋体" w:hAnsi="宋体"/>
          <w:color w:val="auto"/>
          <w:highlight w:val="none"/>
        </w:rPr>
        <w:fldChar w:fldCharType="end"/>
      </w:r>
    </w:p>
    <w:p w14:paraId="095FB925">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_Toc714 </w:instrText>
      </w:r>
      <w:r>
        <w:rPr>
          <w:rFonts w:hint="eastAsia" w:ascii="宋体" w:hAnsi="宋体"/>
          <w:color w:val="auto"/>
          <w:highlight w:val="none"/>
        </w:rPr>
        <w:fldChar w:fldCharType="separate"/>
      </w:r>
      <w:r>
        <w:rPr>
          <w:rFonts w:ascii="宋体" w:hAnsi="宋体"/>
          <w:color w:val="auto"/>
          <w:kern w:val="0"/>
          <w:szCs w:val="21"/>
          <w:highlight w:val="none"/>
          <w:lang w:val="zh-CN"/>
        </w:rPr>
        <w:t xml:space="preserve">二、 </w:t>
      </w:r>
      <w:r>
        <w:rPr>
          <w:rFonts w:hint="eastAsia" w:ascii="宋体" w:hAnsi="宋体"/>
          <w:color w:val="auto"/>
          <w:kern w:val="0"/>
          <w:szCs w:val="21"/>
          <w:highlight w:val="none"/>
          <w:lang w:val="zh-CN"/>
        </w:rPr>
        <w:t>招标文件</w:t>
      </w:r>
      <w:r>
        <w:rPr>
          <w:color w:val="auto"/>
          <w:highlight w:val="none"/>
        </w:rPr>
        <w:tab/>
      </w:r>
      <w:r>
        <w:rPr>
          <w:color w:val="auto"/>
          <w:highlight w:val="none"/>
        </w:rPr>
        <w:fldChar w:fldCharType="begin"/>
      </w:r>
      <w:r>
        <w:rPr>
          <w:color w:val="auto"/>
          <w:highlight w:val="none"/>
        </w:rPr>
        <w:instrText xml:space="preserve"> PAGEREF _Toc714 \h </w:instrText>
      </w:r>
      <w:r>
        <w:rPr>
          <w:color w:val="auto"/>
          <w:highlight w:val="none"/>
        </w:rPr>
        <w:fldChar w:fldCharType="separate"/>
      </w:r>
      <w:r>
        <w:rPr>
          <w:color w:val="auto"/>
          <w:highlight w:val="none"/>
        </w:rPr>
        <w:t>- 8 -</w:t>
      </w:r>
      <w:r>
        <w:rPr>
          <w:color w:val="auto"/>
          <w:highlight w:val="none"/>
        </w:rPr>
        <w:fldChar w:fldCharType="end"/>
      </w:r>
      <w:r>
        <w:rPr>
          <w:rFonts w:hint="eastAsia" w:ascii="宋体" w:hAnsi="宋体"/>
          <w:color w:val="auto"/>
          <w:highlight w:val="none"/>
        </w:rPr>
        <w:fldChar w:fldCharType="end"/>
      </w:r>
    </w:p>
    <w:p w14:paraId="2900BBB2">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_Toc5545 </w:instrText>
      </w:r>
      <w:r>
        <w:rPr>
          <w:rFonts w:hint="eastAsia" w:ascii="宋体" w:hAnsi="宋体"/>
          <w:color w:val="auto"/>
          <w:highlight w:val="none"/>
        </w:rPr>
        <w:fldChar w:fldCharType="separate"/>
      </w:r>
      <w:r>
        <w:rPr>
          <w:rFonts w:ascii="宋体" w:hAnsi="宋体"/>
          <w:color w:val="auto"/>
          <w:kern w:val="0"/>
          <w:szCs w:val="21"/>
          <w:highlight w:val="none"/>
          <w:lang w:val="zh-CN"/>
        </w:rPr>
        <w:t xml:space="preserve">三、 </w:t>
      </w:r>
      <w:r>
        <w:rPr>
          <w:rFonts w:hint="eastAsia" w:ascii="宋体" w:hAnsi="宋体"/>
          <w:color w:val="auto"/>
          <w:kern w:val="0"/>
          <w:szCs w:val="21"/>
          <w:highlight w:val="none"/>
          <w:lang w:val="zh-CN"/>
        </w:rPr>
        <w:t>投标文件</w:t>
      </w:r>
      <w:r>
        <w:rPr>
          <w:color w:val="auto"/>
          <w:highlight w:val="none"/>
        </w:rPr>
        <w:tab/>
      </w:r>
      <w:r>
        <w:rPr>
          <w:color w:val="auto"/>
          <w:highlight w:val="none"/>
        </w:rPr>
        <w:fldChar w:fldCharType="begin"/>
      </w:r>
      <w:r>
        <w:rPr>
          <w:color w:val="auto"/>
          <w:highlight w:val="none"/>
        </w:rPr>
        <w:instrText xml:space="preserve"> PAGEREF _Toc5545 \h </w:instrText>
      </w:r>
      <w:r>
        <w:rPr>
          <w:color w:val="auto"/>
          <w:highlight w:val="none"/>
        </w:rPr>
        <w:fldChar w:fldCharType="separate"/>
      </w:r>
      <w:r>
        <w:rPr>
          <w:color w:val="auto"/>
          <w:highlight w:val="none"/>
        </w:rPr>
        <w:t>- 9 -</w:t>
      </w:r>
      <w:r>
        <w:rPr>
          <w:color w:val="auto"/>
          <w:highlight w:val="none"/>
        </w:rPr>
        <w:fldChar w:fldCharType="end"/>
      </w:r>
      <w:r>
        <w:rPr>
          <w:rFonts w:hint="eastAsia" w:ascii="宋体" w:hAnsi="宋体"/>
          <w:color w:val="auto"/>
          <w:highlight w:val="none"/>
        </w:rPr>
        <w:fldChar w:fldCharType="end"/>
      </w:r>
    </w:p>
    <w:p w14:paraId="40BEFE49">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_Toc24456 </w:instrText>
      </w:r>
      <w:r>
        <w:rPr>
          <w:rFonts w:hint="eastAsia" w:ascii="宋体" w:hAnsi="宋体"/>
          <w:color w:val="auto"/>
          <w:highlight w:val="none"/>
        </w:rPr>
        <w:fldChar w:fldCharType="separate"/>
      </w:r>
      <w:r>
        <w:rPr>
          <w:rFonts w:ascii="宋体" w:hAnsi="宋体"/>
          <w:color w:val="auto"/>
          <w:kern w:val="0"/>
          <w:szCs w:val="21"/>
          <w:highlight w:val="none"/>
          <w:lang w:val="zh-CN"/>
        </w:rPr>
        <w:t xml:space="preserve">四、 </w:t>
      </w:r>
      <w:r>
        <w:rPr>
          <w:rFonts w:hint="eastAsia" w:ascii="宋体" w:hAnsi="宋体"/>
          <w:color w:val="auto"/>
          <w:kern w:val="0"/>
          <w:szCs w:val="21"/>
          <w:highlight w:val="none"/>
          <w:lang w:val="zh-CN"/>
        </w:rPr>
        <w:t>开标与评标</w:t>
      </w:r>
      <w:r>
        <w:rPr>
          <w:color w:val="auto"/>
          <w:highlight w:val="none"/>
        </w:rPr>
        <w:tab/>
      </w:r>
      <w:r>
        <w:rPr>
          <w:color w:val="auto"/>
          <w:highlight w:val="none"/>
        </w:rPr>
        <w:fldChar w:fldCharType="begin"/>
      </w:r>
      <w:r>
        <w:rPr>
          <w:color w:val="auto"/>
          <w:highlight w:val="none"/>
        </w:rPr>
        <w:instrText xml:space="preserve"> PAGEREF _Toc24456 \h </w:instrText>
      </w:r>
      <w:r>
        <w:rPr>
          <w:color w:val="auto"/>
          <w:highlight w:val="none"/>
        </w:rPr>
        <w:fldChar w:fldCharType="separate"/>
      </w:r>
      <w:r>
        <w:rPr>
          <w:color w:val="auto"/>
          <w:highlight w:val="none"/>
        </w:rPr>
        <w:t>- 13 -</w:t>
      </w:r>
      <w:r>
        <w:rPr>
          <w:color w:val="auto"/>
          <w:highlight w:val="none"/>
        </w:rPr>
        <w:fldChar w:fldCharType="end"/>
      </w:r>
      <w:r>
        <w:rPr>
          <w:rFonts w:hint="eastAsia" w:ascii="宋体" w:hAnsi="宋体"/>
          <w:color w:val="auto"/>
          <w:highlight w:val="none"/>
        </w:rPr>
        <w:fldChar w:fldCharType="end"/>
      </w:r>
    </w:p>
    <w:p w14:paraId="57818D58">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_Toc13920 </w:instrText>
      </w:r>
      <w:r>
        <w:rPr>
          <w:rFonts w:hint="eastAsia" w:ascii="宋体" w:hAnsi="宋体"/>
          <w:color w:val="auto"/>
          <w:highlight w:val="none"/>
        </w:rPr>
        <w:fldChar w:fldCharType="separate"/>
      </w:r>
      <w:r>
        <w:rPr>
          <w:rFonts w:ascii="宋体" w:hAnsi="宋体"/>
          <w:color w:val="auto"/>
          <w:kern w:val="0"/>
          <w:szCs w:val="21"/>
          <w:highlight w:val="none"/>
          <w:lang w:val="zh-CN"/>
        </w:rPr>
        <w:t xml:space="preserve">五、 </w:t>
      </w:r>
      <w:r>
        <w:rPr>
          <w:rFonts w:hint="eastAsia" w:ascii="宋体" w:hAnsi="宋体"/>
          <w:color w:val="auto"/>
          <w:kern w:val="0"/>
          <w:szCs w:val="21"/>
          <w:highlight w:val="none"/>
          <w:lang w:val="zh-CN"/>
        </w:rPr>
        <w:t>投标人信用信息及查询</w:t>
      </w:r>
      <w:r>
        <w:rPr>
          <w:color w:val="auto"/>
          <w:highlight w:val="none"/>
        </w:rPr>
        <w:tab/>
      </w:r>
      <w:r>
        <w:rPr>
          <w:color w:val="auto"/>
          <w:highlight w:val="none"/>
        </w:rPr>
        <w:fldChar w:fldCharType="begin"/>
      </w:r>
      <w:r>
        <w:rPr>
          <w:color w:val="auto"/>
          <w:highlight w:val="none"/>
        </w:rPr>
        <w:instrText xml:space="preserve"> PAGEREF _Toc13920 \h </w:instrText>
      </w:r>
      <w:r>
        <w:rPr>
          <w:color w:val="auto"/>
          <w:highlight w:val="none"/>
        </w:rPr>
        <w:fldChar w:fldCharType="separate"/>
      </w:r>
      <w:r>
        <w:rPr>
          <w:color w:val="auto"/>
          <w:highlight w:val="none"/>
        </w:rPr>
        <w:t>- 13 -</w:t>
      </w:r>
      <w:r>
        <w:rPr>
          <w:color w:val="auto"/>
          <w:highlight w:val="none"/>
        </w:rPr>
        <w:fldChar w:fldCharType="end"/>
      </w:r>
      <w:r>
        <w:rPr>
          <w:rFonts w:hint="eastAsia" w:ascii="宋体" w:hAnsi="宋体"/>
          <w:color w:val="auto"/>
          <w:highlight w:val="none"/>
        </w:rPr>
        <w:fldChar w:fldCharType="end"/>
      </w:r>
    </w:p>
    <w:p w14:paraId="735D8E78">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_Toc8361 </w:instrText>
      </w:r>
      <w:r>
        <w:rPr>
          <w:rFonts w:hint="eastAsia" w:ascii="宋体" w:hAnsi="宋体"/>
          <w:color w:val="auto"/>
          <w:highlight w:val="none"/>
        </w:rPr>
        <w:fldChar w:fldCharType="separate"/>
      </w:r>
      <w:r>
        <w:rPr>
          <w:rFonts w:ascii="宋体" w:hAnsi="宋体"/>
          <w:color w:val="auto"/>
          <w:kern w:val="0"/>
          <w:szCs w:val="21"/>
          <w:highlight w:val="none"/>
          <w:lang w:val="zh-CN"/>
        </w:rPr>
        <w:t xml:space="preserve">六、 </w:t>
      </w:r>
      <w:r>
        <w:rPr>
          <w:rFonts w:hint="eastAsia" w:ascii="宋体" w:hAnsi="宋体"/>
          <w:color w:val="auto"/>
          <w:kern w:val="0"/>
          <w:szCs w:val="21"/>
          <w:highlight w:val="none"/>
          <w:lang w:val="zh-CN"/>
        </w:rPr>
        <w:t>中标与合同</w:t>
      </w:r>
      <w:r>
        <w:rPr>
          <w:color w:val="auto"/>
          <w:highlight w:val="none"/>
        </w:rPr>
        <w:tab/>
      </w:r>
      <w:r>
        <w:rPr>
          <w:color w:val="auto"/>
          <w:highlight w:val="none"/>
        </w:rPr>
        <w:fldChar w:fldCharType="begin"/>
      </w:r>
      <w:r>
        <w:rPr>
          <w:color w:val="auto"/>
          <w:highlight w:val="none"/>
        </w:rPr>
        <w:instrText xml:space="preserve"> PAGEREF _Toc8361 \h </w:instrText>
      </w:r>
      <w:r>
        <w:rPr>
          <w:color w:val="auto"/>
          <w:highlight w:val="none"/>
        </w:rPr>
        <w:fldChar w:fldCharType="separate"/>
      </w:r>
      <w:r>
        <w:rPr>
          <w:color w:val="auto"/>
          <w:highlight w:val="none"/>
        </w:rPr>
        <w:t>- 14 -</w:t>
      </w:r>
      <w:r>
        <w:rPr>
          <w:color w:val="auto"/>
          <w:highlight w:val="none"/>
        </w:rPr>
        <w:fldChar w:fldCharType="end"/>
      </w:r>
      <w:r>
        <w:rPr>
          <w:rFonts w:hint="eastAsia" w:ascii="宋体" w:hAnsi="宋体"/>
          <w:color w:val="auto"/>
          <w:highlight w:val="none"/>
        </w:rPr>
        <w:fldChar w:fldCharType="end"/>
      </w:r>
    </w:p>
    <w:p w14:paraId="296E8215">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_Toc12495 </w:instrText>
      </w:r>
      <w:r>
        <w:rPr>
          <w:rFonts w:hint="eastAsia" w:ascii="宋体" w:hAnsi="宋体"/>
          <w:color w:val="auto"/>
          <w:highlight w:val="none"/>
        </w:rPr>
        <w:fldChar w:fldCharType="separate"/>
      </w:r>
      <w:r>
        <w:rPr>
          <w:rFonts w:ascii="宋体" w:hAnsi="宋体"/>
          <w:color w:val="auto"/>
          <w:kern w:val="0"/>
          <w:szCs w:val="21"/>
          <w:highlight w:val="none"/>
          <w:lang w:val="zh-CN"/>
        </w:rPr>
        <w:t xml:space="preserve">七、 </w:t>
      </w:r>
      <w:r>
        <w:rPr>
          <w:rFonts w:hint="eastAsia" w:ascii="宋体" w:hAnsi="宋体"/>
          <w:color w:val="auto"/>
          <w:kern w:val="0"/>
          <w:szCs w:val="21"/>
          <w:highlight w:val="none"/>
          <w:lang w:val="zh-CN"/>
        </w:rPr>
        <w:t>采购信息公告</w:t>
      </w:r>
      <w:r>
        <w:rPr>
          <w:color w:val="auto"/>
          <w:highlight w:val="none"/>
        </w:rPr>
        <w:tab/>
      </w:r>
      <w:r>
        <w:rPr>
          <w:color w:val="auto"/>
          <w:highlight w:val="none"/>
        </w:rPr>
        <w:fldChar w:fldCharType="begin"/>
      </w:r>
      <w:r>
        <w:rPr>
          <w:color w:val="auto"/>
          <w:highlight w:val="none"/>
        </w:rPr>
        <w:instrText xml:space="preserve"> PAGEREF _Toc12495 \h </w:instrText>
      </w:r>
      <w:r>
        <w:rPr>
          <w:color w:val="auto"/>
          <w:highlight w:val="none"/>
        </w:rPr>
        <w:fldChar w:fldCharType="separate"/>
      </w:r>
      <w:r>
        <w:rPr>
          <w:color w:val="auto"/>
          <w:highlight w:val="none"/>
        </w:rPr>
        <w:t>- 15 -</w:t>
      </w:r>
      <w:r>
        <w:rPr>
          <w:color w:val="auto"/>
          <w:highlight w:val="none"/>
        </w:rPr>
        <w:fldChar w:fldCharType="end"/>
      </w:r>
      <w:r>
        <w:rPr>
          <w:rFonts w:hint="eastAsia" w:ascii="宋体" w:hAnsi="宋体"/>
          <w:color w:val="auto"/>
          <w:highlight w:val="none"/>
        </w:rPr>
        <w:fldChar w:fldCharType="end"/>
      </w:r>
    </w:p>
    <w:p w14:paraId="2F0A761D">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_Toc270 </w:instrText>
      </w:r>
      <w:r>
        <w:rPr>
          <w:rFonts w:hint="eastAsia" w:ascii="宋体" w:hAnsi="宋体"/>
          <w:color w:val="auto"/>
          <w:highlight w:val="none"/>
        </w:rPr>
        <w:fldChar w:fldCharType="separate"/>
      </w:r>
      <w:r>
        <w:rPr>
          <w:rFonts w:ascii="宋体" w:hAnsi="宋体"/>
          <w:color w:val="auto"/>
          <w:kern w:val="0"/>
          <w:szCs w:val="21"/>
          <w:highlight w:val="none"/>
          <w:lang w:val="zh-CN"/>
        </w:rPr>
        <w:t xml:space="preserve">八、 </w:t>
      </w:r>
      <w:r>
        <w:rPr>
          <w:rFonts w:hint="eastAsia" w:ascii="宋体" w:hAnsi="宋体"/>
          <w:color w:val="auto"/>
          <w:kern w:val="0"/>
          <w:szCs w:val="21"/>
          <w:highlight w:val="none"/>
          <w:lang w:val="zh-CN"/>
        </w:rPr>
        <w:t>质疑及提交</w:t>
      </w:r>
      <w:r>
        <w:rPr>
          <w:color w:val="auto"/>
          <w:highlight w:val="none"/>
        </w:rPr>
        <w:tab/>
      </w:r>
      <w:r>
        <w:rPr>
          <w:color w:val="auto"/>
          <w:highlight w:val="none"/>
        </w:rPr>
        <w:fldChar w:fldCharType="begin"/>
      </w:r>
      <w:r>
        <w:rPr>
          <w:color w:val="auto"/>
          <w:highlight w:val="none"/>
        </w:rPr>
        <w:instrText xml:space="preserve"> PAGEREF _Toc270 \h </w:instrText>
      </w:r>
      <w:r>
        <w:rPr>
          <w:color w:val="auto"/>
          <w:highlight w:val="none"/>
        </w:rPr>
        <w:fldChar w:fldCharType="separate"/>
      </w:r>
      <w:r>
        <w:rPr>
          <w:color w:val="auto"/>
          <w:highlight w:val="none"/>
        </w:rPr>
        <w:t>- 15 -</w:t>
      </w:r>
      <w:r>
        <w:rPr>
          <w:color w:val="auto"/>
          <w:highlight w:val="none"/>
        </w:rPr>
        <w:fldChar w:fldCharType="end"/>
      </w:r>
      <w:r>
        <w:rPr>
          <w:rFonts w:hint="eastAsia" w:ascii="宋体" w:hAnsi="宋体"/>
          <w:color w:val="auto"/>
          <w:highlight w:val="none"/>
        </w:rPr>
        <w:fldChar w:fldCharType="end"/>
      </w:r>
    </w:p>
    <w:p w14:paraId="33D8E20F">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_Toc1327 </w:instrText>
      </w:r>
      <w:r>
        <w:rPr>
          <w:rFonts w:hint="eastAsia" w:ascii="宋体" w:hAnsi="宋体"/>
          <w:color w:val="auto"/>
          <w:highlight w:val="none"/>
        </w:rPr>
        <w:fldChar w:fldCharType="separate"/>
      </w:r>
      <w:r>
        <w:rPr>
          <w:rFonts w:ascii="宋体" w:hAnsi="宋体"/>
          <w:color w:val="auto"/>
          <w:kern w:val="0"/>
          <w:szCs w:val="21"/>
          <w:highlight w:val="none"/>
          <w:lang w:val="zh-CN"/>
        </w:rPr>
        <w:t xml:space="preserve">九、 </w:t>
      </w:r>
      <w:r>
        <w:rPr>
          <w:rFonts w:hint="eastAsia" w:ascii="宋体" w:hAnsi="宋体"/>
          <w:color w:val="auto"/>
          <w:kern w:val="0"/>
          <w:szCs w:val="21"/>
          <w:highlight w:val="none"/>
          <w:lang w:val="zh-CN"/>
        </w:rPr>
        <w:t>保密</w:t>
      </w:r>
      <w:r>
        <w:rPr>
          <w:color w:val="auto"/>
          <w:highlight w:val="none"/>
        </w:rPr>
        <w:tab/>
      </w:r>
      <w:r>
        <w:rPr>
          <w:color w:val="auto"/>
          <w:highlight w:val="none"/>
        </w:rPr>
        <w:fldChar w:fldCharType="begin"/>
      </w:r>
      <w:r>
        <w:rPr>
          <w:color w:val="auto"/>
          <w:highlight w:val="none"/>
        </w:rPr>
        <w:instrText xml:space="preserve"> PAGEREF _Toc1327 \h </w:instrText>
      </w:r>
      <w:r>
        <w:rPr>
          <w:color w:val="auto"/>
          <w:highlight w:val="none"/>
        </w:rPr>
        <w:fldChar w:fldCharType="separate"/>
      </w:r>
      <w:r>
        <w:rPr>
          <w:color w:val="auto"/>
          <w:highlight w:val="none"/>
        </w:rPr>
        <w:t>- 15 -</w:t>
      </w:r>
      <w:r>
        <w:rPr>
          <w:color w:val="auto"/>
          <w:highlight w:val="none"/>
        </w:rPr>
        <w:fldChar w:fldCharType="end"/>
      </w:r>
      <w:r>
        <w:rPr>
          <w:rFonts w:hint="eastAsia" w:ascii="宋体" w:hAnsi="宋体"/>
          <w:color w:val="auto"/>
          <w:highlight w:val="none"/>
        </w:rPr>
        <w:fldChar w:fldCharType="end"/>
      </w:r>
    </w:p>
    <w:p w14:paraId="25F14A6F">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_Toc30052 </w:instrText>
      </w:r>
      <w:r>
        <w:rPr>
          <w:rFonts w:hint="eastAsia" w:ascii="宋体" w:hAnsi="宋体"/>
          <w:color w:val="auto"/>
          <w:highlight w:val="none"/>
        </w:rPr>
        <w:fldChar w:fldCharType="separate"/>
      </w:r>
      <w:r>
        <w:rPr>
          <w:rFonts w:ascii="宋体" w:hAnsi="宋体"/>
          <w:color w:val="auto"/>
          <w:kern w:val="0"/>
          <w:szCs w:val="21"/>
          <w:highlight w:val="none"/>
          <w:lang w:val="zh-CN"/>
        </w:rPr>
        <w:t xml:space="preserve">十、 </w:t>
      </w:r>
      <w:r>
        <w:rPr>
          <w:rFonts w:hint="eastAsia" w:ascii="宋体" w:hAnsi="宋体"/>
          <w:color w:val="auto"/>
          <w:kern w:val="0"/>
          <w:szCs w:val="21"/>
          <w:highlight w:val="none"/>
          <w:lang w:val="zh-CN"/>
        </w:rPr>
        <w:t>相关条文解读</w:t>
      </w:r>
      <w:r>
        <w:rPr>
          <w:color w:val="auto"/>
          <w:highlight w:val="none"/>
        </w:rPr>
        <w:tab/>
      </w:r>
      <w:r>
        <w:rPr>
          <w:color w:val="auto"/>
          <w:highlight w:val="none"/>
        </w:rPr>
        <w:fldChar w:fldCharType="begin"/>
      </w:r>
      <w:r>
        <w:rPr>
          <w:color w:val="auto"/>
          <w:highlight w:val="none"/>
        </w:rPr>
        <w:instrText xml:space="preserve"> PAGEREF _Toc30052 \h </w:instrText>
      </w:r>
      <w:r>
        <w:rPr>
          <w:color w:val="auto"/>
          <w:highlight w:val="none"/>
        </w:rPr>
        <w:fldChar w:fldCharType="separate"/>
      </w:r>
      <w:r>
        <w:rPr>
          <w:color w:val="auto"/>
          <w:highlight w:val="none"/>
        </w:rPr>
        <w:t>- 15 -</w:t>
      </w:r>
      <w:r>
        <w:rPr>
          <w:color w:val="auto"/>
          <w:highlight w:val="none"/>
        </w:rPr>
        <w:fldChar w:fldCharType="end"/>
      </w:r>
      <w:r>
        <w:rPr>
          <w:rFonts w:hint="eastAsia" w:ascii="宋体" w:hAnsi="宋体"/>
          <w:color w:val="auto"/>
          <w:highlight w:val="none"/>
        </w:rPr>
        <w:fldChar w:fldCharType="end"/>
      </w:r>
    </w:p>
    <w:p w14:paraId="08C5E835">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_Toc23914 </w:instrText>
      </w:r>
      <w:r>
        <w:rPr>
          <w:rFonts w:hint="eastAsia" w:ascii="宋体" w:hAnsi="宋体"/>
          <w:color w:val="auto"/>
          <w:highlight w:val="none"/>
        </w:rPr>
        <w:fldChar w:fldCharType="separate"/>
      </w:r>
      <w:r>
        <w:rPr>
          <w:rFonts w:ascii="宋体" w:hAnsi="宋体"/>
          <w:color w:val="auto"/>
          <w:kern w:val="0"/>
          <w:szCs w:val="21"/>
          <w:highlight w:val="none"/>
          <w:lang w:val="zh-CN"/>
        </w:rPr>
        <w:t xml:space="preserve">十一、 </w:t>
      </w:r>
      <w:r>
        <w:rPr>
          <w:rFonts w:hint="eastAsia" w:ascii="宋体" w:hAnsi="宋体"/>
          <w:color w:val="auto"/>
          <w:kern w:val="0"/>
          <w:szCs w:val="21"/>
          <w:highlight w:val="none"/>
          <w:lang w:val="zh-CN"/>
        </w:rPr>
        <w:t>适用法律、法规、规章及规范性文件</w:t>
      </w:r>
      <w:r>
        <w:rPr>
          <w:color w:val="auto"/>
          <w:highlight w:val="none"/>
        </w:rPr>
        <w:tab/>
      </w:r>
      <w:r>
        <w:rPr>
          <w:color w:val="auto"/>
          <w:highlight w:val="none"/>
        </w:rPr>
        <w:fldChar w:fldCharType="begin"/>
      </w:r>
      <w:r>
        <w:rPr>
          <w:color w:val="auto"/>
          <w:highlight w:val="none"/>
        </w:rPr>
        <w:instrText xml:space="preserve"> PAGEREF _Toc23914 \h </w:instrText>
      </w:r>
      <w:r>
        <w:rPr>
          <w:color w:val="auto"/>
          <w:highlight w:val="none"/>
        </w:rPr>
        <w:fldChar w:fldCharType="separate"/>
      </w:r>
      <w:r>
        <w:rPr>
          <w:color w:val="auto"/>
          <w:highlight w:val="none"/>
        </w:rPr>
        <w:t>- 16 -</w:t>
      </w:r>
      <w:r>
        <w:rPr>
          <w:color w:val="auto"/>
          <w:highlight w:val="none"/>
        </w:rPr>
        <w:fldChar w:fldCharType="end"/>
      </w:r>
      <w:r>
        <w:rPr>
          <w:rFonts w:hint="eastAsia" w:ascii="宋体" w:hAnsi="宋体"/>
          <w:color w:val="auto"/>
          <w:highlight w:val="none"/>
        </w:rPr>
        <w:fldChar w:fldCharType="end"/>
      </w:r>
    </w:p>
    <w:p w14:paraId="4747A381">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_Toc12312 </w:instrText>
      </w:r>
      <w:r>
        <w:rPr>
          <w:rFonts w:hint="eastAsia" w:ascii="宋体" w:hAnsi="宋体"/>
          <w:color w:val="auto"/>
          <w:highlight w:val="none"/>
        </w:rPr>
        <w:fldChar w:fldCharType="separate"/>
      </w:r>
      <w:r>
        <w:rPr>
          <w:rFonts w:ascii="宋体" w:hAnsi="宋体"/>
          <w:color w:val="auto"/>
          <w:kern w:val="0"/>
          <w:szCs w:val="21"/>
          <w:highlight w:val="none"/>
          <w:lang w:val="zh-CN"/>
        </w:rPr>
        <w:t xml:space="preserve">十二、 </w:t>
      </w:r>
      <w:r>
        <w:rPr>
          <w:rFonts w:hint="eastAsia" w:ascii="宋体" w:hAnsi="宋体"/>
          <w:color w:val="auto"/>
          <w:kern w:val="0"/>
          <w:szCs w:val="21"/>
          <w:highlight w:val="none"/>
          <w:lang w:val="zh-CN"/>
        </w:rPr>
        <w:t>招标文件的解释权</w:t>
      </w:r>
      <w:r>
        <w:rPr>
          <w:color w:val="auto"/>
          <w:highlight w:val="none"/>
        </w:rPr>
        <w:tab/>
      </w:r>
      <w:r>
        <w:rPr>
          <w:color w:val="auto"/>
          <w:highlight w:val="none"/>
        </w:rPr>
        <w:fldChar w:fldCharType="begin"/>
      </w:r>
      <w:r>
        <w:rPr>
          <w:color w:val="auto"/>
          <w:highlight w:val="none"/>
        </w:rPr>
        <w:instrText xml:space="preserve"> PAGEREF _Toc12312 \h </w:instrText>
      </w:r>
      <w:r>
        <w:rPr>
          <w:color w:val="auto"/>
          <w:highlight w:val="none"/>
        </w:rPr>
        <w:fldChar w:fldCharType="separate"/>
      </w:r>
      <w:r>
        <w:rPr>
          <w:color w:val="auto"/>
          <w:highlight w:val="none"/>
        </w:rPr>
        <w:t>- 16 -</w:t>
      </w:r>
      <w:r>
        <w:rPr>
          <w:color w:val="auto"/>
          <w:highlight w:val="none"/>
        </w:rPr>
        <w:fldChar w:fldCharType="end"/>
      </w:r>
      <w:r>
        <w:rPr>
          <w:rFonts w:hint="eastAsia" w:ascii="宋体" w:hAnsi="宋体"/>
          <w:color w:val="auto"/>
          <w:highlight w:val="none"/>
        </w:rPr>
        <w:fldChar w:fldCharType="end"/>
      </w:r>
    </w:p>
    <w:p w14:paraId="1D6D4F42">
      <w:pPr>
        <w:pStyle w:val="15"/>
        <w:tabs>
          <w:tab w:val="right" w:leader="dot" w:pos="952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_Toc14782 </w:instrText>
      </w:r>
      <w:r>
        <w:rPr>
          <w:rFonts w:hint="eastAsia" w:ascii="宋体" w:hAnsi="宋体"/>
          <w:color w:val="auto"/>
          <w:highlight w:val="none"/>
        </w:rPr>
        <w:fldChar w:fldCharType="separate"/>
      </w:r>
      <w:r>
        <w:rPr>
          <w:rFonts w:hint="eastAsia" w:ascii="黑体" w:hAnsi="黑体" w:eastAsia="黑体"/>
          <w:color w:val="auto"/>
          <w:szCs w:val="28"/>
          <w:highlight w:val="none"/>
        </w:rPr>
        <w:t>第三章 技术、服务及商务要求</w:t>
      </w:r>
      <w:r>
        <w:rPr>
          <w:color w:val="auto"/>
          <w:highlight w:val="none"/>
        </w:rPr>
        <w:tab/>
      </w:r>
      <w:r>
        <w:rPr>
          <w:color w:val="auto"/>
          <w:highlight w:val="none"/>
        </w:rPr>
        <w:fldChar w:fldCharType="begin"/>
      </w:r>
      <w:r>
        <w:rPr>
          <w:color w:val="auto"/>
          <w:highlight w:val="none"/>
        </w:rPr>
        <w:instrText xml:space="preserve"> PAGEREF _Toc14782 \h </w:instrText>
      </w:r>
      <w:r>
        <w:rPr>
          <w:color w:val="auto"/>
          <w:highlight w:val="none"/>
        </w:rPr>
        <w:fldChar w:fldCharType="separate"/>
      </w:r>
      <w:r>
        <w:rPr>
          <w:color w:val="auto"/>
          <w:highlight w:val="none"/>
        </w:rPr>
        <w:t>- 17 -</w:t>
      </w:r>
      <w:r>
        <w:rPr>
          <w:color w:val="auto"/>
          <w:highlight w:val="none"/>
        </w:rPr>
        <w:fldChar w:fldCharType="end"/>
      </w:r>
      <w:r>
        <w:rPr>
          <w:rFonts w:hint="eastAsia" w:ascii="宋体" w:hAnsi="宋体"/>
          <w:color w:val="auto"/>
          <w:highlight w:val="none"/>
        </w:rPr>
        <w:fldChar w:fldCharType="end"/>
      </w:r>
    </w:p>
    <w:p w14:paraId="2F33F9AA">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_Toc29162 </w:instrText>
      </w:r>
      <w:r>
        <w:rPr>
          <w:rFonts w:hint="eastAsia" w:ascii="宋体" w:hAnsi="宋体"/>
          <w:color w:val="auto"/>
          <w:highlight w:val="none"/>
        </w:rPr>
        <w:fldChar w:fldCharType="separate"/>
      </w:r>
      <w:r>
        <w:rPr>
          <w:rFonts w:hint="eastAsia" w:ascii="宋体" w:hAnsi="宋体" w:cs="宋体"/>
          <w:color w:val="auto"/>
          <w:szCs w:val="21"/>
          <w:highlight w:val="none"/>
        </w:rPr>
        <w:t>一、综 述</w:t>
      </w:r>
      <w:r>
        <w:rPr>
          <w:color w:val="auto"/>
          <w:highlight w:val="none"/>
        </w:rPr>
        <w:tab/>
      </w:r>
      <w:r>
        <w:rPr>
          <w:color w:val="auto"/>
          <w:highlight w:val="none"/>
        </w:rPr>
        <w:fldChar w:fldCharType="begin"/>
      </w:r>
      <w:r>
        <w:rPr>
          <w:color w:val="auto"/>
          <w:highlight w:val="none"/>
        </w:rPr>
        <w:instrText xml:space="preserve"> PAGEREF _Toc29162 \h </w:instrText>
      </w:r>
      <w:r>
        <w:rPr>
          <w:color w:val="auto"/>
          <w:highlight w:val="none"/>
        </w:rPr>
        <w:fldChar w:fldCharType="separate"/>
      </w:r>
      <w:r>
        <w:rPr>
          <w:color w:val="auto"/>
          <w:highlight w:val="none"/>
        </w:rPr>
        <w:t>- 17 -</w:t>
      </w:r>
      <w:r>
        <w:rPr>
          <w:color w:val="auto"/>
          <w:highlight w:val="none"/>
        </w:rPr>
        <w:fldChar w:fldCharType="end"/>
      </w:r>
      <w:r>
        <w:rPr>
          <w:rFonts w:hint="eastAsia" w:ascii="宋体" w:hAnsi="宋体"/>
          <w:color w:val="auto"/>
          <w:highlight w:val="none"/>
        </w:rPr>
        <w:fldChar w:fldCharType="end"/>
      </w:r>
    </w:p>
    <w:p w14:paraId="5F9595EC">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_Toc31615 </w:instrText>
      </w:r>
      <w:r>
        <w:rPr>
          <w:rFonts w:hint="eastAsia" w:ascii="宋体" w:hAnsi="宋体"/>
          <w:color w:val="auto"/>
          <w:highlight w:val="none"/>
        </w:rPr>
        <w:fldChar w:fldCharType="separate"/>
      </w:r>
      <w:r>
        <w:rPr>
          <w:rFonts w:hint="eastAsia" w:ascii="宋体" w:hAnsi="宋体" w:cs="宋体"/>
          <w:color w:val="auto"/>
          <w:szCs w:val="21"/>
          <w:highlight w:val="none"/>
        </w:rPr>
        <w:t>二、技术、服务要求</w:t>
      </w:r>
      <w:r>
        <w:rPr>
          <w:color w:val="auto"/>
          <w:highlight w:val="none"/>
        </w:rPr>
        <w:tab/>
      </w:r>
      <w:r>
        <w:rPr>
          <w:color w:val="auto"/>
          <w:highlight w:val="none"/>
        </w:rPr>
        <w:fldChar w:fldCharType="begin"/>
      </w:r>
      <w:r>
        <w:rPr>
          <w:color w:val="auto"/>
          <w:highlight w:val="none"/>
        </w:rPr>
        <w:instrText xml:space="preserve"> PAGEREF _Toc31615 \h </w:instrText>
      </w:r>
      <w:r>
        <w:rPr>
          <w:color w:val="auto"/>
          <w:highlight w:val="none"/>
        </w:rPr>
        <w:fldChar w:fldCharType="separate"/>
      </w:r>
      <w:r>
        <w:rPr>
          <w:color w:val="auto"/>
          <w:highlight w:val="none"/>
        </w:rPr>
        <w:t>- 17 -</w:t>
      </w:r>
      <w:r>
        <w:rPr>
          <w:color w:val="auto"/>
          <w:highlight w:val="none"/>
        </w:rPr>
        <w:fldChar w:fldCharType="end"/>
      </w:r>
      <w:r>
        <w:rPr>
          <w:rFonts w:hint="eastAsia" w:ascii="宋体" w:hAnsi="宋体"/>
          <w:color w:val="auto"/>
          <w:highlight w:val="none"/>
        </w:rPr>
        <w:fldChar w:fldCharType="end"/>
      </w:r>
    </w:p>
    <w:p w14:paraId="687DEA15">
      <w:pPr>
        <w:pStyle w:val="15"/>
        <w:tabs>
          <w:tab w:val="right" w:leader="dot" w:pos="952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_Toc29738 </w:instrText>
      </w:r>
      <w:r>
        <w:rPr>
          <w:rFonts w:hint="eastAsia" w:ascii="宋体" w:hAnsi="宋体"/>
          <w:color w:val="auto"/>
          <w:highlight w:val="none"/>
        </w:rPr>
        <w:fldChar w:fldCharType="separate"/>
      </w:r>
      <w:r>
        <w:rPr>
          <w:rFonts w:hint="eastAsia" w:ascii="黑体" w:hAnsi="黑体" w:eastAsia="黑体"/>
          <w:color w:val="auto"/>
          <w:szCs w:val="28"/>
          <w:highlight w:val="none"/>
        </w:rPr>
        <w:t>第四章  资格审查方法及标准</w:t>
      </w:r>
      <w:r>
        <w:rPr>
          <w:color w:val="auto"/>
          <w:highlight w:val="none"/>
        </w:rPr>
        <w:tab/>
      </w:r>
      <w:r>
        <w:rPr>
          <w:color w:val="auto"/>
          <w:highlight w:val="none"/>
        </w:rPr>
        <w:fldChar w:fldCharType="begin"/>
      </w:r>
      <w:r>
        <w:rPr>
          <w:color w:val="auto"/>
          <w:highlight w:val="none"/>
        </w:rPr>
        <w:instrText xml:space="preserve"> PAGEREF _Toc29738 \h </w:instrText>
      </w:r>
      <w:r>
        <w:rPr>
          <w:color w:val="auto"/>
          <w:highlight w:val="none"/>
        </w:rPr>
        <w:fldChar w:fldCharType="separate"/>
      </w:r>
      <w:r>
        <w:rPr>
          <w:color w:val="auto"/>
          <w:highlight w:val="none"/>
        </w:rPr>
        <w:t>- 23 -</w:t>
      </w:r>
      <w:r>
        <w:rPr>
          <w:color w:val="auto"/>
          <w:highlight w:val="none"/>
        </w:rPr>
        <w:fldChar w:fldCharType="end"/>
      </w:r>
      <w:r>
        <w:rPr>
          <w:rFonts w:hint="eastAsia" w:ascii="宋体" w:hAnsi="宋体"/>
          <w:color w:val="auto"/>
          <w:highlight w:val="none"/>
        </w:rPr>
        <w:fldChar w:fldCharType="end"/>
      </w:r>
    </w:p>
    <w:p w14:paraId="05B139F2">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_Toc1752 </w:instrText>
      </w:r>
      <w:r>
        <w:rPr>
          <w:rFonts w:hint="eastAsia" w:ascii="宋体" w:hAnsi="宋体"/>
          <w:color w:val="auto"/>
          <w:highlight w:val="none"/>
        </w:rPr>
        <w:fldChar w:fldCharType="separate"/>
      </w:r>
      <w:r>
        <w:rPr>
          <w:rFonts w:ascii="宋体" w:hAnsi="宋体"/>
          <w:color w:val="auto"/>
          <w:kern w:val="0"/>
          <w:szCs w:val="21"/>
          <w:highlight w:val="none"/>
          <w:lang w:val="zh-CN"/>
        </w:rPr>
        <w:t xml:space="preserve">一、 </w:t>
      </w:r>
      <w:r>
        <w:rPr>
          <w:rFonts w:hint="eastAsia" w:ascii="宋体" w:hAnsi="宋体"/>
          <w:color w:val="auto"/>
          <w:kern w:val="0"/>
          <w:szCs w:val="21"/>
          <w:highlight w:val="none"/>
          <w:lang w:val="zh-CN"/>
        </w:rPr>
        <w:t>资格审查方法</w:t>
      </w:r>
      <w:r>
        <w:rPr>
          <w:color w:val="auto"/>
          <w:highlight w:val="none"/>
        </w:rPr>
        <w:tab/>
      </w:r>
      <w:r>
        <w:rPr>
          <w:color w:val="auto"/>
          <w:highlight w:val="none"/>
        </w:rPr>
        <w:fldChar w:fldCharType="begin"/>
      </w:r>
      <w:r>
        <w:rPr>
          <w:color w:val="auto"/>
          <w:highlight w:val="none"/>
        </w:rPr>
        <w:instrText xml:space="preserve"> PAGEREF _Toc1752 \h </w:instrText>
      </w:r>
      <w:r>
        <w:rPr>
          <w:color w:val="auto"/>
          <w:highlight w:val="none"/>
        </w:rPr>
        <w:fldChar w:fldCharType="separate"/>
      </w:r>
      <w:r>
        <w:rPr>
          <w:color w:val="auto"/>
          <w:highlight w:val="none"/>
        </w:rPr>
        <w:t>- 23 -</w:t>
      </w:r>
      <w:r>
        <w:rPr>
          <w:color w:val="auto"/>
          <w:highlight w:val="none"/>
        </w:rPr>
        <w:fldChar w:fldCharType="end"/>
      </w:r>
      <w:r>
        <w:rPr>
          <w:rFonts w:hint="eastAsia" w:ascii="宋体" w:hAnsi="宋体"/>
          <w:color w:val="auto"/>
          <w:highlight w:val="none"/>
        </w:rPr>
        <w:fldChar w:fldCharType="end"/>
      </w:r>
    </w:p>
    <w:p w14:paraId="6CF684A4">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_Toc25068 </w:instrText>
      </w:r>
      <w:r>
        <w:rPr>
          <w:rFonts w:hint="eastAsia" w:ascii="宋体" w:hAnsi="宋体"/>
          <w:color w:val="auto"/>
          <w:highlight w:val="none"/>
        </w:rPr>
        <w:fldChar w:fldCharType="separate"/>
      </w:r>
      <w:r>
        <w:rPr>
          <w:rFonts w:ascii="宋体" w:hAnsi="宋体"/>
          <w:color w:val="auto"/>
          <w:kern w:val="0"/>
          <w:szCs w:val="21"/>
          <w:highlight w:val="none"/>
          <w:lang w:val="zh-CN"/>
        </w:rPr>
        <w:t xml:space="preserve">二、 </w:t>
      </w:r>
      <w:r>
        <w:rPr>
          <w:rFonts w:hint="eastAsia" w:ascii="宋体" w:hAnsi="宋体"/>
          <w:color w:val="auto"/>
          <w:kern w:val="0"/>
          <w:szCs w:val="21"/>
          <w:highlight w:val="none"/>
          <w:lang w:val="zh-CN"/>
        </w:rPr>
        <w:t>资格审查表</w:t>
      </w:r>
      <w:r>
        <w:rPr>
          <w:color w:val="auto"/>
          <w:highlight w:val="none"/>
        </w:rPr>
        <w:tab/>
      </w:r>
      <w:r>
        <w:rPr>
          <w:color w:val="auto"/>
          <w:highlight w:val="none"/>
        </w:rPr>
        <w:fldChar w:fldCharType="begin"/>
      </w:r>
      <w:r>
        <w:rPr>
          <w:color w:val="auto"/>
          <w:highlight w:val="none"/>
        </w:rPr>
        <w:instrText xml:space="preserve"> PAGEREF _Toc25068 \h </w:instrText>
      </w:r>
      <w:r>
        <w:rPr>
          <w:color w:val="auto"/>
          <w:highlight w:val="none"/>
        </w:rPr>
        <w:fldChar w:fldCharType="separate"/>
      </w:r>
      <w:r>
        <w:rPr>
          <w:color w:val="auto"/>
          <w:highlight w:val="none"/>
        </w:rPr>
        <w:t>- 23 -</w:t>
      </w:r>
      <w:r>
        <w:rPr>
          <w:color w:val="auto"/>
          <w:highlight w:val="none"/>
        </w:rPr>
        <w:fldChar w:fldCharType="end"/>
      </w:r>
      <w:r>
        <w:rPr>
          <w:rFonts w:hint="eastAsia" w:ascii="宋体" w:hAnsi="宋体"/>
          <w:color w:val="auto"/>
          <w:highlight w:val="none"/>
        </w:rPr>
        <w:fldChar w:fldCharType="end"/>
      </w:r>
    </w:p>
    <w:p w14:paraId="78ED9078">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_Toc15301 </w:instrText>
      </w:r>
      <w:r>
        <w:rPr>
          <w:rFonts w:hint="eastAsia" w:ascii="宋体" w:hAnsi="宋体"/>
          <w:color w:val="auto"/>
          <w:highlight w:val="none"/>
        </w:rPr>
        <w:fldChar w:fldCharType="separate"/>
      </w:r>
      <w:r>
        <w:rPr>
          <w:rFonts w:ascii="宋体" w:hAnsi="宋体"/>
          <w:color w:val="auto"/>
          <w:szCs w:val="21"/>
          <w:highlight w:val="none"/>
          <w:lang w:val="zh-CN"/>
        </w:rPr>
        <w:t xml:space="preserve">三、 </w:t>
      </w:r>
      <w:r>
        <w:rPr>
          <w:rFonts w:hint="eastAsia" w:ascii="宋体" w:hAnsi="宋体"/>
          <w:color w:val="auto"/>
          <w:kern w:val="0"/>
          <w:szCs w:val="21"/>
          <w:highlight w:val="none"/>
          <w:lang w:val="zh-CN"/>
        </w:rPr>
        <w:t>确定资格审查合格投标人</w:t>
      </w:r>
      <w:r>
        <w:rPr>
          <w:color w:val="auto"/>
          <w:highlight w:val="none"/>
        </w:rPr>
        <w:tab/>
      </w:r>
      <w:r>
        <w:rPr>
          <w:color w:val="auto"/>
          <w:highlight w:val="none"/>
        </w:rPr>
        <w:fldChar w:fldCharType="begin"/>
      </w:r>
      <w:r>
        <w:rPr>
          <w:color w:val="auto"/>
          <w:highlight w:val="none"/>
        </w:rPr>
        <w:instrText xml:space="preserve"> PAGEREF _Toc15301 \h </w:instrText>
      </w:r>
      <w:r>
        <w:rPr>
          <w:color w:val="auto"/>
          <w:highlight w:val="none"/>
        </w:rPr>
        <w:fldChar w:fldCharType="separate"/>
      </w:r>
      <w:r>
        <w:rPr>
          <w:color w:val="auto"/>
          <w:highlight w:val="none"/>
        </w:rPr>
        <w:t>- 24 -</w:t>
      </w:r>
      <w:r>
        <w:rPr>
          <w:color w:val="auto"/>
          <w:highlight w:val="none"/>
        </w:rPr>
        <w:fldChar w:fldCharType="end"/>
      </w:r>
      <w:r>
        <w:rPr>
          <w:rFonts w:hint="eastAsia" w:ascii="宋体" w:hAnsi="宋体"/>
          <w:color w:val="auto"/>
          <w:highlight w:val="none"/>
        </w:rPr>
        <w:fldChar w:fldCharType="end"/>
      </w:r>
    </w:p>
    <w:p w14:paraId="76572568">
      <w:pPr>
        <w:pStyle w:val="15"/>
        <w:tabs>
          <w:tab w:val="right" w:leader="dot" w:pos="952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_Toc16300 </w:instrText>
      </w:r>
      <w:r>
        <w:rPr>
          <w:rFonts w:hint="eastAsia" w:ascii="宋体" w:hAnsi="宋体"/>
          <w:color w:val="auto"/>
          <w:highlight w:val="none"/>
        </w:rPr>
        <w:fldChar w:fldCharType="separate"/>
      </w:r>
      <w:r>
        <w:rPr>
          <w:rFonts w:hint="eastAsia" w:ascii="黑体" w:hAnsi="黑体" w:eastAsia="黑体"/>
          <w:color w:val="auto"/>
          <w:szCs w:val="28"/>
          <w:highlight w:val="none"/>
        </w:rPr>
        <w:t>第五章  评标方法、程序及标准</w:t>
      </w:r>
      <w:r>
        <w:rPr>
          <w:color w:val="auto"/>
          <w:highlight w:val="none"/>
        </w:rPr>
        <w:tab/>
      </w:r>
      <w:r>
        <w:rPr>
          <w:color w:val="auto"/>
          <w:highlight w:val="none"/>
        </w:rPr>
        <w:fldChar w:fldCharType="begin"/>
      </w:r>
      <w:r>
        <w:rPr>
          <w:color w:val="auto"/>
          <w:highlight w:val="none"/>
        </w:rPr>
        <w:instrText xml:space="preserve"> PAGEREF _Toc16300 \h </w:instrText>
      </w:r>
      <w:r>
        <w:rPr>
          <w:color w:val="auto"/>
          <w:highlight w:val="none"/>
        </w:rPr>
        <w:fldChar w:fldCharType="separate"/>
      </w:r>
      <w:r>
        <w:rPr>
          <w:color w:val="auto"/>
          <w:highlight w:val="none"/>
        </w:rPr>
        <w:t>- 25 -</w:t>
      </w:r>
      <w:r>
        <w:rPr>
          <w:color w:val="auto"/>
          <w:highlight w:val="none"/>
        </w:rPr>
        <w:fldChar w:fldCharType="end"/>
      </w:r>
      <w:r>
        <w:rPr>
          <w:rFonts w:hint="eastAsia" w:ascii="宋体" w:hAnsi="宋体"/>
          <w:color w:val="auto"/>
          <w:highlight w:val="none"/>
        </w:rPr>
        <w:fldChar w:fldCharType="end"/>
      </w:r>
    </w:p>
    <w:p w14:paraId="3B025D81">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_Toc18324 </w:instrText>
      </w:r>
      <w:r>
        <w:rPr>
          <w:rFonts w:hint="eastAsia" w:ascii="宋体" w:hAnsi="宋体"/>
          <w:color w:val="auto"/>
          <w:highlight w:val="none"/>
        </w:rPr>
        <w:fldChar w:fldCharType="separate"/>
      </w:r>
      <w:r>
        <w:rPr>
          <w:rFonts w:ascii="宋体" w:hAnsi="宋体"/>
          <w:color w:val="auto"/>
          <w:kern w:val="0"/>
          <w:szCs w:val="21"/>
          <w:highlight w:val="none"/>
          <w:lang w:val="zh-CN"/>
        </w:rPr>
        <w:t xml:space="preserve">一、 </w:t>
      </w:r>
      <w:r>
        <w:rPr>
          <w:rFonts w:hint="eastAsia" w:ascii="宋体" w:hAnsi="宋体"/>
          <w:color w:val="auto"/>
          <w:kern w:val="0"/>
          <w:szCs w:val="21"/>
          <w:highlight w:val="none"/>
          <w:lang w:val="zh-CN"/>
        </w:rPr>
        <w:t>评标方法</w:t>
      </w:r>
      <w:r>
        <w:rPr>
          <w:color w:val="auto"/>
          <w:highlight w:val="none"/>
        </w:rPr>
        <w:tab/>
      </w:r>
      <w:r>
        <w:rPr>
          <w:color w:val="auto"/>
          <w:highlight w:val="none"/>
        </w:rPr>
        <w:fldChar w:fldCharType="begin"/>
      </w:r>
      <w:r>
        <w:rPr>
          <w:color w:val="auto"/>
          <w:highlight w:val="none"/>
        </w:rPr>
        <w:instrText xml:space="preserve"> PAGEREF _Toc18324 \h </w:instrText>
      </w:r>
      <w:r>
        <w:rPr>
          <w:color w:val="auto"/>
          <w:highlight w:val="none"/>
        </w:rPr>
        <w:fldChar w:fldCharType="separate"/>
      </w:r>
      <w:r>
        <w:rPr>
          <w:color w:val="auto"/>
          <w:highlight w:val="none"/>
        </w:rPr>
        <w:t>- 25 -</w:t>
      </w:r>
      <w:r>
        <w:rPr>
          <w:color w:val="auto"/>
          <w:highlight w:val="none"/>
        </w:rPr>
        <w:fldChar w:fldCharType="end"/>
      </w:r>
      <w:r>
        <w:rPr>
          <w:rFonts w:hint="eastAsia" w:ascii="宋体" w:hAnsi="宋体"/>
          <w:color w:val="auto"/>
          <w:highlight w:val="none"/>
        </w:rPr>
        <w:fldChar w:fldCharType="end"/>
      </w:r>
    </w:p>
    <w:p w14:paraId="00F45189">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_Toc23863 </w:instrText>
      </w:r>
      <w:r>
        <w:rPr>
          <w:rFonts w:hint="eastAsia" w:ascii="宋体" w:hAnsi="宋体"/>
          <w:color w:val="auto"/>
          <w:highlight w:val="none"/>
        </w:rPr>
        <w:fldChar w:fldCharType="separate"/>
      </w:r>
      <w:r>
        <w:rPr>
          <w:rFonts w:ascii="宋体" w:hAnsi="宋体"/>
          <w:color w:val="auto"/>
          <w:kern w:val="0"/>
          <w:szCs w:val="21"/>
          <w:highlight w:val="none"/>
          <w:lang w:val="zh-CN"/>
        </w:rPr>
        <w:t xml:space="preserve">二、 </w:t>
      </w:r>
      <w:r>
        <w:rPr>
          <w:rFonts w:hint="eastAsia" w:ascii="宋体" w:hAnsi="宋体"/>
          <w:color w:val="auto"/>
          <w:kern w:val="0"/>
          <w:szCs w:val="21"/>
          <w:highlight w:val="none"/>
          <w:lang w:val="zh-CN"/>
        </w:rPr>
        <w:t>评标程序及标准</w:t>
      </w:r>
      <w:r>
        <w:rPr>
          <w:color w:val="auto"/>
          <w:highlight w:val="none"/>
        </w:rPr>
        <w:tab/>
      </w:r>
      <w:r>
        <w:rPr>
          <w:color w:val="auto"/>
          <w:highlight w:val="none"/>
        </w:rPr>
        <w:fldChar w:fldCharType="begin"/>
      </w:r>
      <w:r>
        <w:rPr>
          <w:color w:val="auto"/>
          <w:highlight w:val="none"/>
        </w:rPr>
        <w:instrText xml:space="preserve"> PAGEREF _Toc23863 \h </w:instrText>
      </w:r>
      <w:r>
        <w:rPr>
          <w:color w:val="auto"/>
          <w:highlight w:val="none"/>
        </w:rPr>
        <w:fldChar w:fldCharType="separate"/>
      </w:r>
      <w:r>
        <w:rPr>
          <w:color w:val="auto"/>
          <w:highlight w:val="none"/>
        </w:rPr>
        <w:t>- 25 -</w:t>
      </w:r>
      <w:r>
        <w:rPr>
          <w:color w:val="auto"/>
          <w:highlight w:val="none"/>
        </w:rPr>
        <w:fldChar w:fldCharType="end"/>
      </w:r>
      <w:r>
        <w:rPr>
          <w:rFonts w:hint="eastAsia" w:ascii="宋体" w:hAnsi="宋体"/>
          <w:color w:val="auto"/>
          <w:highlight w:val="none"/>
        </w:rPr>
        <w:fldChar w:fldCharType="end"/>
      </w:r>
    </w:p>
    <w:p w14:paraId="6CAFD459">
      <w:pPr>
        <w:pStyle w:val="17"/>
        <w:tabs>
          <w:tab w:val="right" w:leader="dot" w:pos="9524"/>
          <w:tab w:val="clear" w:pos="756"/>
          <w:tab w:val="clear" w:pos="966"/>
          <w:tab w:val="clear" w:pos="120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_Toc7084 </w:instrText>
      </w:r>
      <w:r>
        <w:rPr>
          <w:rFonts w:hint="eastAsia" w:ascii="宋体" w:hAnsi="宋体"/>
          <w:color w:val="auto"/>
          <w:highlight w:val="none"/>
        </w:rPr>
        <w:fldChar w:fldCharType="separate"/>
      </w:r>
      <w:r>
        <w:rPr>
          <w:rFonts w:ascii="宋体" w:hAnsi="宋体"/>
          <w:i/>
          <w:color w:val="auto"/>
          <w:szCs w:val="21"/>
          <w:highlight w:val="none"/>
        </w:rPr>
        <w:t xml:space="preserve">三、 </w:t>
      </w:r>
      <w:r>
        <w:rPr>
          <w:rFonts w:hint="eastAsia" w:ascii="宋体" w:hAnsi="宋体"/>
          <w:color w:val="auto"/>
          <w:kern w:val="0"/>
          <w:szCs w:val="21"/>
          <w:highlight w:val="none"/>
          <w:lang w:val="zh-CN"/>
        </w:rPr>
        <w:t>评审因素及评分标准</w:t>
      </w:r>
      <w:r>
        <w:rPr>
          <w:color w:val="auto"/>
          <w:highlight w:val="none"/>
        </w:rPr>
        <w:tab/>
      </w:r>
      <w:r>
        <w:rPr>
          <w:color w:val="auto"/>
          <w:highlight w:val="none"/>
        </w:rPr>
        <w:fldChar w:fldCharType="begin"/>
      </w:r>
      <w:r>
        <w:rPr>
          <w:color w:val="auto"/>
          <w:highlight w:val="none"/>
        </w:rPr>
        <w:instrText xml:space="preserve"> PAGEREF _Toc7084 \h </w:instrText>
      </w:r>
      <w:r>
        <w:rPr>
          <w:color w:val="auto"/>
          <w:highlight w:val="none"/>
        </w:rPr>
        <w:fldChar w:fldCharType="separate"/>
      </w:r>
      <w:r>
        <w:rPr>
          <w:color w:val="auto"/>
          <w:highlight w:val="none"/>
        </w:rPr>
        <w:t>- 29 -</w:t>
      </w:r>
      <w:r>
        <w:rPr>
          <w:color w:val="auto"/>
          <w:highlight w:val="none"/>
        </w:rPr>
        <w:fldChar w:fldCharType="end"/>
      </w:r>
      <w:r>
        <w:rPr>
          <w:rFonts w:hint="eastAsia" w:ascii="宋体" w:hAnsi="宋体"/>
          <w:color w:val="auto"/>
          <w:highlight w:val="none"/>
        </w:rPr>
        <w:fldChar w:fldCharType="end"/>
      </w:r>
    </w:p>
    <w:p w14:paraId="28C2774B">
      <w:pPr>
        <w:pStyle w:val="15"/>
        <w:tabs>
          <w:tab w:val="right" w:leader="dot" w:pos="952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_Toc31609 </w:instrText>
      </w:r>
      <w:r>
        <w:rPr>
          <w:rFonts w:hint="eastAsia" w:ascii="宋体" w:hAnsi="宋体"/>
          <w:color w:val="auto"/>
          <w:highlight w:val="none"/>
        </w:rPr>
        <w:fldChar w:fldCharType="separate"/>
      </w:r>
      <w:r>
        <w:rPr>
          <w:rFonts w:hint="eastAsia" w:ascii="黑体" w:hAnsi="黑体" w:eastAsia="黑体"/>
          <w:color w:val="auto"/>
          <w:szCs w:val="28"/>
          <w:highlight w:val="none"/>
        </w:rPr>
        <w:t>第六章 合同书格式</w:t>
      </w:r>
      <w:r>
        <w:rPr>
          <w:color w:val="auto"/>
          <w:highlight w:val="none"/>
        </w:rPr>
        <w:tab/>
      </w:r>
      <w:r>
        <w:rPr>
          <w:color w:val="auto"/>
          <w:highlight w:val="none"/>
        </w:rPr>
        <w:fldChar w:fldCharType="begin"/>
      </w:r>
      <w:r>
        <w:rPr>
          <w:color w:val="auto"/>
          <w:highlight w:val="none"/>
        </w:rPr>
        <w:instrText xml:space="preserve"> PAGEREF _Toc31609 \h </w:instrText>
      </w:r>
      <w:r>
        <w:rPr>
          <w:color w:val="auto"/>
          <w:highlight w:val="none"/>
        </w:rPr>
        <w:fldChar w:fldCharType="separate"/>
      </w:r>
      <w:r>
        <w:rPr>
          <w:color w:val="auto"/>
          <w:highlight w:val="none"/>
        </w:rPr>
        <w:t>- 33 -</w:t>
      </w:r>
      <w:r>
        <w:rPr>
          <w:color w:val="auto"/>
          <w:highlight w:val="none"/>
        </w:rPr>
        <w:fldChar w:fldCharType="end"/>
      </w:r>
      <w:r>
        <w:rPr>
          <w:rFonts w:hint="eastAsia" w:ascii="宋体" w:hAnsi="宋体"/>
          <w:color w:val="auto"/>
          <w:highlight w:val="none"/>
        </w:rPr>
        <w:fldChar w:fldCharType="end"/>
      </w:r>
    </w:p>
    <w:p w14:paraId="2D48167A">
      <w:pPr>
        <w:pStyle w:val="15"/>
        <w:tabs>
          <w:tab w:val="right" w:leader="dot" w:pos="9524"/>
          <w:tab w:val="clear" w:pos="9514"/>
        </w:tabs>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_Toc25409 </w:instrText>
      </w:r>
      <w:r>
        <w:rPr>
          <w:rFonts w:hint="eastAsia" w:ascii="宋体" w:hAnsi="宋体"/>
          <w:color w:val="auto"/>
          <w:highlight w:val="none"/>
        </w:rPr>
        <w:fldChar w:fldCharType="separate"/>
      </w:r>
      <w:r>
        <w:rPr>
          <w:rFonts w:hint="eastAsia" w:ascii="黑体" w:hAnsi="黑体" w:eastAsia="黑体"/>
          <w:color w:val="auto"/>
          <w:szCs w:val="28"/>
          <w:highlight w:val="none"/>
        </w:rPr>
        <w:t>第七章 投标文件格式</w:t>
      </w:r>
      <w:r>
        <w:rPr>
          <w:color w:val="auto"/>
          <w:highlight w:val="none"/>
        </w:rPr>
        <w:tab/>
      </w:r>
      <w:r>
        <w:rPr>
          <w:color w:val="auto"/>
          <w:highlight w:val="none"/>
        </w:rPr>
        <w:fldChar w:fldCharType="begin"/>
      </w:r>
      <w:r>
        <w:rPr>
          <w:color w:val="auto"/>
          <w:highlight w:val="none"/>
        </w:rPr>
        <w:instrText xml:space="preserve"> PAGEREF _Toc25409 \h </w:instrText>
      </w:r>
      <w:r>
        <w:rPr>
          <w:color w:val="auto"/>
          <w:highlight w:val="none"/>
        </w:rPr>
        <w:fldChar w:fldCharType="separate"/>
      </w:r>
      <w:r>
        <w:rPr>
          <w:color w:val="auto"/>
          <w:highlight w:val="none"/>
        </w:rPr>
        <w:t>- 43 -</w:t>
      </w:r>
      <w:r>
        <w:rPr>
          <w:color w:val="auto"/>
          <w:highlight w:val="none"/>
        </w:rPr>
        <w:fldChar w:fldCharType="end"/>
      </w:r>
      <w:r>
        <w:rPr>
          <w:rFonts w:hint="eastAsia" w:ascii="宋体" w:hAnsi="宋体"/>
          <w:color w:val="auto"/>
          <w:highlight w:val="none"/>
        </w:rPr>
        <w:fldChar w:fldCharType="end"/>
      </w:r>
    </w:p>
    <w:p w14:paraId="7AE0C415">
      <w:pPr>
        <w:spacing w:line="300" w:lineRule="auto"/>
        <w:jc w:val="center"/>
        <w:rPr>
          <w:rFonts w:ascii="宋体" w:hAnsi="宋体"/>
          <w:color w:val="auto"/>
          <w:highlight w:val="none"/>
        </w:rPr>
      </w:pPr>
      <w:r>
        <w:rPr>
          <w:rFonts w:hint="eastAsia" w:ascii="宋体" w:hAnsi="宋体"/>
          <w:color w:val="auto"/>
          <w:highlight w:val="none"/>
        </w:rPr>
        <w:fldChar w:fldCharType="end"/>
      </w:r>
    </w:p>
    <w:p w14:paraId="4BB0925B">
      <w:pPr>
        <w:tabs>
          <w:tab w:val="left" w:pos="993"/>
        </w:tabs>
        <w:spacing w:line="300" w:lineRule="auto"/>
        <w:jc w:val="center"/>
        <w:outlineLvl w:val="0"/>
        <w:rPr>
          <w:rFonts w:hint="eastAsia" w:ascii="黑体" w:hAnsi="黑体" w:eastAsia="黑体"/>
          <w:color w:val="auto"/>
          <w:sz w:val="28"/>
          <w:szCs w:val="28"/>
          <w:highlight w:val="none"/>
        </w:rPr>
        <w:sectPr>
          <w:headerReference r:id="rId3" w:type="default"/>
          <w:type w:val="continuous"/>
          <w:pgSz w:w="11906" w:h="16838"/>
          <w:pgMar w:top="1134" w:right="1418" w:bottom="1134" w:left="1418" w:header="851" w:footer="992" w:gutter="0"/>
          <w:pgNumType w:fmt="decimal"/>
          <w:cols w:space="720" w:num="1"/>
          <w:docGrid w:type="linesAndChars" w:linePitch="312" w:charSpace="0"/>
        </w:sectPr>
      </w:pPr>
      <w:bookmarkStart w:id="0" w:name="_Toc97814994"/>
    </w:p>
    <w:p w14:paraId="66248AD0">
      <w:pPr>
        <w:tabs>
          <w:tab w:val="left" w:pos="993"/>
        </w:tabs>
        <w:spacing w:line="300" w:lineRule="auto"/>
        <w:jc w:val="center"/>
        <w:outlineLvl w:val="0"/>
        <w:rPr>
          <w:rFonts w:ascii="黑体" w:hAnsi="黑体" w:eastAsia="黑体"/>
          <w:color w:val="auto"/>
          <w:sz w:val="28"/>
          <w:szCs w:val="28"/>
          <w:highlight w:val="none"/>
        </w:rPr>
      </w:pPr>
      <w:bookmarkStart w:id="1" w:name="_Toc7583"/>
      <w:r>
        <w:rPr>
          <w:rFonts w:hint="eastAsia" w:ascii="黑体" w:hAnsi="黑体" w:eastAsia="黑体"/>
          <w:color w:val="auto"/>
          <w:sz w:val="28"/>
          <w:szCs w:val="28"/>
          <w:highlight w:val="none"/>
        </w:rPr>
        <w:t>第一章 招标公告（投标邀请书）</w:t>
      </w:r>
      <w:bookmarkEnd w:id="0"/>
      <w:bookmarkEnd w:id="1"/>
    </w:p>
    <w:p w14:paraId="088964FB">
      <w:pPr>
        <w:ind w:firstLine="420" w:firstLineChars="200"/>
        <w:rPr>
          <w:rFonts w:ascii="宋体" w:hAnsi="宋体" w:cs="宋体"/>
          <w:color w:val="auto"/>
          <w:szCs w:val="21"/>
          <w:highlight w:val="none"/>
        </w:rPr>
      </w:pPr>
    </w:p>
    <w:tbl>
      <w:tblPr>
        <w:tblStyle w:val="21"/>
        <w:tblW w:w="9514"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9514"/>
      </w:tblGrid>
      <w:tr w14:paraId="7DADBA7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c>
          <w:tcPr>
            <w:tcW w:w="9514" w:type="dxa"/>
          </w:tcPr>
          <w:p w14:paraId="1D0F9CCB">
            <w:pPr>
              <w:spacing w:line="360" w:lineRule="auto"/>
              <w:rPr>
                <w:rFonts w:ascii="宋体" w:hAnsi="宋体" w:cs="宋体"/>
                <w:b/>
                <w:color w:val="auto"/>
                <w:kern w:val="0"/>
                <w:szCs w:val="21"/>
                <w:highlight w:val="none"/>
              </w:rPr>
            </w:pPr>
            <w:r>
              <w:rPr>
                <w:rFonts w:hint="eastAsia" w:ascii="宋体" w:hAnsi="宋体" w:cs="宋体"/>
                <w:b/>
                <w:color w:val="auto"/>
                <w:kern w:val="0"/>
                <w:szCs w:val="21"/>
                <w:highlight w:val="none"/>
              </w:rPr>
              <w:t>项目概况</w:t>
            </w:r>
          </w:p>
          <w:p w14:paraId="0A17D9CA">
            <w:pPr>
              <w:spacing w:line="360" w:lineRule="auto"/>
              <w:ind w:firstLine="420" w:firstLineChars="200"/>
              <w:rPr>
                <w:rFonts w:ascii="宋体" w:hAnsi="宋体" w:cs="宋体"/>
                <w:color w:val="auto"/>
                <w:kern w:val="0"/>
                <w:szCs w:val="21"/>
                <w:highlight w:val="none"/>
              </w:rPr>
            </w:pPr>
            <w:r>
              <w:rPr>
                <w:rFonts w:hint="eastAsia" w:ascii="宋体" w:hAnsi="宋体" w:cs="宋体"/>
                <w:color w:val="auto"/>
                <w:szCs w:val="21"/>
                <w:highlight w:val="none"/>
              </w:rPr>
              <w:t>南湖校区供配电设备设施运维服务项目招标项目的潜在投标人应在现场或线上获取招标文件，并于</w:t>
            </w:r>
            <w:r>
              <w:rPr>
                <w:rFonts w:hint="eastAsia" w:ascii="宋体" w:hAnsi="宋体" w:cs="宋体"/>
                <w:color w:val="auto"/>
                <w:szCs w:val="21"/>
                <w:highlight w:val="none"/>
                <w:u w:val="single"/>
                <w:lang w:val="en-US" w:eastAsia="zh-CN"/>
              </w:rPr>
              <w:t>2026</w:t>
            </w:r>
            <w:r>
              <w:rPr>
                <w:rFonts w:hint="eastAsia" w:ascii="宋体" w:hAnsi="宋体" w:cs="宋体"/>
                <w:color w:val="auto"/>
                <w:szCs w:val="21"/>
                <w:highlight w:val="none"/>
                <w:u w:val="single"/>
              </w:rPr>
              <w:t>年</w:t>
            </w:r>
            <w:r>
              <w:rPr>
                <w:rFonts w:hint="eastAsia" w:ascii="宋体" w:hAnsi="宋体" w:cs="宋体"/>
                <w:color w:val="auto"/>
                <w:szCs w:val="21"/>
                <w:highlight w:val="none"/>
                <w:u w:val="single"/>
                <w:lang w:val="en-US" w:eastAsia="zh-CN"/>
              </w:rPr>
              <w:t>8</w:t>
            </w:r>
            <w:r>
              <w:rPr>
                <w:rFonts w:hint="eastAsia" w:ascii="宋体" w:hAnsi="宋体" w:cs="宋体"/>
                <w:color w:val="auto"/>
                <w:szCs w:val="21"/>
                <w:highlight w:val="none"/>
                <w:u w:val="single"/>
              </w:rPr>
              <w:t>月</w:t>
            </w:r>
            <w:r>
              <w:rPr>
                <w:rFonts w:hint="eastAsia" w:ascii="宋体" w:hAnsi="宋体" w:cs="宋体"/>
                <w:color w:val="auto"/>
                <w:szCs w:val="21"/>
                <w:highlight w:val="none"/>
                <w:u w:val="single"/>
                <w:lang w:val="en-US" w:eastAsia="zh-CN"/>
              </w:rPr>
              <w:t>6</w:t>
            </w:r>
            <w:r>
              <w:rPr>
                <w:rFonts w:hint="eastAsia" w:ascii="宋体" w:hAnsi="宋体" w:cs="宋体"/>
                <w:color w:val="auto"/>
                <w:szCs w:val="21"/>
                <w:highlight w:val="none"/>
                <w:u w:val="single"/>
              </w:rPr>
              <w:t>日</w:t>
            </w:r>
            <w:r>
              <w:rPr>
                <w:rFonts w:hint="eastAsia" w:ascii="宋体" w:hAnsi="宋体" w:cs="宋体"/>
                <w:color w:val="auto"/>
                <w:szCs w:val="21"/>
                <w:highlight w:val="none"/>
                <w:u w:val="single"/>
                <w:lang w:val="en-US" w:eastAsia="zh-CN"/>
              </w:rPr>
              <w:t>9</w:t>
            </w:r>
            <w:r>
              <w:rPr>
                <w:rFonts w:hint="eastAsia" w:ascii="宋体" w:hAnsi="宋体" w:cs="宋体"/>
                <w:color w:val="auto"/>
                <w:szCs w:val="21"/>
                <w:highlight w:val="none"/>
                <w:u w:val="single"/>
              </w:rPr>
              <w:t>点</w:t>
            </w:r>
            <w:r>
              <w:rPr>
                <w:rFonts w:hint="eastAsia" w:ascii="宋体" w:hAnsi="宋体" w:cs="宋体"/>
                <w:color w:val="auto"/>
                <w:szCs w:val="21"/>
                <w:highlight w:val="none"/>
                <w:u w:val="single"/>
                <w:lang w:val="en-US" w:eastAsia="zh-CN"/>
              </w:rPr>
              <w:t>30</w:t>
            </w:r>
            <w:r>
              <w:rPr>
                <w:rFonts w:hint="eastAsia" w:ascii="宋体" w:hAnsi="宋体" w:cs="宋体"/>
                <w:color w:val="auto"/>
                <w:szCs w:val="21"/>
                <w:highlight w:val="none"/>
                <w:u w:val="single"/>
              </w:rPr>
              <w:t>分</w:t>
            </w:r>
            <w:r>
              <w:rPr>
                <w:rFonts w:hint="eastAsia" w:ascii="宋体" w:hAnsi="宋体" w:cs="宋体"/>
                <w:color w:val="auto"/>
                <w:szCs w:val="21"/>
                <w:highlight w:val="none"/>
              </w:rPr>
              <w:t>（北京时间）前递交投标文件。</w:t>
            </w:r>
          </w:p>
        </w:tc>
      </w:tr>
    </w:tbl>
    <w:p w14:paraId="6AB48BD0">
      <w:pPr>
        <w:pStyle w:val="3"/>
        <w:shd w:val="clear" w:color="auto" w:fill="FEFEFE"/>
        <w:spacing w:before="0" w:after="0" w:line="360" w:lineRule="auto"/>
        <w:ind w:firstLine="420" w:firstLineChars="200"/>
        <w:rPr>
          <w:rFonts w:ascii="宋体" w:hAnsi="宋体" w:cs="宋体"/>
          <w:color w:val="auto"/>
          <w:sz w:val="21"/>
          <w:szCs w:val="21"/>
          <w:highlight w:val="none"/>
        </w:rPr>
      </w:pPr>
      <w:bookmarkStart w:id="2" w:name="_Toc119594475"/>
      <w:bookmarkStart w:id="3" w:name="_Toc19958"/>
      <w:r>
        <w:rPr>
          <w:rFonts w:hint="eastAsia" w:ascii="宋体" w:hAnsi="宋体" w:cs="宋体"/>
          <w:color w:val="auto"/>
          <w:sz w:val="21"/>
          <w:szCs w:val="21"/>
          <w:highlight w:val="none"/>
        </w:rPr>
        <w:t>一、项目基本情况</w:t>
      </w:r>
      <w:bookmarkEnd w:id="2"/>
      <w:bookmarkEnd w:id="3"/>
    </w:p>
    <w:p w14:paraId="02FBE1AE">
      <w:pPr>
        <w:pStyle w:val="18"/>
        <w:shd w:val="clear" w:color="auto" w:fill="FEFEFE"/>
        <w:spacing w:before="0" w:beforeAutospacing="0" w:after="0" w:afterAutospacing="0" w:line="360" w:lineRule="auto"/>
        <w:ind w:firstLine="420" w:firstLineChars="200"/>
        <w:jc w:val="both"/>
        <w:rPr>
          <w:rFonts w:hint="eastAsia"/>
          <w:color w:val="auto"/>
          <w:sz w:val="21"/>
          <w:szCs w:val="21"/>
          <w:highlight w:val="none"/>
        </w:rPr>
      </w:pPr>
      <w:r>
        <w:rPr>
          <w:rFonts w:hint="eastAsia"/>
          <w:color w:val="auto"/>
          <w:sz w:val="21"/>
          <w:szCs w:val="21"/>
          <w:highlight w:val="none"/>
        </w:rPr>
        <w:t>1、项目编号：WUTG2026060023</w:t>
      </w:r>
    </w:p>
    <w:p w14:paraId="10DBDB97">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2、项目名称：南湖校区供配电设备设施运维服务项目</w:t>
      </w:r>
    </w:p>
    <w:p w14:paraId="59C19D39">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3、预算金额：84.19万元（人民币）</w:t>
      </w:r>
    </w:p>
    <w:p w14:paraId="443F6D2C">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4、最高限价（如有）：84.19万元（人民币）</w:t>
      </w:r>
    </w:p>
    <w:p w14:paraId="0D3F03E1">
      <w:pPr>
        <w:pStyle w:val="18"/>
        <w:shd w:val="clear" w:color="auto" w:fill="FEFEFE"/>
        <w:spacing w:before="0" w:beforeAutospacing="0" w:after="0" w:afterAutospacing="0" w:line="360" w:lineRule="auto"/>
        <w:ind w:firstLine="420" w:firstLineChars="200"/>
        <w:jc w:val="both"/>
        <w:rPr>
          <w:color w:val="auto"/>
          <w:sz w:val="21"/>
          <w:szCs w:val="21"/>
          <w:highlight w:val="none"/>
          <w:u w:val="single"/>
        </w:rPr>
      </w:pPr>
      <w:r>
        <w:rPr>
          <w:rFonts w:hint="eastAsia"/>
          <w:color w:val="auto"/>
          <w:sz w:val="21"/>
          <w:szCs w:val="21"/>
          <w:highlight w:val="none"/>
        </w:rPr>
        <w:t>5、采购需求：本项目</w:t>
      </w:r>
      <w:r>
        <w:rPr>
          <w:rFonts w:hint="eastAsia"/>
          <w:color w:val="auto"/>
          <w:sz w:val="21"/>
          <w:szCs w:val="21"/>
          <w:highlight w:val="none"/>
          <w:lang w:val="en-US" w:eastAsia="zh-CN"/>
        </w:rPr>
        <w:t>不分包</w:t>
      </w:r>
      <w:r>
        <w:rPr>
          <w:rFonts w:hint="eastAsia"/>
          <w:color w:val="auto"/>
          <w:sz w:val="21"/>
          <w:szCs w:val="21"/>
          <w:highlight w:val="none"/>
        </w:rPr>
        <w:t>。详细技术规格、参数及要求见本项目招标文件第三章内容。</w:t>
      </w:r>
    </w:p>
    <w:tbl>
      <w:tblPr>
        <w:tblStyle w:val="21"/>
        <w:tblW w:w="10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6"/>
        <w:gridCol w:w="1363"/>
        <w:gridCol w:w="6225"/>
        <w:gridCol w:w="462"/>
        <w:gridCol w:w="1025"/>
        <w:gridCol w:w="460"/>
      </w:tblGrid>
      <w:tr w14:paraId="2F63C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36" w:type="dxa"/>
            <w:vAlign w:val="center"/>
          </w:tcPr>
          <w:p w14:paraId="2D3DFEA5">
            <w:pPr>
              <w:pStyle w:val="18"/>
              <w:spacing w:before="0" w:beforeAutospacing="0" w:after="0" w:afterAutospacing="0" w:line="360" w:lineRule="auto"/>
              <w:jc w:val="center"/>
              <w:rPr>
                <w:color w:val="auto"/>
                <w:sz w:val="21"/>
                <w:szCs w:val="21"/>
                <w:highlight w:val="none"/>
              </w:rPr>
            </w:pPr>
            <w:r>
              <w:rPr>
                <w:rFonts w:hint="eastAsia"/>
                <w:color w:val="auto"/>
                <w:sz w:val="21"/>
                <w:szCs w:val="21"/>
                <w:highlight w:val="none"/>
                <w:lang w:val="en-US" w:eastAsia="zh-CN"/>
              </w:rPr>
              <w:t>序</w:t>
            </w:r>
            <w:r>
              <w:rPr>
                <w:rFonts w:hint="eastAsia"/>
                <w:color w:val="auto"/>
                <w:sz w:val="21"/>
                <w:szCs w:val="21"/>
                <w:highlight w:val="none"/>
              </w:rPr>
              <w:t>号</w:t>
            </w:r>
          </w:p>
        </w:tc>
        <w:tc>
          <w:tcPr>
            <w:tcW w:w="1363" w:type="dxa"/>
            <w:vAlign w:val="center"/>
          </w:tcPr>
          <w:p w14:paraId="3F3A2400">
            <w:pPr>
              <w:pStyle w:val="18"/>
              <w:spacing w:before="0" w:beforeAutospacing="0" w:after="0" w:afterAutospacing="0" w:line="360" w:lineRule="auto"/>
              <w:jc w:val="center"/>
              <w:rPr>
                <w:color w:val="auto"/>
                <w:sz w:val="21"/>
                <w:szCs w:val="21"/>
                <w:highlight w:val="none"/>
              </w:rPr>
            </w:pPr>
            <w:r>
              <w:rPr>
                <w:rFonts w:hint="eastAsia"/>
                <w:color w:val="auto"/>
                <w:sz w:val="21"/>
                <w:szCs w:val="21"/>
                <w:highlight w:val="none"/>
              </w:rPr>
              <w:t>名称</w:t>
            </w:r>
          </w:p>
        </w:tc>
        <w:tc>
          <w:tcPr>
            <w:tcW w:w="6225" w:type="dxa"/>
            <w:vAlign w:val="center"/>
          </w:tcPr>
          <w:p w14:paraId="3F705ACC">
            <w:pPr>
              <w:pStyle w:val="18"/>
              <w:spacing w:before="0" w:beforeAutospacing="0" w:after="0" w:afterAutospacing="0" w:line="360" w:lineRule="auto"/>
              <w:jc w:val="center"/>
              <w:rPr>
                <w:color w:val="auto"/>
                <w:sz w:val="21"/>
                <w:szCs w:val="21"/>
                <w:highlight w:val="none"/>
              </w:rPr>
            </w:pPr>
            <w:r>
              <w:rPr>
                <w:rFonts w:hint="eastAsia"/>
                <w:color w:val="auto"/>
                <w:sz w:val="21"/>
                <w:szCs w:val="21"/>
                <w:highlight w:val="none"/>
              </w:rPr>
              <w:t>采购内容</w:t>
            </w:r>
          </w:p>
        </w:tc>
        <w:tc>
          <w:tcPr>
            <w:tcW w:w="462" w:type="dxa"/>
            <w:vAlign w:val="center"/>
          </w:tcPr>
          <w:p w14:paraId="5B88ACB4">
            <w:pPr>
              <w:pStyle w:val="18"/>
              <w:spacing w:before="0" w:beforeAutospacing="0" w:after="0" w:afterAutospacing="0" w:line="360" w:lineRule="auto"/>
              <w:jc w:val="center"/>
              <w:rPr>
                <w:color w:val="auto"/>
                <w:sz w:val="21"/>
                <w:szCs w:val="21"/>
                <w:highlight w:val="none"/>
              </w:rPr>
            </w:pPr>
            <w:r>
              <w:rPr>
                <w:rFonts w:hint="eastAsia"/>
                <w:color w:val="auto"/>
                <w:sz w:val="21"/>
                <w:szCs w:val="21"/>
                <w:highlight w:val="none"/>
              </w:rPr>
              <w:t>数量</w:t>
            </w:r>
          </w:p>
        </w:tc>
        <w:tc>
          <w:tcPr>
            <w:tcW w:w="1025" w:type="dxa"/>
            <w:vAlign w:val="center"/>
          </w:tcPr>
          <w:p w14:paraId="226F5297">
            <w:pPr>
              <w:pStyle w:val="18"/>
              <w:spacing w:before="0" w:beforeAutospacing="0" w:after="0" w:afterAutospacing="0" w:line="360" w:lineRule="auto"/>
              <w:jc w:val="center"/>
              <w:rPr>
                <w:color w:val="auto"/>
                <w:sz w:val="21"/>
                <w:szCs w:val="21"/>
                <w:highlight w:val="none"/>
              </w:rPr>
            </w:pPr>
            <w:r>
              <w:rPr>
                <w:rFonts w:hint="eastAsia"/>
                <w:color w:val="auto"/>
                <w:sz w:val="21"/>
                <w:szCs w:val="21"/>
                <w:highlight w:val="none"/>
              </w:rPr>
              <w:t>预算金额（万元）</w:t>
            </w:r>
          </w:p>
        </w:tc>
        <w:tc>
          <w:tcPr>
            <w:tcW w:w="460" w:type="dxa"/>
            <w:vAlign w:val="center"/>
          </w:tcPr>
          <w:p w14:paraId="78E54ED6">
            <w:pPr>
              <w:pStyle w:val="18"/>
              <w:spacing w:before="0" w:beforeAutospacing="0" w:after="0" w:afterAutospacing="0" w:line="360" w:lineRule="auto"/>
              <w:jc w:val="center"/>
              <w:rPr>
                <w:color w:val="auto"/>
                <w:sz w:val="21"/>
                <w:szCs w:val="21"/>
                <w:highlight w:val="none"/>
              </w:rPr>
            </w:pPr>
            <w:r>
              <w:rPr>
                <w:rFonts w:hint="eastAsia"/>
                <w:color w:val="auto"/>
                <w:sz w:val="21"/>
                <w:szCs w:val="21"/>
                <w:highlight w:val="none"/>
              </w:rPr>
              <w:t>备注</w:t>
            </w:r>
          </w:p>
        </w:tc>
      </w:tr>
      <w:tr w14:paraId="54CBE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36" w:type="dxa"/>
            <w:vAlign w:val="center"/>
          </w:tcPr>
          <w:p w14:paraId="2146104B">
            <w:pPr>
              <w:pStyle w:val="18"/>
              <w:spacing w:before="0" w:beforeAutospacing="0" w:after="0" w:afterAutospacing="0" w:line="360" w:lineRule="auto"/>
              <w:jc w:val="center"/>
              <w:rPr>
                <w:rFonts w:hint="eastAsia" w:eastAsia="宋体"/>
                <w:color w:val="auto"/>
                <w:sz w:val="21"/>
                <w:szCs w:val="21"/>
                <w:highlight w:val="none"/>
                <w:lang w:eastAsia="zh-CN"/>
              </w:rPr>
            </w:pPr>
            <w:r>
              <w:rPr>
                <w:rFonts w:hint="eastAsia"/>
                <w:color w:val="auto"/>
                <w:sz w:val="21"/>
                <w:szCs w:val="21"/>
                <w:highlight w:val="none"/>
                <w:u w:val="single"/>
                <w:lang w:val="en-US" w:eastAsia="zh-CN"/>
              </w:rPr>
              <w:t>1</w:t>
            </w:r>
          </w:p>
        </w:tc>
        <w:tc>
          <w:tcPr>
            <w:tcW w:w="1363" w:type="dxa"/>
            <w:vAlign w:val="center"/>
          </w:tcPr>
          <w:p w14:paraId="2ED76C86">
            <w:pPr>
              <w:pStyle w:val="18"/>
              <w:spacing w:before="0" w:beforeAutospacing="0" w:after="0" w:afterAutospacing="0" w:line="360" w:lineRule="auto"/>
              <w:jc w:val="center"/>
              <w:rPr>
                <w:color w:val="auto"/>
                <w:sz w:val="21"/>
                <w:szCs w:val="21"/>
                <w:highlight w:val="none"/>
              </w:rPr>
            </w:pPr>
            <w:r>
              <w:rPr>
                <w:rFonts w:hint="eastAsia"/>
                <w:color w:val="auto"/>
                <w:sz w:val="21"/>
                <w:szCs w:val="21"/>
                <w:highlight w:val="none"/>
              </w:rPr>
              <w:t>南湖校区供配电设备设施运维服务项目</w:t>
            </w:r>
          </w:p>
        </w:tc>
        <w:tc>
          <w:tcPr>
            <w:tcW w:w="6225" w:type="dxa"/>
            <w:vAlign w:val="center"/>
          </w:tcPr>
          <w:p w14:paraId="2BC99830">
            <w:pPr>
              <w:pStyle w:val="18"/>
              <w:spacing w:before="0" w:beforeAutospacing="0" w:after="0" w:afterAutospacing="0" w:line="360" w:lineRule="auto"/>
              <w:jc w:val="left"/>
              <w:rPr>
                <w:rFonts w:hint="eastAsia"/>
                <w:color w:val="auto"/>
                <w:sz w:val="21"/>
                <w:szCs w:val="21"/>
                <w:highlight w:val="none"/>
              </w:rPr>
            </w:pPr>
            <w:r>
              <w:rPr>
                <w:rFonts w:hint="eastAsia"/>
                <w:color w:val="auto"/>
                <w:sz w:val="21"/>
                <w:szCs w:val="21"/>
                <w:highlight w:val="none"/>
              </w:rPr>
              <w:t>武汉理工大学南湖校区供配电设施运维服务范围：110KV变电站2座，配电房（室）17座、开闭所2座、10KV环网箱5座、箱式变电站45座、电缆沟约8000米。</w:t>
            </w:r>
          </w:p>
          <w:p w14:paraId="5DA295DA">
            <w:pPr>
              <w:pStyle w:val="18"/>
              <w:spacing w:before="0" w:beforeAutospacing="0" w:after="0" w:afterAutospacing="0" w:line="360" w:lineRule="auto"/>
              <w:jc w:val="left"/>
              <w:rPr>
                <w:rFonts w:hint="eastAsia"/>
                <w:color w:val="auto"/>
                <w:sz w:val="21"/>
                <w:szCs w:val="21"/>
                <w:highlight w:val="none"/>
              </w:rPr>
            </w:pPr>
            <w:r>
              <w:rPr>
                <w:rFonts w:hint="eastAsia"/>
                <w:color w:val="auto"/>
                <w:sz w:val="21"/>
                <w:szCs w:val="21"/>
                <w:highlight w:val="none"/>
              </w:rPr>
              <w:t>运维服务内容：</w:t>
            </w:r>
          </w:p>
          <w:p w14:paraId="6548EFCD">
            <w:pPr>
              <w:pStyle w:val="18"/>
              <w:spacing w:before="0" w:beforeAutospacing="0" w:after="0" w:afterAutospacing="0" w:line="360" w:lineRule="auto"/>
              <w:jc w:val="left"/>
              <w:rPr>
                <w:rFonts w:hint="eastAsia"/>
                <w:color w:val="auto"/>
                <w:sz w:val="21"/>
                <w:szCs w:val="21"/>
                <w:highlight w:val="none"/>
              </w:rPr>
            </w:pPr>
            <w:r>
              <w:rPr>
                <w:rFonts w:hint="eastAsia"/>
                <w:color w:val="auto"/>
                <w:sz w:val="21"/>
                <w:szCs w:val="21"/>
                <w:highlight w:val="none"/>
              </w:rPr>
              <w:t>1.有人值守配电房：24小时双岗值班、设备日常维护、预防性试验（2年1次）、安全管理、资产管理、环境卫生、小额维修（材料费1000元以下）、配合停送电、停电应急处置等；</w:t>
            </w:r>
          </w:p>
          <w:p w14:paraId="6D5B53A4">
            <w:pPr>
              <w:pStyle w:val="18"/>
              <w:spacing w:before="0" w:beforeAutospacing="0" w:after="0" w:afterAutospacing="0" w:line="360" w:lineRule="auto"/>
              <w:jc w:val="left"/>
              <w:rPr>
                <w:rFonts w:hint="eastAsia"/>
                <w:color w:val="auto"/>
                <w:sz w:val="21"/>
                <w:szCs w:val="21"/>
                <w:highlight w:val="none"/>
              </w:rPr>
            </w:pPr>
            <w:r>
              <w:rPr>
                <w:rFonts w:hint="eastAsia"/>
                <w:color w:val="auto"/>
                <w:sz w:val="21"/>
                <w:szCs w:val="21"/>
                <w:highlight w:val="none"/>
              </w:rPr>
              <w:t>2.无人值守配电房（室）、开闭所、箱变：每天巡查1次及以上、设备日常维护、安全管理、资产管理、环境卫生、小额维修（材料费1000元以下）、配合停送电、停电应急处置等；</w:t>
            </w:r>
          </w:p>
          <w:p w14:paraId="14CCF35B">
            <w:pPr>
              <w:pStyle w:val="18"/>
              <w:spacing w:before="0" w:beforeAutospacing="0" w:after="0" w:afterAutospacing="0" w:line="360" w:lineRule="auto"/>
              <w:jc w:val="left"/>
              <w:rPr>
                <w:color w:val="auto"/>
                <w:sz w:val="21"/>
                <w:szCs w:val="21"/>
                <w:highlight w:val="none"/>
              </w:rPr>
            </w:pPr>
            <w:r>
              <w:rPr>
                <w:rFonts w:hint="eastAsia"/>
                <w:color w:val="auto"/>
                <w:sz w:val="21"/>
                <w:szCs w:val="21"/>
                <w:highlight w:val="none"/>
              </w:rPr>
              <w:t>3.室外电缆沟：每天巡查1次及以上、配合停送电、停电应急处置等；4.其他：重大活动保障、配合基建维修施工（含高压定值系统维护）、提供供电应急抢修支援、提供供电技术咨询、配合甲方进行线路检查等。</w:t>
            </w:r>
          </w:p>
        </w:tc>
        <w:tc>
          <w:tcPr>
            <w:tcW w:w="462" w:type="dxa"/>
            <w:vAlign w:val="center"/>
          </w:tcPr>
          <w:p w14:paraId="548D5654">
            <w:pPr>
              <w:pStyle w:val="18"/>
              <w:spacing w:before="0" w:beforeAutospacing="0" w:after="0" w:afterAutospacing="0" w:line="360" w:lineRule="auto"/>
              <w:jc w:val="center"/>
              <w:rPr>
                <w:rFonts w:hint="default" w:eastAsia="宋体"/>
                <w:color w:val="auto"/>
                <w:sz w:val="21"/>
                <w:szCs w:val="21"/>
                <w:highlight w:val="none"/>
                <w:lang w:val="en-US" w:eastAsia="zh-CN"/>
              </w:rPr>
            </w:pPr>
            <w:r>
              <w:rPr>
                <w:rFonts w:hint="eastAsia"/>
                <w:color w:val="auto"/>
                <w:sz w:val="21"/>
                <w:szCs w:val="21"/>
                <w:highlight w:val="none"/>
                <w:u w:val="single"/>
                <w:lang w:val="en-US" w:eastAsia="zh-CN"/>
              </w:rPr>
              <w:t>1年</w:t>
            </w:r>
          </w:p>
        </w:tc>
        <w:tc>
          <w:tcPr>
            <w:tcW w:w="1025" w:type="dxa"/>
            <w:vAlign w:val="center"/>
          </w:tcPr>
          <w:p w14:paraId="36E41465">
            <w:pPr>
              <w:pStyle w:val="18"/>
              <w:spacing w:before="0" w:beforeAutospacing="0" w:after="0" w:afterAutospacing="0" w:line="360" w:lineRule="auto"/>
              <w:jc w:val="center"/>
              <w:rPr>
                <w:color w:val="auto"/>
                <w:sz w:val="21"/>
                <w:szCs w:val="21"/>
                <w:highlight w:val="none"/>
              </w:rPr>
            </w:pPr>
            <w:r>
              <w:rPr>
                <w:rFonts w:hint="eastAsia"/>
                <w:color w:val="auto"/>
                <w:sz w:val="21"/>
                <w:szCs w:val="21"/>
                <w:highlight w:val="none"/>
              </w:rPr>
              <w:t>84.19万元/年</w:t>
            </w:r>
            <w:r>
              <w:rPr>
                <w:rFonts w:hint="eastAsia"/>
                <w:color w:val="auto"/>
                <w:sz w:val="21"/>
                <w:szCs w:val="21"/>
                <w:highlight w:val="none"/>
                <w:lang w:eastAsia="zh-CN"/>
              </w:rPr>
              <w:t>；</w:t>
            </w:r>
            <w:r>
              <w:rPr>
                <w:rFonts w:hint="eastAsia"/>
                <w:color w:val="auto"/>
                <w:sz w:val="21"/>
                <w:szCs w:val="21"/>
                <w:highlight w:val="none"/>
              </w:rPr>
              <w:t>投标人报价均不得超过该包预算金额（最高限价），否则按无效投标文件处理。</w:t>
            </w:r>
          </w:p>
        </w:tc>
        <w:tc>
          <w:tcPr>
            <w:tcW w:w="460" w:type="dxa"/>
            <w:vAlign w:val="center"/>
          </w:tcPr>
          <w:p w14:paraId="5236E39C">
            <w:pPr>
              <w:pStyle w:val="18"/>
              <w:spacing w:before="0" w:beforeAutospacing="0" w:after="0" w:afterAutospacing="0" w:line="360" w:lineRule="auto"/>
              <w:jc w:val="center"/>
              <w:rPr>
                <w:rFonts w:hint="eastAsia" w:eastAsia="宋体"/>
                <w:color w:val="auto"/>
                <w:sz w:val="21"/>
                <w:szCs w:val="21"/>
                <w:highlight w:val="none"/>
                <w:lang w:eastAsia="zh-CN"/>
              </w:rPr>
            </w:pPr>
            <w:r>
              <w:rPr>
                <w:rFonts w:hint="eastAsia"/>
                <w:color w:val="auto"/>
                <w:sz w:val="21"/>
                <w:szCs w:val="21"/>
                <w:highlight w:val="none"/>
                <w:lang w:val="en-US" w:eastAsia="zh-CN"/>
              </w:rPr>
              <w:t>无</w:t>
            </w:r>
          </w:p>
        </w:tc>
      </w:tr>
    </w:tbl>
    <w:p w14:paraId="583467E5">
      <w:pPr>
        <w:pStyle w:val="18"/>
        <w:shd w:val="clear" w:color="auto" w:fill="FEFEFE"/>
        <w:spacing w:before="0" w:beforeAutospacing="0" w:after="0" w:afterAutospacing="0" w:line="360"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6、合同履行期限：服务期：本项目供配电设备设施运行维护服务期限为1年，在供配电设备设施运行维护服务期限内中标价格不变。服务期满考核合格后，根据</w:t>
      </w:r>
      <w:r>
        <w:rPr>
          <w:rFonts w:hint="eastAsia"/>
          <w:color w:val="auto"/>
          <w:sz w:val="21"/>
          <w:szCs w:val="21"/>
          <w:highlight w:val="none"/>
          <w:lang w:val="en-US" w:eastAsia="zh-CN"/>
        </w:rPr>
        <w:t>采购人</w:t>
      </w:r>
      <w:r>
        <w:rPr>
          <w:rFonts w:hint="eastAsia"/>
          <w:color w:val="auto"/>
          <w:sz w:val="21"/>
          <w:szCs w:val="21"/>
          <w:highlight w:val="none"/>
        </w:rPr>
        <w:t>需求，可续签不超过1年，每月考核结果留存，</w:t>
      </w:r>
      <w:r>
        <w:rPr>
          <w:rFonts w:hint="eastAsia"/>
          <w:color w:val="auto"/>
          <w:sz w:val="21"/>
          <w:szCs w:val="21"/>
          <w:highlight w:val="none"/>
          <w:lang w:eastAsia="zh-CN"/>
        </w:rPr>
        <w:t>作为年度考核的依据，此依据也是第二年是否续签的依据。</w:t>
      </w:r>
    </w:p>
    <w:p w14:paraId="46507D3E">
      <w:pPr>
        <w:pStyle w:val="18"/>
        <w:shd w:val="clear" w:color="auto" w:fill="FEFEFE"/>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rPr>
        <w:t>7、本项目（不接受)联合体投标。</w:t>
      </w:r>
    </w:p>
    <w:p w14:paraId="7663208D">
      <w:pPr>
        <w:pStyle w:val="3"/>
        <w:shd w:val="clear" w:color="auto" w:fill="FEFEFE"/>
        <w:spacing w:before="0" w:after="0" w:line="360" w:lineRule="auto"/>
        <w:ind w:firstLine="420" w:firstLineChars="200"/>
        <w:rPr>
          <w:rFonts w:ascii="宋体" w:hAnsi="宋体" w:cs="宋体"/>
          <w:color w:val="auto"/>
          <w:sz w:val="21"/>
          <w:szCs w:val="21"/>
          <w:highlight w:val="none"/>
        </w:rPr>
      </w:pPr>
      <w:bookmarkStart w:id="4" w:name="_Toc119594476"/>
      <w:bookmarkStart w:id="5" w:name="_Toc126"/>
      <w:r>
        <w:rPr>
          <w:rFonts w:hint="eastAsia" w:ascii="宋体" w:hAnsi="宋体" w:cs="宋体"/>
          <w:color w:val="auto"/>
          <w:sz w:val="21"/>
          <w:szCs w:val="21"/>
          <w:highlight w:val="none"/>
        </w:rPr>
        <w:t>二、投标人的资格要求</w:t>
      </w:r>
      <w:bookmarkEnd w:id="4"/>
      <w:bookmarkEnd w:id="5"/>
    </w:p>
    <w:p w14:paraId="19BC0D41">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1.满足《中华人民共和国政府采购法》第二十二条规定；</w:t>
      </w:r>
    </w:p>
    <w:p w14:paraId="35B89C26">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 </w:t>
      </w:r>
    </w:p>
    <w:p w14:paraId="0DC7A05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 </w:t>
      </w:r>
    </w:p>
    <w:p w14:paraId="48C7380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 </w:t>
      </w:r>
    </w:p>
    <w:p w14:paraId="4AB444F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 </w:t>
      </w:r>
    </w:p>
    <w:p w14:paraId="17EE1666">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（5）参加政府采购活动前三年内，在经营活动中没有重大违法记录；</w:t>
      </w:r>
    </w:p>
    <w:p w14:paraId="311615C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（6）法律、行政法规规定的其他条件。</w:t>
      </w:r>
    </w:p>
    <w:p w14:paraId="1934F43A">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lang w:val="en-US" w:eastAsia="zh-CN"/>
        </w:rPr>
        <w:t>2</w:t>
      </w:r>
      <w:r>
        <w:rPr>
          <w:rFonts w:hint="eastAsia"/>
          <w:color w:val="auto"/>
          <w:sz w:val="21"/>
          <w:szCs w:val="21"/>
          <w:highlight w:val="none"/>
        </w:rPr>
        <w:t>.本项目的特定资格要求：</w:t>
      </w:r>
    </w:p>
    <w:p w14:paraId="2DB59C4C">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投标人参加政府采购活动未被列入“信用中国”网站(www.creditchina.gov.cn)失信被执行人、重大税收违法失信主体、政府采购严重违法失信行为记录名单和“中国政府采购”网站（www.ccgp.gov.cn）政府采购严重违法失信行为记录名单等；</w:t>
      </w:r>
    </w:p>
    <w:p w14:paraId="2B07B7F6">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2）单位负责人为同一人或者存在直接控股、管理关系的不同投标人，不得参加本项目同一合同项下的政府采购活动。为本采购项目提供整体设计、规范编制或者项目管理、监理、检测等服务的，不得再参加本项目的其他招标采购活动。</w:t>
      </w:r>
    </w:p>
    <w:p w14:paraId="6469A4BA">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color w:val="auto"/>
          <w:sz w:val="21"/>
          <w:szCs w:val="21"/>
          <w:highlight w:val="none"/>
        </w:rPr>
        <w:t>（3）</w:t>
      </w:r>
      <w:bookmarkStart w:id="6" w:name="_Toc119594477"/>
      <w:r>
        <w:rPr>
          <w:rFonts w:hint="eastAsia" w:ascii="宋体" w:hAnsi="宋体" w:eastAsia="宋体" w:cs="宋体"/>
          <w:color w:val="auto"/>
          <w:sz w:val="21"/>
          <w:szCs w:val="21"/>
          <w:highlight w:val="none"/>
        </w:rPr>
        <w:t>投标人同时具备行政主管部门核发的</w:t>
      </w:r>
      <w:r>
        <w:rPr>
          <w:rFonts w:hint="eastAsia" w:ascii="宋体" w:hAnsi="宋体" w:eastAsia="宋体" w:cs="宋体"/>
          <w:color w:val="auto"/>
          <w:sz w:val="21"/>
          <w:szCs w:val="21"/>
          <w:highlight w:val="none"/>
          <w:lang w:val="en-US" w:eastAsia="zh-CN"/>
        </w:rPr>
        <w:t>①</w:t>
      </w:r>
      <w:r>
        <w:rPr>
          <w:rFonts w:hint="eastAsia" w:ascii="宋体" w:hAnsi="宋体" w:eastAsia="宋体" w:cs="宋体"/>
          <w:color w:val="auto"/>
          <w:sz w:val="21"/>
          <w:szCs w:val="21"/>
          <w:highlight w:val="none"/>
        </w:rPr>
        <w:t>电力工程施工总承包三级及以上资质或输变电工程专业承包三级及以上资质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②</w:t>
      </w:r>
      <w:r>
        <w:rPr>
          <w:rFonts w:hint="eastAsia" w:ascii="宋体" w:hAnsi="宋体" w:eastAsia="宋体" w:cs="宋体"/>
          <w:color w:val="auto"/>
          <w:sz w:val="21"/>
          <w:szCs w:val="21"/>
          <w:highlight w:val="none"/>
        </w:rPr>
        <w:t>《承装（修、试）电力设施许可证》（包含承修、承试两个类别）</w:t>
      </w: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级及以上资质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none"/>
          <w:lang w:val="en-US" w:eastAsia="zh-CN"/>
        </w:rPr>
        <w:t>③</w:t>
      </w:r>
      <w:r>
        <w:rPr>
          <w:rFonts w:hint="eastAsia" w:ascii="宋体" w:hAnsi="宋体" w:eastAsia="宋体" w:cs="宋体"/>
          <w:color w:val="auto"/>
          <w:sz w:val="21"/>
          <w:szCs w:val="21"/>
          <w:highlight w:val="none"/>
        </w:rPr>
        <w:t>合格有效的安全生产许可证。</w:t>
      </w:r>
    </w:p>
    <w:p w14:paraId="71019F0C">
      <w:pPr>
        <w:pStyle w:val="3"/>
        <w:shd w:val="clear" w:color="auto" w:fill="FEFEFE"/>
        <w:spacing w:before="0" w:after="0" w:line="360" w:lineRule="auto"/>
        <w:ind w:firstLine="420" w:firstLineChars="200"/>
        <w:rPr>
          <w:rFonts w:ascii="宋体" w:hAnsi="宋体" w:cs="宋体"/>
          <w:color w:val="auto"/>
          <w:sz w:val="21"/>
          <w:szCs w:val="21"/>
          <w:highlight w:val="none"/>
        </w:rPr>
      </w:pPr>
      <w:bookmarkStart w:id="7" w:name="_Toc18731"/>
      <w:r>
        <w:rPr>
          <w:rFonts w:hint="eastAsia" w:ascii="宋体" w:hAnsi="宋体" w:cs="宋体"/>
          <w:color w:val="auto"/>
          <w:sz w:val="21"/>
          <w:szCs w:val="21"/>
          <w:highlight w:val="none"/>
        </w:rPr>
        <w:t>三、获取招标文件</w:t>
      </w:r>
      <w:bookmarkEnd w:id="6"/>
      <w:bookmarkEnd w:id="7"/>
    </w:p>
    <w:p w14:paraId="7546BBDC">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1、时间：</w:t>
      </w:r>
      <w:r>
        <w:rPr>
          <w:rFonts w:hint="eastAsia"/>
          <w:color w:val="auto"/>
          <w:sz w:val="21"/>
          <w:szCs w:val="21"/>
          <w:highlight w:val="none"/>
          <w:lang w:val="en-US" w:eastAsia="zh-CN"/>
        </w:rPr>
        <w:t>2026</w:t>
      </w:r>
      <w:r>
        <w:rPr>
          <w:rFonts w:hint="eastAsia"/>
          <w:color w:val="auto"/>
          <w:sz w:val="21"/>
          <w:szCs w:val="21"/>
          <w:highlight w:val="none"/>
        </w:rPr>
        <w:t>年</w:t>
      </w:r>
      <w:r>
        <w:rPr>
          <w:rFonts w:hint="eastAsia"/>
          <w:color w:val="auto"/>
          <w:sz w:val="21"/>
          <w:szCs w:val="21"/>
          <w:highlight w:val="none"/>
          <w:lang w:val="en-US" w:eastAsia="zh-CN"/>
        </w:rPr>
        <w:t>7</w:t>
      </w:r>
      <w:r>
        <w:rPr>
          <w:rFonts w:hint="eastAsia"/>
          <w:color w:val="auto"/>
          <w:sz w:val="21"/>
          <w:szCs w:val="21"/>
          <w:highlight w:val="none"/>
        </w:rPr>
        <w:t>月</w:t>
      </w:r>
      <w:r>
        <w:rPr>
          <w:rFonts w:hint="eastAsia"/>
          <w:color w:val="auto"/>
          <w:sz w:val="21"/>
          <w:szCs w:val="21"/>
          <w:highlight w:val="none"/>
          <w:lang w:val="en-US" w:eastAsia="zh-CN"/>
        </w:rPr>
        <w:t>16</w:t>
      </w:r>
      <w:r>
        <w:rPr>
          <w:rFonts w:hint="eastAsia"/>
          <w:color w:val="auto"/>
          <w:sz w:val="21"/>
          <w:szCs w:val="21"/>
          <w:highlight w:val="none"/>
        </w:rPr>
        <w:t>日至</w:t>
      </w:r>
      <w:r>
        <w:rPr>
          <w:rFonts w:hint="eastAsia"/>
          <w:color w:val="auto"/>
          <w:sz w:val="21"/>
          <w:szCs w:val="21"/>
          <w:highlight w:val="none"/>
          <w:lang w:val="en-US" w:eastAsia="zh-CN"/>
        </w:rPr>
        <w:t>2026</w:t>
      </w:r>
      <w:r>
        <w:rPr>
          <w:rFonts w:hint="eastAsia"/>
          <w:color w:val="auto"/>
          <w:sz w:val="21"/>
          <w:szCs w:val="21"/>
          <w:highlight w:val="none"/>
        </w:rPr>
        <w:t>年</w:t>
      </w:r>
      <w:r>
        <w:rPr>
          <w:rFonts w:hint="eastAsia"/>
          <w:color w:val="auto"/>
          <w:sz w:val="21"/>
          <w:szCs w:val="21"/>
          <w:highlight w:val="none"/>
          <w:lang w:val="en-US" w:eastAsia="zh-CN"/>
        </w:rPr>
        <w:t>7</w:t>
      </w:r>
      <w:r>
        <w:rPr>
          <w:rFonts w:hint="eastAsia"/>
          <w:color w:val="auto"/>
          <w:sz w:val="21"/>
          <w:szCs w:val="21"/>
          <w:highlight w:val="none"/>
        </w:rPr>
        <w:t>月</w:t>
      </w:r>
      <w:r>
        <w:rPr>
          <w:rFonts w:hint="eastAsia"/>
          <w:color w:val="auto"/>
          <w:sz w:val="21"/>
          <w:szCs w:val="21"/>
          <w:highlight w:val="none"/>
          <w:lang w:val="en-US" w:eastAsia="zh-CN"/>
        </w:rPr>
        <w:t>24</w:t>
      </w:r>
      <w:r>
        <w:rPr>
          <w:rFonts w:hint="eastAsia"/>
          <w:color w:val="auto"/>
          <w:sz w:val="21"/>
          <w:szCs w:val="21"/>
          <w:highlight w:val="none"/>
        </w:rPr>
        <w:t>日，每天上午9:00至11:30，下午14:30至17:00（北京时间，法定节假日除外）</w:t>
      </w:r>
    </w:p>
    <w:p w14:paraId="60F1AACB">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2、地点：</w:t>
      </w:r>
      <w:r>
        <w:rPr>
          <w:rFonts w:hint="eastAsia"/>
          <w:color w:val="auto"/>
          <w:sz w:val="21"/>
          <w:szCs w:val="21"/>
          <w:highlight w:val="none"/>
          <w:lang w:val="hr-HR"/>
        </w:rPr>
        <w:t>现场获取或者网上获取，获取服务电话：18171338172。</w:t>
      </w:r>
    </w:p>
    <w:p w14:paraId="3C13AAB6">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3、方式：符合资格的投标人应当在获取时间内，通过以下方式获取招标文件。</w:t>
      </w:r>
    </w:p>
    <w:p w14:paraId="66EEA013">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方式一：线下</w:t>
      </w:r>
    </w:p>
    <w:p w14:paraId="0377532E">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①法定代表人自己领取的，凭法定代表人身份证明书及法定代表人身份证领取。</w:t>
      </w:r>
    </w:p>
    <w:p w14:paraId="6B34444F">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②法定代表人委托他人领取的，凭法定代表人授权书及受托人身份证领取。</w:t>
      </w:r>
    </w:p>
    <w:p w14:paraId="47DDAF8D">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③获取文件信息登记表</w:t>
      </w:r>
    </w:p>
    <w:p w14:paraId="54B5432A">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以上材料均需加盖公章。</w:t>
      </w:r>
    </w:p>
    <w:p w14:paraId="174A0F97">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方式二：线上</w:t>
      </w:r>
    </w:p>
    <w:p w14:paraId="535F3CE6">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①法定代表人自己领取的，凭法定代表人身份证明书及法定代表人身份证领取（须加盖公章）；</w:t>
      </w:r>
    </w:p>
    <w:p w14:paraId="123F7E29">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②法定代表人委托他人领取的，凭法定代表人授权书及受托人身份证领取（须加盖公章）；</w:t>
      </w:r>
    </w:p>
    <w:p w14:paraId="35A04B04">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③文件获取登记表（填写后加盖公章）；</w:t>
      </w:r>
    </w:p>
    <w:p w14:paraId="4328E6FB">
      <w:pPr>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④付款凭证（线上获取时提供）。</w:t>
      </w:r>
    </w:p>
    <w:p w14:paraId="6C359759">
      <w:pPr>
        <w:adjustRightInd/>
        <w:snapToGrid/>
        <w:spacing w:line="360" w:lineRule="auto"/>
        <w:ind w:firstLine="420" w:firstLineChars="200"/>
        <w:jc w:val="left"/>
        <w:rPr>
          <w:rFonts w:ascii="宋体" w:hAnsi="宋体" w:cs="宋体"/>
          <w:color w:val="auto"/>
          <w:szCs w:val="21"/>
          <w:highlight w:val="none"/>
        </w:rPr>
      </w:pPr>
      <w:r>
        <w:rPr>
          <w:rFonts w:hint="eastAsia" w:ascii="宋体" w:hAnsi="宋体" w:eastAsia="宋体" w:cs="宋体"/>
          <w:color w:val="auto"/>
          <w:szCs w:val="21"/>
          <w:highlight w:val="none"/>
          <w:lang w:eastAsia="zh-CN"/>
        </w:rPr>
        <w:t>以上材料均需加盖公章扫描发送至邮箱（邮箱</w:t>
      </w:r>
      <w:r>
        <w:rPr>
          <w:rFonts w:hint="eastAsia" w:ascii="宋体" w:hAnsi="宋体" w:eastAsia="宋体" w:cs="宋体"/>
          <w:color w:val="auto"/>
          <w:szCs w:val="21"/>
          <w:highlight w:val="none"/>
          <w:lang w:val="hr-HR" w:eastAsia="zh-CN"/>
        </w:rPr>
        <w:t>hbhjxg@126.com</w:t>
      </w:r>
      <w:r>
        <w:rPr>
          <w:rFonts w:hint="eastAsia" w:ascii="宋体" w:hAnsi="宋体" w:eastAsia="宋体" w:cs="宋体"/>
          <w:color w:val="auto"/>
          <w:szCs w:val="21"/>
          <w:highlight w:val="none"/>
          <w:lang w:eastAsia="zh-CN"/>
        </w:rPr>
        <w:t>）</w:t>
      </w:r>
    </w:p>
    <w:p w14:paraId="05F170A2">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4、售价：招标文件每包售价500元/包，售后不退。</w:t>
      </w:r>
    </w:p>
    <w:p w14:paraId="56F37811">
      <w:pPr>
        <w:pStyle w:val="3"/>
        <w:shd w:val="clear" w:color="auto" w:fill="FEFEFE"/>
        <w:spacing w:before="0" w:after="0" w:line="360" w:lineRule="auto"/>
        <w:ind w:firstLine="420" w:firstLineChars="200"/>
        <w:rPr>
          <w:rFonts w:ascii="宋体" w:hAnsi="宋体" w:cs="宋体"/>
          <w:color w:val="auto"/>
          <w:sz w:val="21"/>
          <w:szCs w:val="21"/>
          <w:highlight w:val="none"/>
        </w:rPr>
      </w:pPr>
      <w:bookmarkStart w:id="8" w:name="_Toc3458"/>
      <w:bookmarkStart w:id="9" w:name="_Toc119594478"/>
      <w:r>
        <w:rPr>
          <w:rFonts w:hint="eastAsia" w:ascii="宋体" w:hAnsi="宋体" w:cs="宋体"/>
          <w:color w:val="auto"/>
          <w:sz w:val="21"/>
          <w:szCs w:val="21"/>
          <w:highlight w:val="none"/>
        </w:rPr>
        <w:t>四、提交投标文件截止时间、开标时间和地点</w:t>
      </w:r>
      <w:bookmarkEnd w:id="8"/>
      <w:bookmarkEnd w:id="9"/>
    </w:p>
    <w:p w14:paraId="1FF0B19A">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提交投标文件截止时间：</w:t>
      </w:r>
      <w:r>
        <w:rPr>
          <w:rFonts w:hint="eastAsia"/>
          <w:color w:val="auto"/>
          <w:sz w:val="21"/>
          <w:szCs w:val="21"/>
          <w:highlight w:val="none"/>
          <w:u w:val="single"/>
          <w:lang w:val="en-US" w:eastAsia="zh-CN"/>
        </w:rPr>
        <w:t>2026</w:t>
      </w:r>
      <w:r>
        <w:rPr>
          <w:rFonts w:hint="eastAsia"/>
          <w:color w:val="auto"/>
          <w:sz w:val="21"/>
          <w:szCs w:val="21"/>
          <w:highlight w:val="none"/>
        </w:rPr>
        <w:t>年</w:t>
      </w:r>
      <w:r>
        <w:rPr>
          <w:rFonts w:hint="eastAsia"/>
          <w:color w:val="auto"/>
          <w:sz w:val="21"/>
          <w:szCs w:val="21"/>
          <w:highlight w:val="none"/>
          <w:u w:val="single"/>
          <w:lang w:val="en-US" w:eastAsia="zh-CN"/>
        </w:rPr>
        <w:t>8</w:t>
      </w:r>
      <w:r>
        <w:rPr>
          <w:rFonts w:hint="eastAsia"/>
          <w:color w:val="auto"/>
          <w:sz w:val="21"/>
          <w:szCs w:val="21"/>
          <w:highlight w:val="none"/>
        </w:rPr>
        <w:t>月</w:t>
      </w:r>
      <w:r>
        <w:rPr>
          <w:rFonts w:hint="eastAsia"/>
          <w:color w:val="auto"/>
          <w:sz w:val="21"/>
          <w:szCs w:val="21"/>
          <w:highlight w:val="none"/>
          <w:u w:val="single"/>
          <w:lang w:val="en-US" w:eastAsia="zh-CN"/>
        </w:rPr>
        <w:t>6</w:t>
      </w:r>
      <w:r>
        <w:rPr>
          <w:rFonts w:hint="eastAsia"/>
          <w:color w:val="auto"/>
          <w:sz w:val="21"/>
          <w:szCs w:val="21"/>
          <w:highlight w:val="none"/>
        </w:rPr>
        <w:t>日</w:t>
      </w:r>
      <w:r>
        <w:rPr>
          <w:rFonts w:hint="eastAsia"/>
          <w:color w:val="auto"/>
          <w:sz w:val="21"/>
          <w:szCs w:val="21"/>
          <w:highlight w:val="none"/>
          <w:u w:val="single"/>
          <w:lang w:val="en-US" w:eastAsia="zh-CN"/>
        </w:rPr>
        <w:t>9</w:t>
      </w:r>
      <w:r>
        <w:rPr>
          <w:rFonts w:hint="eastAsia"/>
          <w:color w:val="auto"/>
          <w:sz w:val="21"/>
          <w:szCs w:val="21"/>
          <w:highlight w:val="none"/>
        </w:rPr>
        <w:t>点</w:t>
      </w:r>
      <w:r>
        <w:rPr>
          <w:rFonts w:hint="eastAsia"/>
          <w:color w:val="auto"/>
          <w:sz w:val="21"/>
          <w:szCs w:val="21"/>
          <w:highlight w:val="none"/>
          <w:u w:val="single"/>
          <w:lang w:val="en-US" w:eastAsia="zh-CN"/>
        </w:rPr>
        <w:t>30</w:t>
      </w:r>
      <w:r>
        <w:rPr>
          <w:rFonts w:hint="eastAsia"/>
          <w:color w:val="auto"/>
          <w:sz w:val="21"/>
          <w:szCs w:val="21"/>
          <w:highlight w:val="none"/>
        </w:rPr>
        <w:t>分（北京时间）</w:t>
      </w:r>
    </w:p>
    <w:p w14:paraId="3D6B166F">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开标时间：</w:t>
      </w:r>
      <w:r>
        <w:rPr>
          <w:rFonts w:hint="eastAsia"/>
          <w:color w:val="auto"/>
          <w:sz w:val="21"/>
          <w:szCs w:val="21"/>
          <w:highlight w:val="none"/>
          <w:u w:val="single"/>
          <w:lang w:val="en-US" w:eastAsia="zh-CN"/>
        </w:rPr>
        <w:t>2026</w:t>
      </w:r>
      <w:r>
        <w:rPr>
          <w:rFonts w:hint="eastAsia"/>
          <w:color w:val="auto"/>
          <w:sz w:val="21"/>
          <w:szCs w:val="21"/>
          <w:highlight w:val="none"/>
        </w:rPr>
        <w:t>年</w:t>
      </w:r>
      <w:r>
        <w:rPr>
          <w:rFonts w:hint="eastAsia"/>
          <w:color w:val="auto"/>
          <w:sz w:val="21"/>
          <w:szCs w:val="21"/>
          <w:highlight w:val="none"/>
          <w:u w:val="single"/>
          <w:lang w:val="en-US" w:eastAsia="zh-CN"/>
        </w:rPr>
        <w:t>8</w:t>
      </w:r>
      <w:r>
        <w:rPr>
          <w:rFonts w:hint="eastAsia"/>
          <w:color w:val="auto"/>
          <w:sz w:val="21"/>
          <w:szCs w:val="21"/>
          <w:highlight w:val="none"/>
        </w:rPr>
        <w:t>月</w:t>
      </w:r>
      <w:r>
        <w:rPr>
          <w:rFonts w:hint="eastAsia"/>
          <w:color w:val="auto"/>
          <w:sz w:val="21"/>
          <w:szCs w:val="21"/>
          <w:highlight w:val="none"/>
          <w:u w:val="single"/>
          <w:lang w:val="en-US" w:eastAsia="zh-CN"/>
        </w:rPr>
        <w:t>6</w:t>
      </w:r>
      <w:r>
        <w:rPr>
          <w:rFonts w:hint="eastAsia"/>
          <w:color w:val="auto"/>
          <w:sz w:val="21"/>
          <w:szCs w:val="21"/>
          <w:highlight w:val="none"/>
        </w:rPr>
        <w:t>日</w:t>
      </w:r>
      <w:r>
        <w:rPr>
          <w:rFonts w:hint="eastAsia"/>
          <w:color w:val="auto"/>
          <w:sz w:val="21"/>
          <w:szCs w:val="21"/>
          <w:highlight w:val="none"/>
          <w:u w:val="single"/>
          <w:lang w:val="en-US" w:eastAsia="zh-CN"/>
        </w:rPr>
        <w:t>9</w:t>
      </w:r>
      <w:r>
        <w:rPr>
          <w:rFonts w:hint="eastAsia"/>
          <w:color w:val="auto"/>
          <w:sz w:val="21"/>
          <w:szCs w:val="21"/>
          <w:highlight w:val="none"/>
        </w:rPr>
        <w:t>点</w:t>
      </w:r>
      <w:r>
        <w:rPr>
          <w:rFonts w:hint="eastAsia"/>
          <w:color w:val="auto"/>
          <w:sz w:val="21"/>
          <w:szCs w:val="21"/>
          <w:highlight w:val="none"/>
          <w:u w:val="single"/>
          <w:lang w:val="en-US" w:eastAsia="zh-CN"/>
        </w:rPr>
        <w:t>30</w:t>
      </w:r>
      <w:r>
        <w:rPr>
          <w:rFonts w:hint="eastAsia"/>
          <w:color w:val="auto"/>
          <w:sz w:val="21"/>
          <w:szCs w:val="21"/>
          <w:highlight w:val="none"/>
        </w:rPr>
        <w:t>分（北京时间）</w:t>
      </w:r>
    </w:p>
    <w:p w14:paraId="1E5F7823">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地点：</w:t>
      </w:r>
      <w:r>
        <w:rPr>
          <w:rFonts w:ascii="宋体" w:hAnsi="宋体" w:eastAsia="宋体" w:cs="宋体"/>
          <w:b w:val="0"/>
          <w:bCs w:val="0"/>
          <w:i w:val="0"/>
          <w:iCs w:val="0"/>
          <w:smallCaps w:val="0"/>
          <w:color w:val="auto"/>
          <w:kern w:val="0"/>
          <w:sz w:val="21"/>
          <w:szCs w:val="21"/>
          <w:highlight w:val="none"/>
          <w:u w:val="single"/>
        </w:rPr>
        <w:t>武汉市武昌区月亮湾二路全季酒店（武汉徐东武昌江滩店，徐家棚地铁站A口附近）7楼</w:t>
      </w:r>
    </w:p>
    <w:p w14:paraId="7F156E4A">
      <w:pPr>
        <w:pStyle w:val="3"/>
        <w:shd w:val="clear" w:color="auto" w:fill="FEFEFE"/>
        <w:spacing w:before="0" w:after="0" w:line="360" w:lineRule="auto"/>
        <w:ind w:firstLine="420" w:firstLineChars="200"/>
        <w:rPr>
          <w:rFonts w:ascii="宋体" w:hAnsi="宋体" w:cs="宋体"/>
          <w:color w:val="auto"/>
          <w:sz w:val="21"/>
          <w:szCs w:val="21"/>
          <w:highlight w:val="none"/>
        </w:rPr>
      </w:pPr>
      <w:bookmarkStart w:id="10" w:name="_Toc119594479"/>
      <w:bookmarkStart w:id="11" w:name="_Toc26579"/>
      <w:r>
        <w:rPr>
          <w:rFonts w:hint="eastAsia" w:ascii="宋体" w:hAnsi="宋体" w:cs="宋体"/>
          <w:color w:val="auto"/>
          <w:sz w:val="21"/>
          <w:szCs w:val="21"/>
          <w:highlight w:val="none"/>
        </w:rPr>
        <w:t>五、公告期限</w:t>
      </w:r>
      <w:bookmarkEnd w:id="10"/>
      <w:bookmarkEnd w:id="11"/>
    </w:p>
    <w:p w14:paraId="17D7DB4F">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自本公告发布之日起5个工作日。</w:t>
      </w:r>
    </w:p>
    <w:p w14:paraId="1481B152">
      <w:pPr>
        <w:pStyle w:val="3"/>
        <w:shd w:val="clear" w:color="auto" w:fill="FEFEFE"/>
        <w:spacing w:before="0" w:after="0" w:line="360" w:lineRule="auto"/>
        <w:ind w:firstLine="420" w:firstLineChars="200"/>
        <w:rPr>
          <w:rFonts w:ascii="宋体" w:hAnsi="宋体" w:cs="宋体"/>
          <w:color w:val="auto"/>
          <w:sz w:val="21"/>
          <w:szCs w:val="21"/>
          <w:highlight w:val="none"/>
        </w:rPr>
      </w:pPr>
      <w:bookmarkStart w:id="12" w:name="_Toc119594480"/>
      <w:bookmarkStart w:id="13" w:name="_Toc7053"/>
      <w:r>
        <w:rPr>
          <w:rFonts w:hint="eastAsia" w:ascii="宋体" w:hAnsi="宋体" w:cs="宋体"/>
          <w:color w:val="auto"/>
          <w:sz w:val="21"/>
          <w:szCs w:val="21"/>
          <w:highlight w:val="none"/>
        </w:rPr>
        <w:t>六、其他补充事宜</w:t>
      </w:r>
      <w:bookmarkEnd w:id="12"/>
      <w:bookmarkEnd w:id="13"/>
    </w:p>
    <w:p w14:paraId="696225F0">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1.本项目将在《武汉理工大学采购与招标管理办公室》（网址：http://cgyztb.whut.edu.cn/）上发布所有信息，请参加本项目投标人密切关注。</w:t>
      </w:r>
    </w:p>
    <w:p w14:paraId="57ED19C8">
      <w:pPr>
        <w:pStyle w:val="3"/>
        <w:shd w:val="clear" w:color="auto" w:fill="FEFEFE"/>
        <w:spacing w:before="0" w:after="0" w:line="360" w:lineRule="auto"/>
        <w:ind w:firstLine="420" w:firstLineChars="200"/>
        <w:rPr>
          <w:rFonts w:ascii="宋体" w:hAnsi="宋体" w:cs="宋体"/>
          <w:color w:val="auto"/>
          <w:sz w:val="21"/>
          <w:szCs w:val="21"/>
          <w:highlight w:val="none"/>
        </w:rPr>
      </w:pPr>
      <w:bookmarkStart w:id="14" w:name="_Toc119594481"/>
      <w:bookmarkStart w:id="15" w:name="_Toc20041"/>
      <w:r>
        <w:rPr>
          <w:rFonts w:hint="eastAsia" w:ascii="宋体" w:hAnsi="宋体" w:cs="宋体"/>
          <w:color w:val="auto"/>
          <w:sz w:val="21"/>
          <w:szCs w:val="21"/>
          <w:highlight w:val="none"/>
        </w:rPr>
        <w:t>七、对本次招标提出询问，请按以下方式联系。</w:t>
      </w:r>
      <w:bookmarkEnd w:id="14"/>
      <w:bookmarkEnd w:id="15"/>
    </w:p>
    <w:p w14:paraId="2DD9DC24">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1.采购人信息</w:t>
      </w:r>
    </w:p>
    <w:p w14:paraId="15492BCE">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名    称：武汉理工大学</w:t>
      </w:r>
    </w:p>
    <w:p w14:paraId="00E82B77">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地    址：洪山区珞狮南路1</w:t>
      </w:r>
      <w:r>
        <w:rPr>
          <w:color w:val="auto"/>
          <w:sz w:val="21"/>
          <w:szCs w:val="21"/>
          <w:highlight w:val="none"/>
        </w:rPr>
        <w:t>22</w:t>
      </w:r>
      <w:r>
        <w:rPr>
          <w:rFonts w:hint="eastAsia"/>
          <w:color w:val="auto"/>
          <w:sz w:val="21"/>
          <w:szCs w:val="21"/>
          <w:highlight w:val="none"/>
        </w:rPr>
        <w:t>号</w:t>
      </w:r>
    </w:p>
    <w:p w14:paraId="1EA3FD99">
      <w:pPr>
        <w:pStyle w:val="18"/>
        <w:shd w:val="clear" w:color="auto" w:fill="FEFEFE"/>
        <w:spacing w:before="0" w:beforeAutospacing="0" w:after="0" w:afterAutospacing="0" w:line="360" w:lineRule="auto"/>
        <w:ind w:firstLine="420" w:firstLineChars="200"/>
        <w:jc w:val="both"/>
        <w:rPr>
          <w:rFonts w:hint="eastAsia" w:eastAsia="宋体"/>
          <w:color w:val="auto"/>
          <w:sz w:val="21"/>
          <w:szCs w:val="21"/>
          <w:highlight w:val="none"/>
          <w:lang w:eastAsia="zh-CN"/>
        </w:rPr>
      </w:pPr>
      <w:r>
        <w:rPr>
          <w:rFonts w:hint="eastAsia"/>
          <w:color w:val="auto"/>
          <w:sz w:val="21"/>
          <w:szCs w:val="21"/>
          <w:highlight w:val="none"/>
        </w:rPr>
        <w:t>联系方式：刘老师</w:t>
      </w:r>
      <w:r>
        <w:rPr>
          <w:rFonts w:hint="eastAsia"/>
          <w:color w:val="auto"/>
          <w:sz w:val="21"/>
          <w:szCs w:val="21"/>
          <w:highlight w:val="none"/>
          <w:lang w:val="en-US" w:eastAsia="zh-CN"/>
        </w:rPr>
        <w:t xml:space="preserve"> </w:t>
      </w:r>
      <w:r>
        <w:rPr>
          <w:rFonts w:hint="eastAsia"/>
          <w:color w:val="auto"/>
          <w:sz w:val="21"/>
          <w:szCs w:val="21"/>
          <w:highlight w:val="none"/>
          <w:lang w:eastAsia="zh-CN"/>
        </w:rPr>
        <w:t>027-87285065</w:t>
      </w:r>
    </w:p>
    <w:p w14:paraId="74AD9EC3">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2.采购代理机构信息</w:t>
      </w:r>
    </w:p>
    <w:p w14:paraId="75BD659E">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名    称：</w:t>
      </w:r>
      <w:r>
        <w:rPr>
          <w:rFonts w:ascii="宋体" w:hAnsi="宋体" w:eastAsia="宋体" w:cs="宋体"/>
          <w:b w:val="0"/>
          <w:bCs w:val="0"/>
          <w:i w:val="0"/>
          <w:iCs w:val="0"/>
          <w:smallCaps w:val="0"/>
          <w:color w:val="auto"/>
          <w:kern w:val="0"/>
          <w:sz w:val="21"/>
          <w:szCs w:val="21"/>
          <w:highlight w:val="none"/>
        </w:rPr>
        <w:t>瀚景项目管理有限公司</w:t>
      </w:r>
    </w:p>
    <w:p w14:paraId="161846C1">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地    址：</w:t>
      </w:r>
      <w:r>
        <w:rPr>
          <w:rFonts w:ascii="宋体" w:hAnsi="宋体" w:eastAsia="宋体" w:cs="宋体"/>
          <w:b w:val="0"/>
          <w:bCs w:val="0"/>
          <w:i w:val="0"/>
          <w:iCs w:val="0"/>
          <w:smallCaps w:val="0"/>
          <w:color w:val="auto"/>
          <w:kern w:val="0"/>
          <w:sz w:val="21"/>
          <w:szCs w:val="21"/>
          <w:highlight w:val="none"/>
        </w:rPr>
        <w:t>武汉市武昌区月亮湾二路全季酒店（武汉徐东武昌江滩店，徐家棚地铁站A口附近）7楼</w:t>
      </w:r>
    </w:p>
    <w:p w14:paraId="544FD796">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联系方式：18171338172</w:t>
      </w:r>
    </w:p>
    <w:p w14:paraId="7E9F29BA">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3.项目联系方式</w:t>
      </w:r>
    </w:p>
    <w:p w14:paraId="317A6B3A">
      <w:pPr>
        <w:pStyle w:val="18"/>
        <w:shd w:val="clear" w:color="auto" w:fill="FEFEFE"/>
        <w:spacing w:before="0" w:beforeAutospacing="0" w:after="0" w:afterAutospacing="0" w:line="360" w:lineRule="auto"/>
        <w:ind w:firstLine="420" w:firstLineChars="200"/>
        <w:jc w:val="both"/>
        <w:rPr>
          <w:color w:val="auto"/>
          <w:sz w:val="21"/>
          <w:szCs w:val="21"/>
          <w:highlight w:val="none"/>
          <w:u w:val="single"/>
        </w:rPr>
      </w:pPr>
      <w:r>
        <w:rPr>
          <w:rFonts w:hint="eastAsia"/>
          <w:color w:val="auto"/>
          <w:sz w:val="21"/>
          <w:szCs w:val="21"/>
          <w:highlight w:val="none"/>
        </w:rPr>
        <w:t>项目联系人：代婵、周广伟、魏伟、陈巧巧、 王焱</w:t>
      </w:r>
    </w:p>
    <w:p w14:paraId="28FFB0F1">
      <w:pPr>
        <w:pStyle w:val="18"/>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电      话：18171338172</w:t>
      </w:r>
    </w:p>
    <w:p w14:paraId="0E6368CC">
      <w:pPr>
        <w:spacing w:line="300" w:lineRule="auto"/>
        <w:jc w:val="center"/>
        <w:outlineLvl w:val="0"/>
        <w:rPr>
          <w:rFonts w:ascii="黑体" w:hAnsi="黑体" w:eastAsia="黑体"/>
          <w:color w:val="auto"/>
          <w:sz w:val="28"/>
          <w:szCs w:val="28"/>
          <w:highlight w:val="none"/>
        </w:rPr>
      </w:pPr>
      <w:r>
        <w:rPr>
          <w:rFonts w:hint="eastAsia" w:ascii="宋体" w:hAnsi="宋体"/>
          <w:color w:val="auto"/>
          <w:kern w:val="0"/>
          <w:szCs w:val="21"/>
          <w:highlight w:val="none"/>
        </w:rPr>
        <w:br w:type="page"/>
      </w:r>
      <w:bookmarkStart w:id="16" w:name="_Toc97814995"/>
      <w:bookmarkStart w:id="17" w:name="_Toc19080"/>
      <w:r>
        <w:rPr>
          <w:rFonts w:hint="eastAsia" w:ascii="黑体" w:hAnsi="黑体" w:eastAsia="黑体"/>
          <w:color w:val="auto"/>
          <w:sz w:val="28"/>
          <w:szCs w:val="28"/>
          <w:highlight w:val="none"/>
        </w:rPr>
        <w:t>第二章 投标人须知</w:t>
      </w:r>
      <w:bookmarkEnd w:id="16"/>
      <w:bookmarkEnd w:id="17"/>
    </w:p>
    <w:p w14:paraId="7894B60C">
      <w:pPr>
        <w:keepNext/>
        <w:keepLines/>
        <w:spacing w:line="276" w:lineRule="auto"/>
        <w:ind w:firstLine="420" w:firstLineChars="200"/>
        <w:rPr>
          <w:rFonts w:ascii="宋体" w:hAnsi="宋体"/>
          <w:b/>
          <w:bCs/>
          <w:color w:val="auto"/>
          <w:szCs w:val="21"/>
          <w:highlight w:val="none"/>
          <w:lang w:val="zh-CN"/>
        </w:rPr>
      </w:pPr>
      <w:bookmarkStart w:id="18" w:name="_Toc494561937"/>
      <w:r>
        <w:rPr>
          <w:rFonts w:hint="eastAsia" w:ascii="宋体" w:cs="宋体"/>
          <w:bCs/>
          <w:color w:val="auto"/>
          <w:szCs w:val="21"/>
          <w:highlight w:val="none"/>
        </w:rPr>
        <w:t>投标人应仔细阅读本《投标人须知前附表》，下表所列内容是对“投标人须知”的具体补充和说明。如有矛盾，应以本表为准。</w:t>
      </w:r>
    </w:p>
    <w:p w14:paraId="733DA32C">
      <w:pPr>
        <w:keepNext/>
        <w:keepLines/>
        <w:spacing w:line="276" w:lineRule="auto"/>
        <w:jc w:val="center"/>
        <w:outlineLvl w:val="1"/>
        <w:rPr>
          <w:rFonts w:ascii="宋体" w:hAnsi="宋体"/>
          <w:b/>
          <w:bCs/>
          <w:color w:val="auto"/>
          <w:szCs w:val="21"/>
          <w:highlight w:val="none"/>
          <w:lang w:val="zh-CN"/>
        </w:rPr>
      </w:pPr>
      <w:bookmarkStart w:id="19" w:name="_Toc24036"/>
      <w:bookmarkStart w:id="20" w:name="_Toc97814996"/>
      <w:r>
        <w:rPr>
          <w:rFonts w:hint="eastAsia" w:ascii="宋体" w:hAnsi="宋体"/>
          <w:b/>
          <w:bCs/>
          <w:color w:val="auto"/>
          <w:szCs w:val="21"/>
          <w:highlight w:val="none"/>
          <w:lang w:val="zh-CN"/>
        </w:rPr>
        <w:t>投标人须知前附表</w:t>
      </w:r>
      <w:bookmarkEnd w:id="18"/>
      <w:bookmarkEnd w:id="19"/>
      <w:bookmarkEnd w:id="20"/>
    </w:p>
    <w:tbl>
      <w:tblPr>
        <w:tblStyle w:val="21"/>
        <w:tblW w:w="9354" w:type="dxa"/>
        <w:tblInd w:w="12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866"/>
        <w:gridCol w:w="1530"/>
        <w:gridCol w:w="6958"/>
      </w:tblGrid>
      <w:tr w14:paraId="3D8000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3DC37A7">
            <w:pPr>
              <w:tabs>
                <w:tab w:val="left" w:pos="130"/>
              </w:tabs>
              <w:adjustRightInd w:val="0"/>
              <w:snapToGrid w:val="0"/>
              <w:spacing w:line="320" w:lineRule="exact"/>
              <w:ind w:right="57"/>
              <w:jc w:val="center"/>
              <w:rPr>
                <w:rFonts w:hint="eastAsia" w:ascii="宋体" w:hAnsi="宋体" w:eastAsia="宋体" w:cs="宋体"/>
                <w:b/>
                <w:color w:val="auto"/>
                <w:sz w:val="21"/>
                <w:szCs w:val="21"/>
                <w:highlight w:val="none"/>
              </w:rPr>
            </w:pPr>
            <w:bookmarkStart w:id="21" w:name="_Toc494561938"/>
            <w:r>
              <w:rPr>
                <w:rFonts w:hint="eastAsia" w:ascii="宋体" w:hAnsi="宋体" w:eastAsia="宋体" w:cs="宋体"/>
                <w:b/>
                <w:color w:val="auto"/>
                <w:spacing w:val="1"/>
                <w:w w:val="83"/>
                <w:kern w:val="0"/>
                <w:sz w:val="21"/>
                <w:szCs w:val="21"/>
                <w:highlight w:val="none"/>
                <w:fitText w:val="528" w:id="298914350"/>
              </w:rPr>
              <w:t>条款</w:t>
            </w:r>
            <w:r>
              <w:rPr>
                <w:rFonts w:hint="eastAsia" w:ascii="宋体" w:hAnsi="宋体" w:eastAsia="宋体" w:cs="宋体"/>
                <w:b/>
                <w:color w:val="auto"/>
                <w:spacing w:val="0"/>
                <w:w w:val="83"/>
                <w:kern w:val="0"/>
                <w:sz w:val="21"/>
                <w:szCs w:val="21"/>
                <w:highlight w:val="none"/>
                <w:fitText w:val="528" w:id="298914350"/>
              </w:rPr>
              <w:t>号</w:t>
            </w:r>
          </w:p>
        </w:tc>
        <w:tc>
          <w:tcPr>
            <w:tcW w:w="1530" w:type="dxa"/>
            <w:tcBorders>
              <w:top w:val="single" w:color="auto" w:sz="4" w:space="0"/>
              <w:left w:val="single" w:color="auto" w:sz="4" w:space="0"/>
              <w:bottom w:val="single" w:color="auto" w:sz="4" w:space="0"/>
              <w:right w:val="single" w:color="auto" w:sz="4" w:space="0"/>
            </w:tcBorders>
            <w:vAlign w:val="center"/>
          </w:tcPr>
          <w:p w14:paraId="313A88E3">
            <w:pPr>
              <w:adjustRightInd w:val="0"/>
              <w:snapToGrid w:val="0"/>
              <w:spacing w:line="320" w:lineRule="exact"/>
              <w:ind w:right="-11"/>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名  称</w:t>
            </w:r>
          </w:p>
        </w:tc>
        <w:tc>
          <w:tcPr>
            <w:tcW w:w="6958" w:type="dxa"/>
            <w:tcBorders>
              <w:top w:val="single" w:color="auto" w:sz="4" w:space="0"/>
              <w:left w:val="single" w:color="auto" w:sz="4" w:space="0"/>
              <w:bottom w:val="single" w:color="auto" w:sz="4" w:space="0"/>
              <w:right w:val="single" w:color="auto" w:sz="4" w:space="0"/>
            </w:tcBorders>
            <w:vAlign w:val="center"/>
          </w:tcPr>
          <w:p w14:paraId="120760B1">
            <w:pPr>
              <w:adjustRightInd w:val="0"/>
              <w:snapToGrid w:val="0"/>
              <w:spacing w:line="320" w:lineRule="exact"/>
              <w:ind w:left="57" w:right="57" w:firstLine="422" w:firstLineChars="201"/>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内           容</w:t>
            </w:r>
          </w:p>
        </w:tc>
      </w:tr>
      <w:tr w14:paraId="271F84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AE3E592">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1530" w:type="dxa"/>
            <w:tcBorders>
              <w:top w:val="single" w:color="auto" w:sz="4" w:space="0"/>
              <w:left w:val="single" w:color="auto" w:sz="4" w:space="0"/>
              <w:bottom w:val="single" w:color="auto" w:sz="4" w:space="0"/>
              <w:right w:val="single" w:color="auto" w:sz="4" w:space="0"/>
            </w:tcBorders>
            <w:vAlign w:val="center"/>
          </w:tcPr>
          <w:p w14:paraId="06AC5065">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6958" w:type="dxa"/>
            <w:tcBorders>
              <w:top w:val="single" w:color="auto" w:sz="4" w:space="0"/>
              <w:left w:val="single" w:color="auto" w:sz="4" w:space="0"/>
              <w:bottom w:val="single" w:color="auto" w:sz="4" w:space="0"/>
              <w:right w:val="single" w:color="auto" w:sz="4" w:space="0"/>
            </w:tcBorders>
            <w:vAlign w:val="center"/>
          </w:tcPr>
          <w:p w14:paraId="63E45897">
            <w:pPr>
              <w:adjustRightInd w:val="0"/>
              <w:snapToGrid w:val="0"/>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武汉理工大学</w:t>
            </w:r>
          </w:p>
        </w:tc>
      </w:tr>
      <w:tr w14:paraId="76A8D7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EE80EDF">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1530" w:type="dxa"/>
            <w:tcBorders>
              <w:top w:val="single" w:color="auto" w:sz="4" w:space="0"/>
              <w:left w:val="single" w:color="auto" w:sz="4" w:space="0"/>
              <w:bottom w:val="single" w:color="auto" w:sz="4" w:space="0"/>
              <w:right w:val="single" w:color="auto" w:sz="4" w:space="0"/>
            </w:tcBorders>
            <w:vAlign w:val="center"/>
          </w:tcPr>
          <w:p w14:paraId="4FC2AFC1">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监管部门</w:t>
            </w:r>
          </w:p>
        </w:tc>
        <w:tc>
          <w:tcPr>
            <w:tcW w:w="6958" w:type="dxa"/>
            <w:tcBorders>
              <w:top w:val="single" w:color="auto" w:sz="4" w:space="0"/>
              <w:left w:val="single" w:color="auto" w:sz="4" w:space="0"/>
              <w:bottom w:val="single" w:color="auto" w:sz="4" w:space="0"/>
              <w:right w:val="single" w:color="auto" w:sz="4" w:space="0"/>
            </w:tcBorders>
            <w:vAlign w:val="center"/>
          </w:tcPr>
          <w:p w14:paraId="1E7DF1B5">
            <w:pPr>
              <w:adjustRightInd w:val="0"/>
              <w:snapToGrid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武汉理工大学</w:t>
            </w:r>
          </w:p>
        </w:tc>
      </w:tr>
      <w:tr w14:paraId="72B007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03F2868">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w:t>
            </w:r>
          </w:p>
        </w:tc>
        <w:tc>
          <w:tcPr>
            <w:tcW w:w="1530" w:type="dxa"/>
            <w:tcBorders>
              <w:top w:val="single" w:color="auto" w:sz="4" w:space="0"/>
              <w:left w:val="single" w:color="auto" w:sz="4" w:space="0"/>
              <w:bottom w:val="single" w:color="auto" w:sz="4" w:space="0"/>
              <w:right w:val="single" w:color="auto" w:sz="4" w:space="0"/>
            </w:tcBorders>
            <w:vAlign w:val="center"/>
          </w:tcPr>
          <w:p w14:paraId="35BE2034">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tc>
        <w:tc>
          <w:tcPr>
            <w:tcW w:w="6958" w:type="dxa"/>
            <w:tcBorders>
              <w:top w:val="single" w:color="auto" w:sz="4" w:space="0"/>
              <w:left w:val="single" w:color="auto" w:sz="4" w:space="0"/>
              <w:bottom w:val="single" w:color="auto" w:sz="4" w:space="0"/>
              <w:right w:val="single" w:color="auto" w:sz="4" w:space="0"/>
            </w:tcBorders>
            <w:vAlign w:val="center"/>
          </w:tcPr>
          <w:p w14:paraId="07E361B4">
            <w:pPr>
              <w:adjustRightInd w:val="0"/>
              <w:snapToGrid w:val="0"/>
              <w:spacing w:line="32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lang w:val="zh-CN"/>
              </w:rPr>
              <w:instrText xml:space="preserve"> DOCVARIABLE 招标机构名称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b w:val="0"/>
                <w:bCs w:val="0"/>
                <w:i w:val="0"/>
                <w:iCs w:val="0"/>
                <w:smallCaps w:val="0"/>
                <w:color w:val="auto"/>
                <w:kern w:val="0"/>
                <w:sz w:val="21"/>
                <w:szCs w:val="21"/>
                <w:highlight w:val="none"/>
              </w:rPr>
              <w:t>瀚景项目管理有限公司</w:t>
            </w:r>
            <w:r>
              <w:rPr>
                <w:rFonts w:hint="eastAsia" w:ascii="宋体" w:hAnsi="宋体" w:eastAsia="宋体" w:cs="宋体"/>
                <w:color w:val="auto"/>
                <w:sz w:val="21"/>
                <w:szCs w:val="21"/>
                <w:highlight w:val="none"/>
                <w:u w:val="single"/>
              </w:rPr>
              <w:fldChar w:fldCharType="end"/>
            </w:r>
          </w:p>
        </w:tc>
      </w:tr>
      <w:tr w14:paraId="64F34F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3D0F390">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p>
        </w:tc>
        <w:tc>
          <w:tcPr>
            <w:tcW w:w="1530" w:type="dxa"/>
            <w:tcBorders>
              <w:top w:val="single" w:color="auto" w:sz="4" w:space="0"/>
              <w:left w:val="single" w:color="auto" w:sz="4" w:space="0"/>
              <w:bottom w:val="single" w:color="auto" w:sz="4" w:space="0"/>
              <w:right w:val="single" w:color="auto" w:sz="4" w:space="0"/>
            </w:tcBorders>
            <w:vAlign w:val="center"/>
          </w:tcPr>
          <w:p w14:paraId="1DDB0E86">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进口产品</w:t>
            </w:r>
          </w:p>
        </w:tc>
        <w:tc>
          <w:tcPr>
            <w:tcW w:w="6958" w:type="dxa"/>
            <w:tcBorders>
              <w:top w:val="single" w:color="auto" w:sz="4" w:space="0"/>
              <w:left w:val="single" w:color="auto" w:sz="4" w:space="0"/>
              <w:bottom w:val="single" w:color="auto" w:sz="4" w:space="0"/>
              <w:right w:val="single" w:color="auto" w:sz="4" w:space="0"/>
            </w:tcBorders>
            <w:vAlign w:val="center"/>
          </w:tcPr>
          <w:p w14:paraId="1F7F05A9">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不接受</w:t>
            </w:r>
          </w:p>
          <w:p w14:paraId="25151D16">
            <w:pPr>
              <w:spacing w:line="32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sym w:font="Wingdings 2" w:char="00A3"/>
            </w:r>
            <w:r>
              <w:rPr>
                <w:rFonts w:hint="eastAsia" w:ascii="宋体" w:hAnsi="宋体" w:eastAsia="宋体" w:cs="宋体"/>
                <w:color w:val="auto"/>
                <w:sz w:val="21"/>
                <w:szCs w:val="21"/>
                <w:highlight w:val="none"/>
              </w:rPr>
              <w:t>接受，接受进口的产品为：</w:t>
            </w:r>
            <w:r>
              <w:rPr>
                <w:rFonts w:hint="eastAsia" w:ascii="宋体" w:hAnsi="宋体" w:eastAsia="宋体" w:cs="宋体"/>
                <w:color w:val="auto"/>
                <w:sz w:val="21"/>
                <w:szCs w:val="21"/>
                <w:highlight w:val="none"/>
                <w:u w:val="single"/>
              </w:rPr>
              <w:t xml:space="preserve">               </w:t>
            </w:r>
          </w:p>
        </w:tc>
      </w:tr>
      <w:tr w14:paraId="2B332C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BC1F71A">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w:t>
            </w:r>
          </w:p>
        </w:tc>
        <w:tc>
          <w:tcPr>
            <w:tcW w:w="1530" w:type="dxa"/>
            <w:tcBorders>
              <w:top w:val="single" w:color="auto" w:sz="4" w:space="0"/>
              <w:left w:val="single" w:color="auto" w:sz="4" w:space="0"/>
              <w:bottom w:val="single" w:color="auto" w:sz="4" w:space="0"/>
              <w:right w:val="single" w:color="auto" w:sz="4" w:space="0"/>
            </w:tcBorders>
            <w:vAlign w:val="center"/>
          </w:tcPr>
          <w:p w14:paraId="1E900BD7">
            <w:pPr>
              <w:keepNext w:val="0"/>
              <w:keepLines w:val="0"/>
              <w:widowControl/>
              <w:suppressLineNumbers w:val="0"/>
              <w:spacing w:before="12" w:beforeLines="5" w:beforeAutospacing="0" w:after="12" w:afterLines="5" w:afterAutospacing="0"/>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支持本国产品</w:t>
            </w:r>
          </w:p>
        </w:tc>
        <w:tc>
          <w:tcPr>
            <w:tcW w:w="6958" w:type="dxa"/>
            <w:tcBorders>
              <w:top w:val="single" w:color="auto" w:sz="4" w:space="0"/>
              <w:left w:val="single" w:color="auto" w:sz="4" w:space="0"/>
              <w:bottom w:val="single" w:color="auto" w:sz="4" w:space="0"/>
              <w:right w:val="single" w:color="auto" w:sz="4" w:space="0"/>
            </w:tcBorders>
            <w:vAlign w:val="center"/>
          </w:tcPr>
          <w:p w14:paraId="69C19E6D">
            <w:pPr>
              <w:keepNext w:val="0"/>
              <w:keepLines w:val="0"/>
              <w:widowControl/>
              <w:suppressLineNumbers w:val="0"/>
              <w:spacing w:before="12" w:beforeLines="5" w:beforeAutospacing="0" w:after="12" w:afterLines="5"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A3"/>
            </w:r>
            <w:r>
              <w:rPr>
                <w:rFonts w:hint="eastAsia" w:ascii="宋体" w:hAnsi="宋体" w:eastAsia="宋体" w:cs="宋体"/>
                <w:color w:val="auto"/>
                <w:sz w:val="21"/>
                <w:szCs w:val="21"/>
                <w:highlight w:val="none"/>
              </w:rPr>
              <w:t>适用，本国产品标准适用于货物，包括政府采购货物项目和服务项目中涉及的货物。适用本国产品标准的货物具体是指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政府采购品目分类目录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中的货物类产品，但不包括其中的房屋和构筑物，文物和陈列品，图书和档案，特种动植物，农林牧渔业产品，矿与矿物，电力、城市燃气、蒸汽和热水、水，食品、饮料和烟草原料，无形资产。</w:t>
            </w:r>
          </w:p>
          <w:p w14:paraId="2CB35620">
            <w:pPr>
              <w:keepNext w:val="0"/>
              <w:keepLines w:val="0"/>
              <w:widowControl/>
              <w:suppressLineNumbers w:val="0"/>
              <w:spacing w:before="12" w:beforeLines="5" w:beforeAutospacing="0" w:after="12" w:afterLines="5" w:afterAutospacing="0"/>
              <w:ind w:left="0" w:leftChars="0" w:right="0" w:righ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不适用</w:t>
            </w:r>
          </w:p>
        </w:tc>
      </w:tr>
      <w:tr w14:paraId="78EC6F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81F80BE">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530" w:type="dxa"/>
            <w:tcBorders>
              <w:top w:val="single" w:color="auto" w:sz="4" w:space="0"/>
              <w:left w:val="single" w:color="auto" w:sz="4" w:space="0"/>
              <w:bottom w:val="single" w:color="auto" w:sz="4" w:space="0"/>
              <w:right w:val="single" w:color="auto" w:sz="4" w:space="0"/>
            </w:tcBorders>
            <w:vAlign w:val="center"/>
          </w:tcPr>
          <w:p w14:paraId="486020AB">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项目属性</w:t>
            </w:r>
          </w:p>
        </w:tc>
        <w:tc>
          <w:tcPr>
            <w:tcW w:w="6958" w:type="dxa"/>
            <w:tcBorders>
              <w:top w:val="single" w:color="auto" w:sz="4" w:space="0"/>
              <w:left w:val="single" w:color="auto" w:sz="4" w:space="0"/>
              <w:bottom w:val="single" w:color="auto" w:sz="4" w:space="0"/>
              <w:right w:val="single" w:color="auto" w:sz="4" w:space="0"/>
            </w:tcBorders>
            <w:vAlign w:val="center"/>
          </w:tcPr>
          <w:p w14:paraId="3AE98E92">
            <w:pPr>
              <w:adjustRightInd w:val="0"/>
              <w:snapToGrid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A3"/>
            </w:r>
            <w:r>
              <w:rPr>
                <w:rFonts w:hint="eastAsia" w:ascii="宋体" w:hAnsi="宋体" w:eastAsia="宋体" w:cs="宋体"/>
                <w:color w:val="auto"/>
                <w:sz w:val="21"/>
                <w:szCs w:val="21"/>
                <w:highlight w:val="none"/>
              </w:rPr>
              <w:t>货物</w:t>
            </w:r>
          </w:p>
          <w:p w14:paraId="3B3981B9">
            <w:pPr>
              <w:adjustRightInd w:val="0"/>
              <w:snapToGrid w:val="0"/>
              <w:spacing w:line="320" w:lineRule="exact"/>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服务</w:t>
            </w:r>
          </w:p>
        </w:tc>
      </w:tr>
      <w:tr w14:paraId="7277C8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91120A3">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w:t>
            </w:r>
          </w:p>
        </w:tc>
        <w:tc>
          <w:tcPr>
            <w:tcW w:w="1530" w:type="dxa"/>
            <w:tcBorders>
              <w:top w:val="single" w:color="auto" w:sz="4" w:space="0"/>
              <w:left w:val="single" w:color="auto" w:sz="4" w:space="0"/>
              <w:bottom w:val="single" w:color="auto" w:sz="4" w:space="0"/>
              <w:right w:val="single" w:color="auto" w:sz="4" w:space="0"/>
            </w:tcBorders>
            <w:vAlign w:val="center"/>
          </w:tcPr>
          <w:p w14:paraId="0B260DB7">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代理服务费</w:t>
            </w:r>
          </w:p>
        </w:tc>
        <w:tc>
          <w:tcPr>
            <w:tcW w:w="6958" w:type="dxa"/>
            <w:tcBorders>
              <w:top w:val="single" w:color="auto" w:sz="4" w:space="0"/>
              <w:left w:val="single" w:color="auto" w:sz="4" w:space="0"/>
              <w:bottom w:val="single" w:color="auto" w:sz="4" w:space="0"/>
              <w:right w:val="single" w:color="auto" w:sz="4" w:space="0"/>
            </w:tcBorders>
            <w:vAlign w:val="center"/>
          </w:tcPr>
          <w:p w14:paraId="56217862">
            <w:pPr>
              <w:adjustRightInd w:val="0"/>
              <w:snapToGrid w:val="0"/>
              <w:spacing w:line="32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参照原计价格[2002]1980 号文、发改办价格[2003]857 号文及发改价格[2011]534 号文有关规定标准的85%（不足4000元，按4000元收取），由中标人向采购代理机构支付代理服务费。</w:t>
            </w:r>
          </w:p>
          <w:p w14:paraId="538FA1AC">
            <w:pPr>
              <w:adjustRightInd w:val="0"/>
              <w:snapToGrid w:val="0"/>
              <w:spacing w:line="32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招标代理服务费由中标人在领取中标通知书的同时向采购代理机构支付，并同时领取发票。</w:t>
            </w:r>
          </w:p>
          <w:p w14:paraId="5F9B91B0">
            <w:pPr>
              <w:adjustRightInd w:val="0"/>
              <w:snapToGrid w:val="0"/>
              <w:spacing w:line="32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采购代理机构银行账户信息：</w:t>
            </w:r>
          </w:p>
          <w:p w14:paraId="75FD3901">
            <w:pPr>
              <w:adjustRightInd w:val="0"/>
              <w:snapToGrid w:val="0"/>
              <w:spacing w:line="320" w:lineRule="exact"/>
              <w:ind w:firstLine="420" w:firstLineChars="200"/>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lang w:val="zh-CN"/>
              </w:rPr>
              <w:t>户  名：</w:t>
            </w:r>
            <w:r>
              <w:rPr>
                <w:rFonts w:hint="eastAsia" w:ascii="宋体" w:hAnsi="宋体" w:eastAsia="宋体" w:cs="宋体"/>
                <w:color w:val="auto"/>
                <w:sz w:val="21"/>
                <w:szCs w:val="21"/>
                <w:highlight w:val="none"/>
                <w:u w:val="single"/>
                <w:lang w:val="en-US" w:eastAsia="zh-CN"/>
              </w:rPr>
              <w:t>瀚景项目管理有限公司武汉分公司</w:t>
            </w:r>
          </w:p>
          <w:p w14:paraId="3B1D4AC0">
            <w:pPr>
              <w:adjustRightInd w:val="0"/>
              <w:snapToGrid w:val="0"/>
              <w:spacing w:line="320" w:lineRule="exact"/>
              <w:ind w:firstLine="420" w:firstLineChars="200"/>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lang w:val="zh-CN"/>
              </w:rPr>
              <w:t>开户行：</w:t>
            </w:r>
            <w:r>
              <w:rPr>
                <w:rFonts w:hint="eastAsia" w:ascii="宋体" w:hAnsi="宋体" w:eastAsia="宋体" w:cs="宋体"/>
                <w:color w:val="auto"/>
                <w:sz w:val="21"/>
                <w:szCs w:val="21"/>
                <w:highlight w:val="none"/>
                <w:u w:val="single"/>
                <w:lang w:val="en-US" w:eastAsia="zh-CN"/>
              </w:rPr>
              <w:t>武汉农村商业银行股份有限公司蔡甸支行</w:t>
            </w:r>
          </w:p>
          <w:p w14:paraId="7971AA3E">
            <w:pPr>
              <w:adjustRightInd w:val="0"/>
              <w:snapToGrid w:val="0"/>
              <w:spacing w:line="320" w:lineRule="exact"/>
              <w:ind w:firstLine="420" w:firstLineChars="200"/>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lang w:val="zh-CN"/>
              </w:rPr>
              <w:t>账  号：</w:t>
            </w:r>
            <w:r>
              <w:rPr>
                <w:rFonts w:hint="eastAsia" w:ascii="宋体" w:hAnsi="宋体" w:eastAsia="宋体" w:cs="宋体"/>
                <w:color w:val="auto"/>
                <w:sz w:val="21"/>
                <w:szCs w:val="21"/>
                <w:highlight w:val="none"/>
                <w:u w:val="single"/>
                <w:lang w:val="en-US" w:eastAsia="zh-CN"/>
              </w:rPr>
              <w:t>211170592610018</w:t>
            </w:r>
          </w:p>
          <w:p w14:paraId="1A557AE3">
            <w:pPr>
              <w:adjustRightInd w:val="0"/>
              <w:snapToGrid w:val="0"/>
              <w:spacing w:line="32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zh-CN"/>
              </w:rPr>
              <w:t>其他事项：中标人开具代理服务费发票时需提供以下开票信息：1）开票单位全称、2）纳税人识别号（或统一社会信用代码）、3）营业执照地址、4）单位联系电话、5）开户行及账号</w:t>
            </w:r>
          </w:p>
        </w:tc>
      </w:tr>
      <w:tr w14:paraId="6BFEC2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0257983">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w:t>
            </w:r>
          </w:p>
        </w:tc>
        <w:tc>
          <w:tcPr>
            <w:tcW w:w="1530" w:type="dxa"/>
            <w:tcBorders>
              <w:top w:val="single" w:color="auto" w:sz="4" w:space="0"/>
              <w:left w:val="single" w:color="auto" w:sz="4" w:space="0"/>
              <w:bottom w:val="single" w:color="auto" w:sz="4" w:space="0"/>
              <w:right w:val="single" w:color="auto" w:sz="4" w:space="0"/>
            </w:tcBorders>
            <w:vAlign w:val="center"/>
          </w:tcPr>
          <w:p w14:paraId="3333442A">
            <w:pPr>
              <w:adjustRightInd w:val="0"/>
              <w:snapToGrid w:val="0"/>
              <w:spacing w:line="320" w:lineRule="exact"/>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答疑会</w:t>
            </w:r>
          </w:p>
        </w:tc>
        <w:tc>
          <w:tcPr>
            <w:tcW w:w="6958" w:type="dxa"/>
            <w:tcBorders>
              <w:top w:val="single" w:color="auto" w:sz="4" w:space="0"/>
              <w:left w:val="single" w:color="auto" w:sz="4" w:space="0"/>
              <w:bottom w:val="single" w:color="auto" w:sz="4" w:space="0"/>
              <w:right w:val="single" w:color="auto" w:sz="4" w:space="0"/>
            </w:tcBorders>
            <w:vAlign w:val="center"/>
          </w:tcPr>
          <w:p w14:paraId="366D1C56">
            <w:pPr>
              <w:adjustRightInd w:val="0"/>
              <w:snapToGrid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不召开</w:t>
            </w:r>
          </w:p>
          <w:p w14:paraId="6974ADB8">
            <w:pPr>
              <w:adjustRightInd w:val="0"/>
              <w:snapToGrid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A3"/>
            </w:r>
            <w:r>
              <w:rPr>
                <w:rFonts w:hint="eastAsia" w:ascii="宋体" w:hAnsi="宋体" w:eastAsia="宋体" w:cs="宋体"/>
                <w:color w:val="auto"/>
                <w:sz w:val="21"/>
                <w:szCs w:val="21"/>
                <w:highlight w:val="none"/>
              </w:rPr>
              <w:t>召开，召开时间：</w:t>
            </w:r>
            <w:r>
              <w:rPr>
                <w:rFonts w:hint="eastAsia" w:ascii="宋体" w:hAnsi="宋体" w:eastAsia="宋体" w:cs="宋体"/>
                <w:color w:val="auto"/>
                <w:sz w:val="21"/>
                <w:szCs w:val="21"/>
                <w:highlight w:val="none"/>
                <w:u w:val="single"/>
              </w:rPr>
              <w:t xml:space="preserve">               </w:t>
            </w:r>
          </w:p>
          <w:p w14:paraId="2432E402">
            <w:pPr>
              <w:spacing w:line="320" w:lineRule="exact"/>
              <w:ind w:firstLine="840" w:firstLineChars="400"/>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rPr>
              <w:t>召开地点：</w:t>
            </w:r>
            <w:r>
              <w:rPr>
                <w:rFonts w:hint="eastAsia" w:ascii="宋体" w:hAnsi="宋体" w:eastAsia="宋体" w:cs="宋体"/>
                <w:color w:val="auto"/>
                <w:sz w:val="21"/>
                <w:szCs w:val="21"/>
                <w:highlight w:val="none"/>
                <w:u w:val="single"/>
              </w:rPr>
              <w:t xml:space="preserve">               </w:t>
            </w:r>
          </w:p>
        </w:tc>
      </w:tr>
      <w:tr w14:paraId="2E0249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F20C9E9">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w:t>
            </w:r>
          </w:p>
        </w:tc>
        <w:tc>
          <w:tcPr>
            <w:tcW w:w="1530" w:type="dxa"/>
            <w:tcBorders>
              <w:top w:val="single" w:color="auto" w:sz="4" w:space="0"/>
              <w:left w:val="single" w:color="auto" w:sz="4" w:space="0"/>
              <w:bottom w:val="single" w:color="auto" w:sz="4" w:space="0"/>
              <w:right w:val="single" w:color="auto" w:sz="4" w:space="0"/>
            </w:tcBorders>
            <w:vAlign w:val="center"/>
          </w:tcPr>
          <w:p w14:paraId="5843D97A">
            <w:pPr>
              <w:adjustRightInd w:val="0"/>
              <w:snapToGrid w:val="0"/>
              <w:spacing w:line="320" w:lineRule="exact"/>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现场考察</w:t>
            </w:r>
          </w:p>
        </w:tc>
        <w:tc>
          <w:tcPr>
            <w:tcW w:w="6958" w:type="dxa"/>
            <w:tcBorders>
              <w:top w:val="single" w:color="auto" w:sz="4" w:space="0"/>
              <w:left w:val="single" w:color="auto" w:sz="4" w:space="0"/>
              <w:bottom w:val="single" w:color="auto" w:sz="4" w:space="0"/>
              <w:right w:val="single" w:color="auto" w:sz="4" w:space="0"/>
            </w:tcBorders>
            <w:vAlign w:val="center"/>
          </w:tcPr>
          <w:p w14:paraId="64FB59AE">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不集中组织</w:t>
            </w:r>
          </w:p>
          <w:p w14:paraId="6AF78BB0">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A3"/>
            </w:r>
            <w:r>
              <w:rPr>
                <w:rFonts w:hint="eastAsia" w:ascii="宋体" w:hAnsi="宋体" w:eastAsia="宋体" w:cs="宋体"/>
                <w:color w:val="auto"/>
                <w:sz w:val="21"/>
                <w:szCs w:val="21"/>
                <w:highlight w:val="none"/>
              </w:rPr>
              <w:t>集中组织，召集时间：</w:t>
            </w:r>
            <w:r>
              <w:rPr>
                <w:rFonts w:hint="eastAsia" w:ascii="宋体" w:hAnsi="宋体" w:eastAsia="宋体" w:cs="宋体"/>
                <w:color w:val="auto"/>
                <w:sz w:val="21"/>
                <w:szCs w:val="21"/>
                <w:highlight w:val="none"/>
                <w:u w:val="single"/>
              </w:rPr>
              <w:t xml:space="preserve">               </w:t>
            </w:r>
          </w:p>
          <w:p w14:paraId="4A82ADA5">
            <w:pPr>
              <w:spacing w:line="320" w:lineRule="exact"/>
              <w:ind w:firstLine="1260" w:firstLineChars="600"/>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rPr>
              <w:t>召集地点：</w:t>
            </w:r>
            <w:r>
              <w:rPr>
                <w:rFonts w:hint="eastAsia" w:ascii="宋体" w:hAnsi="宋体" w:eastAsia="宋体" w:cs="宋体"/>
                <w:color w:val="auto"/>
                <w:sz w:val="21"/>
                <w:szCs w:val="21"/>
                <w:highlight w:val="none"/>
                <w:u w:val="single"/>
              </w:rPr>
              <w:t xml:space="preserve">               </w:t>
            </w:r>
          </w:p>
        </w:tc>
      </w:tr>
      <w:tr w14:paraId="44F759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3A1D5D7">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1530" w:type="dxa"/>
            <w:tcBorders>
              <w:top w:val="single" w:color="auto" w:sz="4" w:space="0"/>
              <w:left w:val="single" w:color="auto" w:sz="4" w:space="0"/>
              <w:bottom w:val="single" w:color="auto" w:sz="4" w:space="0"/>
              <w:right w:val="single" w:color="auto" w:sz="4" w:space="0"/>
            </w:tcBorders>
            <w:vAlign w:val="center"/>
          </w:tcPr>
          <w:p w14:paraId="2ACFDED8">
            <w:pPr>
              <w:adjustRightInd w:val="0"/>
              <w:snapToGrid w:val="0"/>
              <w:spacing w:line="320" w:lineRule="exact"/>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报价单位</w:t>
            </w:r>
          </w:p>
        </w:tc>
        <w:tc>
          <w:tcPr>
            <w:tcW w:w="6958" w:type="dxa"/>
            <w:tcBorders>
              <w:top w:val="single" w:color="auto" w:sz="4" w:space="0"/>
              <w:left w:val="single" w:color="auto" w:sz="4" w:space="0"/>
              <w:bottom w:val="single" w:color="auto" w:sz="4" w:space="0"/>
              <w:right w:val="single" w:color="auto" w:sz="4" w:space="0"/>
            </w:tcBorders>
            <w:vAlign w:val="center"/>
          </w:tcPr>
          <w:p w14:paraId="0F2B8815">
            <w:pPr>
              <w:adjustRightInd w:val="0"/>
              <w:snapToGrid w:val="0"/>
              <w:spacing w:line="32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zh-CN"/>
              </w:rPr>
              <w:t>人民币</w:t>
            </w:r>
          </w:p>
        </w:tc>
      </w:tr>
      <w:tr w14:paraId="7793A3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0CDC887">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1530" w:type="dxa"/>
            <w:tcBorders>
              <w:top w:val="single" w:color="auto" w:sz="4" w:space="0"/>
              <w:left w:val="single" w:color="auto" w:sz="4" w:space="0"/>
              <w:bottom w:val="single" w:color="auto" w:sz="4" w:space="0"/>
              <w:right w:val="single" w:color="auto" w:sz="4" w:space="0"/>
            </w:tcBorders>
            <w:vAlign w:val="center"/>
          </w:tcPr>
          <w:p w14:paraId="493A30DE">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备选方案</w:t>
            </w:r>
          </w:p>
        </w:tc>
        <w:tc>
          <w:tcPr>
            <w:tcW w:w="6958" w:type="dxa"/>
            <w:tcBorders>
              <w:top w:val="single" w:color="auto" w:sz="4" w:space="0"/>
              <w:left w:val="single" w:color="auto" w:sz="4" w:space="0"/>
              <w:bottom w:val="single" w:color="auto" w:sz="4" w:space="0"/>
              <w:right w:val="single" w:color="auto" w:sz="4" w:space="0"/>
            </w:tcBorders>
            <w:vAlign w:val="center"/>
          </w:tcPr>
          <w:p w14:paraId="23B54929">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不接受</w:t>
            </w:r>
          </w:p>
          <w:p w14:paraId="1C76C033">
            <w:pPr>
              <w:adjustRightInd w:val="0"/>
              <w:snapToGrid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A3"/>
            </w:r>
            <w:r>
              <w:rPr>
                <w:rFonts w:hint="eastAsia" w:ascii="宋体" w:hAnsi="宋体" w:eastAsia="宋体" w:cs="宋体"/>
                <w:color w:val="auto"/>
                <w:sz w:val="21"/>
                <w:szCs w:val="21"/>
                <w:highlight w:val="none"/>
              </w:rPr>
              <w:t>接受</w:t>
            </w:r>
          </w:p>
        </w:tc>
      </w:tr>
      <w:tr w14:paraId="2C9441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2BCDD4F">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1530" w:type="dxa"/>
            <w:tcBorders>
              <w:top w:val="single" w:color="auto" w:sz="4" w:space="0"/>
              <w:left w:val="single" w:color="auto" w:sz="4" w:space="0"/>
              <w:bottom w:val="single" w:color="auto" w:sz="4" w:space="0"/>
              <w:right w:val="single" w:color="auto" w:sz="4" w:space="0"/>
            </w:tcBorders>
            <w:vAlign w:val="center"/>
          </w:tcPr>
          <w:p w14:paraId="4EA29A2C">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中标后分包</w:t>
            </w:r>
          </w:p>
        </w:tc>
        <w:tc>
          <w:tcPr>
            <w:tcW w:w="6958" w:type="dxa"/>
            <w:tcBorders>
              <w:top w:val="single" w:color="auto" w:sz="4" w:space="0"/>
              <w:left w:val="single" w:color="auto" w:sz="4" w:space="0"/>
              <w:bottom w:val="single" w:color="auto" w:sz="4" w:space="0"/>
              <w:right w:val="single" w:color="auto" w:sz="4" w:space="0"/>
            </w:tcBorders>
            <w:vAlign w:val="center"/>
          </w:tcPr>
          <w:p w14:paraId="555E16CE">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14:paraId="47F07C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EFE9419">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w:t>
            </w:r>
          </w:p>
        </w:tc>
        <w:tc>
          <w:tcPr>
            <w:tcW w:w="1530" w:type="dxa"/>
            <w:tcBorders>
              <w:top w:val="single" w:color="auto" w:sz="4" w:space="0"/>
              <w:left w:val="single" w:color="auto" w:sz="4" w:space="0"/>
              <w:bottom w:val="single" w:color="auto" w:sz="4" w:space="0"/>
              <w:right w:val="single" w:color="auto" w:sz="4" w:space="0"/>
            </w:tcBorders>
            <w:vAlign w:val="center"/>
          </w:tcPr>
          <w:p w14:paraId="41E7C5AC">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联合体投标</w:t>
            </w:r>
          </w:p>
        </w:tc>
        <w:tc>
          <w:tcPr>
            <w:tcW w:w="6958" w:type="dxa"/>
            <w:tcBorders>
              <w:top w:val="single" w:color="auto" w:sz="4" w:space="0"/>
              <w:left w:val="single" w:color="auto" w:sz="4" w:space="0"/>
              <w:bottom w:val="single" w:color="auto" w:sz="4" w:space="0"/>
              <w:right w:val="single" w:color="auto" w:sz="4" w:space="0"/>
            </w:tcBorders>
            <w:vAlign w:val="center"/>
          </w:tcPr>
          <w:p w14:paraId="2F46DF40">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不接受</w:t>
            </w:r>
          </w:p>
          <w:p w14:paraId="6FB4E09E">
            <w:pPr>
              <w:adjustRightInd w:val="0"/>
              <w:snapToGrid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A3"/>
            </w:r>
            <w:r>
              <w:rPr>
                <w:rFonts w:hint="eastAsia" w:ascii="宋体" w:hAnsi="宋体" w:eastAsia="宋体" w:cs="宋体"/>
                <w:color w:val="auto"/>
                <w:sz w:val="21"/>
                <w:szCs w:val="21"/>
                <w:highlight w:val="none"/>
              </w:rPr>
              <w:t>接受</w:t>
            </w:r>
          </w:p>
        </w:tc>
      </w:tr>
      <w:tr w14:paraId="3CFCD0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B1C87BA">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w:t>
            </w:r>
          </w:p>
        </w:tc>
        <w:tc>
          <w:tcPr>
            <w:tcW w:w="1530" w:type="dxa"/>
            <w:tcBorders>
              <w:top w:val="single" w:color="auto" w:sz="4" w:space="0"/>
              <w:left w:val="single" w:color="auto" w:sz="4" w:space="0"/>
              <w:bottom w:val="single" w:color="auto" w:sz="4" w:space="0"/>
              <w:right w:val="single" w:color="auto" w:sz="4" w:space="0"/>
            </w:tcBorders>
            <w:vAlign w:val="center"/>
          </w:tcPr>
          <w:p w14:paraId="07BDC4EA">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6958" w:type="dxa"/>
            <w:tcBorders>
              <w:top w:val="single" w:color="auto" w:sz="4" w:space="0"/>
              <w:left w:val="single" w:color="auto" w:sz="4" w:space="0"/>
              <w:bottom w:val="single" w:color="auto" w:sz="4" w:space="0"/>
              <w:right w:val="single" w:color="auto" w:sz="4" w:space="0"/>
            </w:tcBorders>
            <w:vAlign w:val="center"/>
          </w:tcPr>
          <w:p w14:paraId="3B395413">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保证金要求：投标保证金应当以支票、汇票、本票或者金融机构、担保机构出具的保函等非现金形式提交。</w:t>
            </w:r>
          </w:p>
          <w:p w14:paraId="3BC61332">
            <w:pPr>
              <w:adjustRightInd w:val="0"/>
              <w:snapToGrid w:val="0"/>
              <w:spacing w:line="320" w:lineRule="exact"/>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保证金金额：</w:t>
            </w:r>
            <w:r>
              <w:rPr>
                <w:rFonts w:hint="eastAsia" w:ascii="宋体" w:hAnsi="宋体" w:eastAsia="宋体" w:cs="宋体"/>
                <w:color w:val="auto"/>
                <w:sz w:val="21"/>
                <w:szCs w:val="21"/>
                <w:highlight w:val="none"/>
              </w:rPr>
              <w:t>人民币</w:t>
            </w:r>
            <w:r>
              <w:rPr>
                <w:rFonts w:hint="eastAsia" w:ascii="宋体" w:hAnsi="宋体" w:eastAsia="宋体" w:cs="宋体"/>
                <w:color w:val="auto"/>
                <w:sz w:val="21"/>
                <w:szCs w:val="21"/>
                <w:highlight w:val="none"/>
                <w:u w:val="single"/>
                <w:lang w:val="en-US" w:eastAsia="zh-CN"/>
              </w:rPr>
              <w:t>捌仟肆佰元整</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8,400</w:t>
            </w:r>
            <w:r>
              <w:rPr>
                <w:rFonts w:hint="eastAsia" w:ascii="宋体" w:hAnsi="宋体" w:eastAsia="宋体" w:cs="宋体"/>
                <w:color w:val="auto"/>
                <w:sz w:val="21"/>
                <w:szCs w:val="21"/>
                <w:highlight w:val="none"/>
                <w:u w:val="single"/>
              </w:rPr>
              <w:t>.00</w:t>
            </w:r>
            <w:r>
              <w:rPr>
                <w:rFonts w:hint="eastAsia" w:ascii="宋体" w:hAnsi="宋体" w:eastAsia="宋体" w:cs="宋体"/>
                <w:color w:val="auto"/>
                <w:sz w:val="21"/>
                <w:szCs w:val="21"/>
                <w:highlight w:val="none"/>
              </w:rPr>
              <w:t>）。（按预算金额1%收取，不超过10万元）</w:t>
            </w:r>
          </w:p>
          <w:p w14:paraId="3FE217D3">
            <w:pPr>
              <w:adjustRightInd w:val="0"/>
              <w:snapToGrid w:val="0"/>
              <w:spacing w:line="320" w:lineRule="exact"/>
              <w:ind w:left="105" w:leftChars="50" w:firstLine="315" w:firstLineChars="150"/>
              <w:rPr>
                <w:rFonts w:hint="eastAsia" w:ascii="宋体" w:hAnsi="宋体" w:eastAsia="宋体" w:cs="宋体"/>
                <w:b/>
                <w:bCs/>
                <w:color w:val="auto"/>
                <w:kern w:val="0"/>
                <w:sz w:val="21"/>
                <w:szCs w:val="21"/>
                <w:highlight w:val="none"/>
              </w:rPr>
            </w:pPr>
            <w:r>
              <w:rPr>
                <w:rFonts w:hint="eastAsia" w:ascii="宋体" w:hAnsi="宋体" w:eastAsia="宋体" w:cs="宋体"/>
                <w:b/>
                <w:color w:val="auto"/>
                <w:sz w:val="21"/>
                <w:szCs w:val="21"/>
                <w:highlight w:val="none"/>
                <w:lang w:val="zh-CN"/>
              </w:rPr>
              <w:t>保证金递交要求</w:t>
            </w:r>
            <w:r>
              <w:rPr>
                <w:rFonts w:hint="eastAsia" w:ascii="宋体" w:hAnsi="宋体" w:eastAsia="宋体" w:cs="宋体"/>
                <w:b/>
                <w:color w:val="auto"/>
                <w:kern w:val="0"/>
                <w:sz w:val="21"/>
                <w:szCs w:val="21"/>
                <w:highlight w:val="none"/>
              </w:rPr>
              <w:t>：在提交投标文件截止时间前未按规定从</w:t>
            </w:r>
            <w:r>
              <w:rPr>
                <w:rFonts w:hint="eastAsia" w:ascii="宋体" w:hAnsi="宋体" w:eastAsia="宋体" w:cs="宋体"/>
                <w:b/>
                <w:bCs/>
                <w:color w:val="auto"/>
                <w:kern w:val="0"/>
                <w:sz w:val="21"/>
                <w:szCs w:val="21"/>
                <w:highlight w:val="none"/>
              </w:rPr>
              <w:t>投标人账户汇至指定账户的视为未提交投标保证金。</w:t>
            </w:r>
          </w:p>
          <w:p w14:paraId="1F82891E">
            <w:pPr>
              <w:adjustRightInd w:val="0"/>
              <w:snapToGrid w:val="0"/>
              <w:spacing w:line="32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收款银</w:t>
            </w:r>
            <w:r>
              <w:rPr>
                <w:rFonts w:hint="eastAsia" w:ascii="宋体" w:hAnsi="宋体" w:eastAsia="宋体" w:cs="宋体"/>
                <w:color w:val="auto"/>
                <w:sz w:val="21"/>
                <w:szCs w:val="21"/>
                <w:highlight w:val="none"/>
                <w:lang w:val="zh-CN"/>
              </w:rPr>
              <w:t>行账户信息：</w:t>
            </w:r>
          </w:p>
          <w:p w14:paraId="29280513">
            <w:pPr>
              <w:adjustRightInd w:val="0"/>
              <w:snapToGrid w:val="0"/>
              <w:spacing w:line="320" w:lineRule="exact"/>
              <w:ind w:firstLine="420" w:firstLineChars="200"/>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lang w:val="zh-CN"/>
              </w:rPr>
              <w:t>户  名：</w:t>
            </w:r>
            <w:r>
              <w:rPr>
                <w:rFonts w:hint="eastAsia" w:ascii="宋体" w:hAnsi="宋体" w:eastAsia="宋体" w:cs="宋体"/>
                <w:color w:val="auto"/>
                <w:sz w:val="21"/>
                <w:szCs w:val="21"/>
                <w:highlight w:val="none"/>
                <w:u w:val="single"/>
                <w:lang w:val="en-US" w:eastAsia="zh-CN"/>
              </w:rPr>
              <w:t>瀚景项目管理有限公司武汉分公司</w:t>
            </w:r>
          </w:p>
          <w:p w14:paraId="445F97D9">
            <w:pPr>
              <w:adjustRightInd w:val="0"/>
              <w:snapToGrid w:val="0"/>
              <w:spacing w:line="320" w:lineRule="exact"/>
              <w:ind w:firstLine="420" w:firstLineChars="200"/>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lang w:val="zh-CN"/>
              </w:rPr>
              <w:t>开户行：</w:t>
            </w:r>
            <w:r>
              <w:rPr>
                <w:rFonts w:hint="eastAsia" w:ascii="宋体" w:hAnsi="宋体" w:eastAsia="宋体" w:cs="宋体"/>
                <w:color w:val="auto"/>
                <w:sz w:val="21"/>
                <w:szCs w:val="21"/>
                <w:highlight w:val="none"/>
                <w:u w:val="single"/>
                <w:lang w:val="en-US" w:eastAsia="zh-CN"/>
              </w:rPr>
              <w:t>武汉农村商业银行股份有限公司蔡甸支行</w:t>
            </w:r>
          </w:p>
          <w:p w14:paraId="42BF0BE2">
            <w:pPr>
              <w:adjustRightInd w:val="0"/>
              <w:snapToGrid w:val="0"/>
              <w:spacing w:line="320" w:lineRule="exact"/>
              <w:ind w:firstLine="420" w:firstLineChars="200"/>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lang w:val="zh-CN"/>
              </w:rPr>
              <w:t>账  号：</w:t>
            </w:r>
            <w:r>
              <w:rPr>
                <w:rFonts w:hint="eastAsia" w:ascii="宋体" w:hAnsi="宋体" w:eastAsia="宋体" w:cs="宋体"/>
                <w:color w:val="auto"/>
                <w:sz w:val="21"/>
                <w:szCs w:val="21"/>
                <w:highlight w:val="none"/>
                <w:u w:val="single"/>
                <w:lang w:val="en-US" w:eastAsia="zh-CN"/>
              </w:rPr>
              <w:t>211170592610018</w:t>
            </w:r>
          </w:p>
          <w:p w14:paraId="584BA390">
            <w:pPr>
              <w:adjustRightInd w:val="0"/>
              <w:snapToGrid w:val="0"/>
              <w:spacing w:line="320" w:lineRule="exact"/>
              <w:ind w:left="105" w:leftChars="50"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人的投标保证金，自采购合同签订之日起5个工作日内退还；未中标人的投标保证金，自中标通知书发出之日起5个工作日内退还。</w:t>
            </w:r>
          </w:p>
        </w:tc>
      </w:tr>
      <w:tr w14:paraId="409F1E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1F587BA">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w:t>
            </w:r>
          </w:p>
        </w:tc>
        <w:tc>
          <w:tcPr>
            <w:tcW w:w="1530" w:type="dxa"/>
            <w:tcBorders>
              <w:top w:val="single" w:color="auto" w:sz="4" w:space="0"/>
              <w:left w:val="single" w:color="auto" w:sz="4" w:space="0"/>
              <w:bottom w:val="single" w:color="auto" w:sz="4" w:space="0"/>
              <w:right w:val="single" w:color="auto" w:sz="4" w:space="0"/>
            </w:tcBorders>
            <w:vAlign w:val="center"/>
          </w:tcPr>
          <w:p w14:paraId="325BAAC0">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958" w:type="dxa"/>
            <w:tcBorders>
              <w:top w:val="single" w:color="auto" w:sz="4" w:space="0"/>
              <w:left w:val="single" w:color="auto" w:sz="4" w:space="0"/>
              <w:bottom w:val="single" w:color="auto" w:sz="4" w:space="0"/>
              <w:right w:val="single" w:color="auto" w:sz="4" w:space="0"/>
            </w:tcBorders>
            <w:vAlign w:val="center"/>
          </w:tcPr>
          <w:p w14:paraId="6C89A580">
            <w:pPr>
              <w:adjustRightInd w:val="0"/>
              <w:snapToGrid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提交投标文件截止之日起90日历日</w:t>
            </w:r>
          </w:p>
        </w:tc>
      </w:tr>
      <w:tr w14:paraId="0CFD5A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541F422">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w:t>
            </w:r>
          </w:p>
        </w:tc>
        <w:tc>
          <w:tcPr>
            <w:tcW w:w="1530" w:type="dxa"/>
            <w:tcBorders>
              <w:top w:val="single" w:color="auto" w:sz="4" w:space="0"/>
              <w:left w:val="single" w:color="auto" w:sz="4" w:space="0"/>
              <w:bottom w:val="single" w:color="auto" w:sz="4" w:space="0"/>
              <w:right w:val="single" w:color="auto" w:sz="4" w:space="0"/>
            </w:tcBorders>
            <w:vAlign w:val="center"/>
          </w:tcPr>
          <w:p w14:paraId="25498216">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投标文件形式</w:t>
            </w:r>
          </w:p>
        </w:tc>
        <w:tc>
          <w:tcPr>
            <w:tcW w:w="6958" w:type="dxa"/>
            <w:tcBorders>
              <w:top w:val="single" w:color="auto" w:sz="4" w:space="0"/>
              <w:left w:val="single" w:color="auto" w:sz="4" w:space="0"/>
              <w:bottom w:val="single" w:color="auto" w:sz="4" w:space="0"/>
              <w:right w:val="single" w:color="auto" w:sz="4" w:space="0"/>
            </w:tcBorders>
            <w:vAlign w:val="center"/>
          </w:tcPr>
          <w:p w14:paraId="2F4C0E70">
            <w:pPr>
              <w:autoSpaceDE w:val="0"/>
              <w:autoSpaceDN w:val="0"/>
              <w:spacing w:line="32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（1）纸质版：正本</w:t>
            </w:r>
            <w:r>
              <w:rPr>
                <w:rFonts w:hint="eastAsia" w:ascii="宋体" w:hAnsi="宋体" w:eastAsia="宋体" w:cs="宋体"/>
                <w:color w:val="auto"/>
                <w:sz w:val="21"/>
                <w:szCs w:val="21"/>
                <w:highlight w:val="none"/>
                <w:u w:val="single"/>
                <w:lang w:val="zh-CN"/>
              </w:rPr>
              <w:t xml:space="preserve"> 1 </w:t>
            </w:r>
            <w:r>
              <w:rPr>
                <w:rFonts w:hint="eastAsia" w:ascii="宋体" w:hAnsi="宋体" w:eastAsia="宋体" w:cs="宋体"/>
                <w:color w:val="auto"/>
                <w:sz w:val="21"/>
                <w:szCs w:val="21"/>
                <w:highlight w:val="none"/>
                <w:lang w:val="zh-CN"/>
              </w:rPr>
              <w:t>份；副本</w:t>
            </w:r>
            <w:r>
              <w:rPr>
                <w:rFonts w:hint="eastAsia" w:ascii="宋体" w:hAnsi="宋体" w:eastAsia="宋体" w:cs="宋体"/>
                <w:color w:val="auto"/>
                <w:sz w:val="21"/>
                <w:szCs w:val="21"/>
                <w:highlight w:val="none"/>
                <w:u w:val="single"/>
                <w:lang w:val="zh-CN"/>
              </w:rPr>
              <w:t xml:space="preserve"> 4 </w:t>
            </w:r>
            <w:r>
              <w:rPr>
                <w:rFonts w:hint="eastAsia" w:ascii="宋体" w:hAnsi="宋体" w:eastAsia="宋体" w:cs="宋体"/>
                <w:color w:val="auto"/>
                <w:sz w:val="21"/>
                <w:szCs w:val="21"/>
                <w:highlight w:val="none"/>
                <w:lang w:val="zh-CN"/>
              </w:rPr>
              <w:t>份，副本可为正本的复印件；</w:t>
            </w:r>
          </w:p>
          <w:p w14:paraId="60A82E6C">
            <w:pPr>
              <w:autoSpaceDE w:val="0"/>
              <w:autoSpaceDN w:val="0"/>
              <w:spacing w:line="320" w:lineRule="exact"/>
              <w:ind w:left="535" w:leftChars="5" w:hanging="525" w:hangingChars="25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（2）电子版：未加密PDF格式（正本</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扫描件），电子版内容应与投标文件正本一致；份数：</w:t>
            </w:r>
            <w:r>
              <w:rPr>
                <w:rFonts w:hint="eastAsia" w:ascii="宋体" w:hAnsi="宋体" w:eastAsia="宋体" w:cs="宋体"/>
                <w:color w:val="auto"/>
                <w:sz w:val="21"/>
                <w:szCs w:val="21"/>
                <w:highlight w:val="none"/>
                <w:u w:val="single"/>
                <w:lang w:val="zh-CN"/>
              </w:rPr>
              <w:t xml:space="preserve"> 1 </w:t>
            </w:r>
            <w:r>
              <w:rPr>
                <w:rFonts w:hint="eastAsia" w:ascii="宋体" w:hAnsi="宋体" w:eastAsia="宋体" w:cs="宋体"/>
                <w:color w:val="auto"/>
                <w:sz w:val="21"/>
                <w:szCs w:val="21"/>
                <w:highlight w:val="none"/>
                <w:lang w:val="zh-CN"/>
              </w:rPr>
              <w:t>份；形式：</w:t>
            </w:r>
            <w:r>
              <w:rPr>
                <w:rFonts w:hint="eastAsia" w:ascii="宋体" w:hAnsi="宋体" w:eastAsia="宋体" w:cs="宋体"/>
                <w:color w:val="auto"/>
                <w:sz w:val="21"/>
                <w:szCs w:val="21"/>
                <w:highlight w:val="none"/>
                <w:u w:val="single"/>
                <w:lang w:val="zh-CN"/>
              </w:rPr>
              <w:t>U盘</w:t>
            </w:r>
            <w:r>
              <w:rPr>
                <w:rFonts w:hint="eastAsia" w:ascii="宋体" w:hAnsi="宋体" w:eastAsia="宋体" w:cs="宋体"/>
                <w:color w:val="auto"/>
                <w:sz w:val="21"/>
                <w:szCs w:val="21"/>
                <w:highlight w:val="none"/>
                <w:lang w:val="zh-CN"/>
              </w:rPr>
              <w:t>。</w:t>
            </w:r>
          </w:p>
          <w:p w14:paraId="75849CAE">
            <w:pPr>
              <w:autoSpaceDE w:val="0"/>
              <w:autoSpaceDN w:val="0"/>
              <w:spacing w:line="320" w:lineRule="exact"/>
              <w:ind w:left="535" w:leftChars="5" w:hanging="525" w:hangingChars="25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为方便开启时唱标（如有），投标人应将《报价一览表》原件及《交纳保证金的银行凭证》（若有交纳保证金要求的）各两份一并装入一个信封，单独密封提交，并在信封上标明“采购项目编号/包号、项目名称、报价一览表”字样。</w:t>
            </w:r>
          </w:p>
          <w:p w14:paraId="23FD9D59">
            <w:pPr>
              <w:spacing w:line="320" w:lineRule="exact"/>
              <w:ind w:firstLine="315" w:firstLineChars="150"/>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rPr>
              <w:t>所有投标文件接收后概不退还。</w:t>
            </w:r>
          </w:p>
          <w:p w14:paraId="294CEAF3">
            <w:pPr>
              <w:spacing w:line="320" w:lineRule="exact"/>
              <w:rPr>
                <w:rFonts w:hint="eastAsia" w:ascii="宋体" w:hAnsi="宋体" w:eastAsia="宋体" w:cs="宋体"/>
                <w:b/>
                <w:bCs/>
                <w:color w:val="auto"/>
                <w:sz w:val="21"/>
                <w:szCs w:val="21"/>
                <w:highlight w:val="none"/>
                <w:lang w:val="zh-CN"/>
              </w:rPr>
            </w:pPr>
            <w:r>
              <w:rPr>
                <w:rFonts w:hint="eastAsia" w:ascii="宋体" w:hAnsi="宋体" w:eastAsia="宋体" w:cs="宋体"/>
                <w:bCs/>
                <w:color w:val="auto"/>
                <w:sz w:val="21"/>
                <w:szCs w:val="21"/>
                <w:highlight w:val="none"/>
                <w:lang w:val="zh-CN"/>
              </w:rPr>
              <w:t>投标文件密封封套上应载明的信息</w:t>
            </w:r>
            <w:r>
              <w:rPr>
                <w:rFonts w:hint="eastAsia" w:ascii="宋体" w:hAnsi="宋体" w:eastAsia="宋体" w:cs="宋体"/>
                <w:b/>
                <w:bCs/>
                <w:color w:val="auto"/>
                <w:sz w:val="21"/>
                <w:szCs w:val="21"/>
                <w:highlight w:val="none"/>
                <w:lang w:val="zh-CN"/>
              </w:rPr>
              <w:t>：</w:t>
            </w:r>
          </w:p>
          <w:p w14:paraId="1BDFE542">
            <w:pPr>
              <w:spacing w:line="320" w:lineRule="exact"/>
              <w:ind w:left="420" w:left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（项目名称）投标文件</w:t>
            </w:r>
          </w:p>
          <w:p w14:paraId="5DCFB04D">
            <w:pPr>
              <w:spacing w:line="320" w:lineRule="exact"/>
              <w:ind w:left="420" w:leftChars="200"/>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lang w:val="zh-CN"/>
              </w:rPr>
              <w:t>项目编号</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u w:val="single"/>
              </w:rPr>
              <w:t xml:space="preserve">                  </w:t>
            </w:r>
          </w:p>
          <w:p w14:paraId="3365F284">
            <w:pPr>
              <w:spacing w:line="320" w:lineRule="exact"/>
              <w:ind w:left="420" w:left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zh-CN"/>
              </w:rPr>
              <w:t>包    号</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u w:val="single"/>
              </w:rPr>
              <w:t xml:space="preserve">                  </w:t>
            </w:r>
          </w:p>
          <w:p w14:paraId="33BD7DAA">
            <w:pPr>
              <w:spacing w:line="320" w:lineRule="exact"/>
              <w:ind w:left="420" w:left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时</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分之前不得启封</w:t>
            </w:r>
          </w:p>
          <w:p w14:paraId="1461107D">
            <w:pPr>
              <w:adjustRightInd w:val="0"/>
              <w:snapToGrid w:val="0"/>
              <w:spacing w:line="320" w:lineRule="exact"/>
              <w:ind w:left="420" w:left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投标人名称：</w:t>
            </w:r>
            <w:r>
              <w:rPr>
                <w:rFonts w:hint="eastAsia" w:ascii="宋体" w:hAnsi="宋体" w:eastAsia="宋体" w:cs="宋体"/>
                <w:bCs/>
                <w:color w:val="auto"/>
                <w:sz w:val="21"/>
                <w:szCs w:val="21"/>
                <w:highlight w:val="none"/>
                <w:u w:val="single"/>
              </w:rPr>
              <w:t xml:space="preserve">                  </w:t>
            </w:r>
          </w:p>
        </w:tc>
      </w:tr>
      <w:tr w14:paraId="104A37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BB770A1">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w:t>
            </w:r>
          </w:p>
        </w:tc>
        <w:tc>
          <w:tcPr>
            <w:tcW w:w="1530" w:type="dxa"/>
            <w:tcBorders>
              <w:top w:val="single" w:color="auto" w:sz="4" w:space="0"/>
              <w:left w:val="single" w:color="auto" w:sz="4" w:space="0"/>
              <w:bottom w:val="single" w:color="auto" w:sz="4" w:space="0"/>
              <w:right w:val="single" w:color="auto" w:sz="4" w:space="0"/>
            </w:tcBorders>
            <w:vAlign w:val="center"/>
          </w:tcPr>
          <w:p w14:paraId="18393E56">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样品</w:t>
            </w:r>
          </w:p>
        </w:tc>
        <w:tc>
          <w:tcPr>
            <w:tcW w:w="6958" w:type="dxa"/>
            <w:tcBorders>
              <w:top w:val="single" w:color="auto" w:sz="4" w:space="0"/>
              <w:left w:val="single" w:color="auto" w:sz="4" w:space="0"/>
              <w:bottom w:val="single" w:color="auto" w:sz="4" w:space="0"/>
              <w:right w:val="single" w:color="auto" w:sz="4" w:space="0"/>
            </w:tcBorders>
            <w:vAlign w:val="center"/>
          </w:tcPr>
          <w:p w14:paraId="5E7CB2C6">
            <w:pPr>
              <w:adjustRightInd w:val="0"/>
              <w:snapToGrid w:val="0"/>
              <w:spacing w:line="32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sym w:font="Wingdings 2" w:char="0052"/>
            </w:r>
            <w:r>
              <w:rPr>
                <w:rFonts w:hint="eastAsia" w:ascii="宋体" w:hAnsi="宋体" w:eastAsia="宋体" w:cs="宋体"/>
                <w:color w:val="auto"/>
                <w:sz w:val="21"/>
                <w:szCs w:val="21"/>
                <w:highlight w:val="none"/>
                <w:lang w:val="zh-CN"/>
              </w:rPr>
              <w:t>不需要</w:t>
            </w:r>
          </w:p>
          <w:p w14:paraId="057C1CB4">
            <w:pPr>
              <w:adjustRightInd w:val="0"/>
              <w:snapToGrid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sym w:font="Wingdings 2" w:char="00A3"/>
            </w:r>
            <w:r>
              <w:rPr>
                <w:rFonts w:hint="eastAsia" w:ascii="宋体" w:hAnsi="宋体" w:eastAsia="宋体" w:cs="宋体"/>
                <w:color w:val="auto"/>
                <w:sz w:val="21"/>
                <w:szCs w:val="21"/>
                <w:highlight w:val="none"/>
                <w:lang w:val="zh-CN"/>
              </w:rPr>
              <w:t>需要，样品的包装及递交要求：</w:t>
            </w:r>
            <w:r>
              <w:rPr>
                <w:rFonts w:hint="eastAsia" w:ascii="宋体" w:hAnsi="宋体" w:eastAsia="宋体" w:cs="宋体"/>
                <w:color w:val="auto"/>
                <w:sz w:val="21"/>
                <w:szCs w:val="21"/>
                <w:highlight w:val="none"/>
                <w:u w:val="single"/>
                <w:lang w:val="zh-CN"/>
              </w:rPr>
              <w:t xml:space="preserve">                     </w:t>
            </w:r>
          </w:p>
        </w:tc>
      </w:tr>
      <w:tr w14:paraId="344CFD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F7E6C49">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w:t>
            </w:r>
          </w:p>
        </w:tc>
        <w:tc>
          <w:tcPr>
            <w:tcW w:w="1530" w:type="dxa"/>
            <w:tcBorders>
              <w:top w:val="single" w:color="auto" w:sz="4" w:space="0"/>
              <w:left w:val="single" w:color="auto" w:sz="4" w:space="0"/>
              <w:bottom w:val="single" w:color="auto" w:sz="4" w:space="0"/>
              <w:right w:val="single" w:color="auto" w:sz="4" w:space="0"/>
            </w:tcBorders>
            <w:vAlign w:val="center"/>
          </w:tcPr>
          <w:p w14:paraId="4E36FB17">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现场演示</w:t>
            </w:r>
          </w:p>
        </w:tc>
        <w:tc>
          <w:tcPr>
            <w:tcW w:w="6958" w:type="dxa"/>
            <w:tcBorders>
              <w:top w:val="single" w:color="auto" w:sz="4" w:space="0"/>
              <w:left w:val="single" w:color="auto" w:sz="4" w:space="0"/>
              <w:bottom w:val="single" w:color="auto" w:sz="4" w:space="0"/>
              <w:right w:val="single" w:color="auto" w:sz="4" w:space="0"/>
            </w:tcBorders>
            <w:vAlign w:val="center"/>
          </w:tcPr>
          <w:p w14:paraId="11ACB711">
            <w:pPr>
              <w:adjustRightInd w:val="0"/>
              <w:snapToGrid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lang w:val="zh-CN"/>
              </w:rPr>
              <w:t>不需要</w:t>
            </w:r>
          </w:p>
          <w:p w14:paraId="0261AA80">
            <w:pPr>
              <w:adjustRightInd w:val="0"/>
              <w:snapToGrid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A3"/>
            </w:r>
            <w:r>
              <w:rPr>
                <w:rFonts w:hint="eastAsia" w:ascii="宋体" w:hAnsi="宋体" w:eastAsia="宋体" w:cs="宋体"/>
                <w:color w:val="auto"/>
                <w:sz w:val="21"/>
                <w:szCs w:val="21"/>
                <w:highlight w:val="none"/>
                <w:lang w:val="zh-CN"/>
              </w:rPr>
              <w:t>需要</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演示要求</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p>
        </w:tc>
      </w:tr>
      <w:tr w14:paraId="33BB64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EC96F45">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w:t>
            </w:r>
          </w:p>
        </w:tc>
        <w:tc>
          <w:tcPr>
            <w:tcW w:w="1530" w:type="dxa"/>
            <w:tcBorders>
              <w:top w:val="single" w:color="auto" w:sz="4" w:space="0"/>
              <w:left w:val="single" w:color="auto" w:sz="4" w:space="0"/>
              <w:bottom w:val="single" w:color="auto" w:sz="4" w:space="0"/>
              <w:right w:val="single" w:color="auto" w:sz="4" w:space="0"/>
            </w:tcBorders>
            <w:vAlign w:val="center"/>
          </w:tcPr>
          <w:p w14:paraId="485904CB">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w:t>
            </w:r>
          </w:p>
          <w:p w14:paraId="0663507D">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递交截止时间</w:t>
            </w:r>
          </w:p>
        </w:tc>
        <w:tc>
          <w:tcPr>
            <w:tcW w:w="6958" w:type="dxa"/>
            <w:tcBorders>
              <w:top w:val="single" w:color="auto" w:sz="4" w:space="0"/>
              <w:left w:val="single" w:color="auto" w:sz="4" w:space="0"/>
              <w:bottom w:val="single" w:color="auto" w:sz="4" w:space="0"/>
              <w:right w:val="single" w:color="auto" w:sz="4" w:space="0"/>
            </w:tcBorders>
            <w:vAlign w:val="center"/>
          </w:tcPr>
          <w:p w14:paraId="463409E3">
            <w:pPr>
              <w:adjustRightInd w:val="0"/>
              <w:snapToGrid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详见第一章“招标公告（投标邀请书）”</w:t>
            </w:r>
          </w:p>
        </w:tc>
      </w:tr>
      <w:tr w14:paraId="22784B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4B28ABB">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1530" w:type="dxa"/>
            <w:tcBorders>
              <w:top w:val="single" w:color="auto" w:sz="4" w:space="0"/>
              <w:left w:val="single" w:color="auto" w:sz="4" w:space="0"/>
              <w:bottom w:val="single" w:color="auto" w:sz="4" w:space="0"/>
              <w:right w:val="single" w:color="auto" w:sz="4" w:space="0"/>
            </w:tcBorders>
            <w:vAlign w:val="center"/>
          </w:tcPr>
          <w:p w14:paraId="05C540A1">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w:t>
            </w:r>
          </w:p>
          <w:p w14:paraId="35E8B9CA">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w:t>
            </w:r>
          </w:p>
        </w:tc>
        <w:tc>
          <w:tcPr>
            <w:tcW w:w="6958" w:type="dxa"/>
            <w:tcBorders>
              <w:top w:val="single" w:color="auto" w:sz="4" w:space="0"/>
              <w:left w:val="single" w:color="auto" w:sz="4" w:space="0"/>
              <w:bottom w:val="single" w:color="auto" w:sz="4" w:space="0"/>
              <w:right w:val="single" w:color="auto" w:sz="4" w:space="0"/>
            </w:tcBorders>
            <w:vAlign w:val="center"/>
          </w:tcPr>
          <w:p w14:paraId="27F314E7">
            <w:pPr>
              <w:adjustRightInd w:val="0"/>
              <w:snapToGrid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详见第一章“招标公告（投标邀请书）”</w:t>
            </w:r>
          </w:p>
        </w:tc>
      </w:tr>
      <w:tr w14:paraId="42D0C0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7FEF906">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w:t>
            </w:r>
          </w:p>
        </w:tc>
        <w:tc>
          <w:tcPr>
            <w:tcW w:w="1530" w:type="dxa"/>
            <w:tcBorders>
              <w:top w:val="single" w:color="auto" w:sz="4" w:space="0"/>
              <w:left w:val="single" w:color="auto" w:sz="4" w:space="0"/>
              <w:bottom w:val="single" w:color="auto" w:sz="4" w:space="0"/>
              <w:right w:val="single" w:color="auto" w:sz="4" w:space="0"/>
            </w:tcBorders>
            <w:vAlign w:val="center"/>
          </w:tcPr>
          <w:p w14:paraId="704A90CC">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评标办法</w:t>
            </w:r>
          </w:p>
        </w:tc>
        <w:tc>
          <w:tcPr>
            <w:tcW w:w="6958" w:type="dxa"/>
            <w:tcBorders>
              <w:top w:val="single" w:color="auto" w:sz="4" w:space="0"/>
              <w:left w:val="single" w:color="auto" w:sz="4" w:space="0"/>
              <w:bottom w:val="single" w:color="auto" w:sz="4" w:space="0"/>
              <w:right w:val="single" w:color="auto" w:sz="4" w:space="0"/>
            </w:tcBorders>
            <w:vAlign w:val="center"/>
          </w:tcPr>
          <w:p w14:paraId="742274B0">
            <w:pPr>
              <w:adjustRightInd w:val="0"/>
              <w:snapToGrid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综合评分法</w:t>
            </w:r>
          </w:p>
          <w:p w14:paraId="397D2B80">
            <w:pPr>
              <w:adjustRightInd w:val="0"/>
              <w:snapToGrid w:val="0"/>
              <w:spacing w:line="32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详见第五章“评标方法、程序及标准”要求</w:t>
            </w:r>
          </w:p>
        </w:tc>
      </w:tr>
      <w:tr w14:paraId="17D09F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D0C7869">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w:t>
            </w:r>
          </w:p>
        </w:tc>
        <w:tc>
          <w:tcPr>
            <w:tcW w:w="1530" w:type="dxa"/>
            <w:tcBorders>
              <w:top w:val="single" w:color="auto" w:sz="4" w:space="0"/>
              <w:left w:val="single" w:color="auto" w:sz="4" w:space="0"/>
              <w:bottom w:val="single" w:color="auto" w:sz="4" w:space="0"/>
              <w:right w:val="single" w:color="auto" w:sz="4" w:space="0"/>
            </w:tcBorders>
            <w:vAlign w:val="center"/>
          </w:tcPr>
          <w:p w14:paraId="485DFD73">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w:t>
            </w:r>
          </w:p>
        </w:tc>
        <w:tc>
          <w:tcPr>
            <w:tcW w:w="6958" w:type="dxa"/>
            <w:tcBorders>
              <w:top w:val="single" w:color="auto" w:sz="4" w:space="0"/>
              <w:left w:val="single" w:color="auto" w:sz="4" w:space="0"/>
              <w:bottom w:val="single" w:color="auto" w:sz="4" w:space="0"/>
              <w:right w:val="single" w:color="auto" w:sz="4" w:space="0"/>
            </w:tcBorders>
            <w:vAlign w:val="center"/>
          </w:tcPr>
          <w:p w14:paraId="5568AA02">
            <w:pPr>
              <w:adjustRightInd w:val="0"/>
              <w:snapToGrid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由采购人代表和评审专家共5人或5人以上单数组成，其中评审专家人数不少于总数的2/3。除非招标文件另有规定，评审专家将从政府采购评审专家库中随机抽取。</w:t>
            </w:r>
          </w:p>
        </w:tc>
      </w:tr>
      <w:tr w14:paraId="0FCEF6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E614D5C">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28.3</w:t>
            </w:r>
          </w:p>
        </w:tc>
        <w:tc>
          <w:tcPr>
            <w:tcW w:w="1530" w:type="dxa"/>
            <w:tcBorders>
              <w:top w:val="single" w:color="auto" w:sz="4" w:space="0"/>
              <w:left w:val="single" w:color="auto" w:sz="4" w:space="0"/>
              <w:bottom w:val="single" w:color="auto" w:sz="4" w:space="0"/>
              <w:right w:val="single" w:color="auto" w:sz="4" w:space="0"/>
            </w:tcBorders>
            <w:vAlign w:val="center"/>
          </w:tcPr>
          <w:p w14:paraId="597290B6">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多标包中标候选规定</w:t>
            </w:r>
          </w:p>
        </w:tc>
        <w:tc>
          <w:tcPr>
            <w:tcW w:w="6958" w:type="dxa"/>
            <w:tcBorders>
              <w:top w:val="single" w:color="auto" w:sz="4" w:space="0"/>
              <w:left w:val="single" w:color="auto" w:sz="4" w:space="0"/>
              <w:bottom w:val="single" w:color="auto" w:sz="4" w:space="0"/>
              <w:right w:val="single" w:color="auto" w:sz="4" w:space="0"/>
            </w:tcBorders>
            <w:vAlign w:val="center"/>
          </w:tcPr>
          <w:p w14:paraId="60A994FD">
            <w:pPr>
              <w:adjustRightInd w:val="0"/>
              <w:snapToGrid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投标人可就本招标项目多标包投标，同一投标人可多投多中。（如有）</w:t>
            </w:r>
          </w:p>
        </w:tc>
      </w:tr>
      <w:tr w14:paraId="730D21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BF014F0">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30.1</w:t>
            </w:r>
          </w:p>
        </w:tc>
        <w:tc>
          <w:tcPr>
            <w:tcW w:w="1530" w:type="dxa"/>
            <w:tcBorders>
              <w:top w:val="single" w:color="auto" w:sz="4" w:space="0"/>
              <w:left w:val="single" w:color="auto" w:sz="4" w:space="0"/>
              <w:bottom w:val="single" w:color="auto" w:sz="4" w:space="0"/>
              <w:right w:val="single" w:color="auto" w:sz="4" w:space="0"/>
            </w:tcBorders>
            <w:vAlign w:val="center"/>
          </w:tcPr>
          <w:p w14:paraId="17E35A32">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6958" w:type="dxa"/>
            <w:tcBorders>
              <w:top w:val="single" w:color="auto" w:sz="4" w:space="0"/>
              <w:left w:val="single" w:color="auto" w:sz="4" w:space="0"/>
              <w:bottom w:val="single" w:color="auto" w:sz="4" w:space="0"/>
              <w:right w:val="single" w:color="auto" w:sz="4" w:space="0"/>
            </w:tcBorders>
            <w:vAlign w:val="center"/>
          </w:tcPr>
          <w:p w14:paraId="05B90199">
            <w:pPr>
              <w:adjustRightInd w:val="0"/>
              <w:snapToGrid w:val="0"/>
              <w:spacing w:line="32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sym w:font="Wingdings 2" w:char="0052"/>
            </w:r>
            <w:r>
              <w:rPr>
                <w:rFonts w:hint="eastAsia" w:ascii="宋体" w:hAnsi="宋体" w:eastAsia="宋体" w:cs="宋体"/>
                <w:color w:val="auto"/>
                <w:sz w:val="21"/>
                <w:szCs w:val="21"/>
                <w:highlight w:val="none"/>
                <w:lang w:val="zh-CN"/>
              </w:rPr>
              <w:t>不需要</w:t>
            </w:r>
          </w:p>
          <w:p w14:paraId="4D04767A">
            <w:pPr>
              <w:adjustRightInd w:val="0"/>
              <w:snapToGrid w:val="0"/>
              <w:spacing w:line="32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sym w:font="Wingdings 2" w:char="00A3"/>
            </w:r>
            <w:r>
              <w:rPr>
                <w:rFonts w:hint="eastAsia" w:ascii="宋体" w:hAnsi="宋体" w:eastAsia="宋体" w:cs="宋体"/>
                <w:color w:val="auto"/>
                <w:sz w:val="21"/>
                <w:szCs w:val="21"/>
                <w:highlight w:val="none"/>
                <w:lang w:val="zh-CN"/>
              </w:rPr>
              <w:t>需要</w:t>
            </w:r>
          </w:p>
          <w:p w14:paraId="65459A49">
            <w:pPr>
              <w:adjustRightInd w:val="0"/>
              <w:snapToGrid w:val="0"/>
              <w:spacing w:line="320" w:lineRule="exact"/>
              <w:ind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履约保证金金额：合同总金额的</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w:t>
            </w:r>
            <w:r>
              <w:rPr>
                <w:rFonts w:hint="eastAsia" w:ascii="宋体" w:hAnsi="宋体" w:eastAsia="宋体" w:cs="宋体"/>
                <w:color w:val="auto"/>
                <w:sz w:val="21"/>
                <w:szCs w:val="21"/>
                <w:highlight w:val="none"/>
              </w:rPr>
              <w:t>不得超过合同金额的10%，并</w:t>
            </w:r>
            <w:r>
              <w:rPr>
                <w:rFonts w:hint="eastAsia" w:ascii="宋体" w:hAnsi="宋体" w:eastAsia="宋体" w:cs="宋体"/>
                <w:color w:val="auto"/>
                <w:sz w:val="21"/>
                <w:szCs w:val="21"/>
                <w:highlight w:val="none"/>
                <w:lang w:eastAsia="zh-CN"/>
              </w:rPr>
              <w:t>在合</w:t>
            </w:r>
            <w:r>
              <w:rPr>
                <w:rFonts w:hint="eastAsia" w:ascii="宋体" w:hAnsi="宋体" w:eastAsia="宋体" w:cs="宋体"/>
                <w:color w:val="auto"/>
                <w:sz w:val="21"/>
                <w:szCs w:val="21"/>
                <w:highlight w:val="none"/>
              </w:rPr>
              <w:t>同中明确）</w:t>
            </w:r>
          </w:p>
          <w:p w14:paraId="7B2612C1">
            <w:pPr>
              <w:adjustRightInd w:val="0"/>
              <w:snapToGrid w:val="0"/>
              <w:spacing w:line="320" w:lineRule="exact"/>
              <w:ind w:firstLine="315" w:firstLineChars="150"/>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履约保证金形式：支票、汇票、本票或者金融机构、担保机构出具的保函等非现金形式。</w:t>
            </w:r>
          </w:p>
        </w:tc>
      </w:tr>
      <w:tr w14:paraId="4F8B24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50418EF">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30.5</w:t>
            </w:r>
          </w:p>
        </w:tc>
        <w:tc>
          <w:tcPr>
            <w:tcW w:w="1530" w:type="dxa"/>
            <w:tcBorders>
              <w:top w:val="single" w:color="auto" w:sz="4" w:space="0"/>
              <w:left w:val="single" w:color="auto" w:sz="4" w:space="0"/>
              <w:bottom w:val="single" w:color="auto" w:sz="4" w:space="0"/>
              <w:right w:val="single" w:color="auto" w:sz="4" w:space="0"/>
            </w:tcBorders>
            <w:vAlign w:val="center"/>
          </w:tcPr>
          <w:p w14:paraId="350FA81F">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付款方式</w:t>
            </w:r>
          </w:p>
        </w:tc>
        <w:tc>
          <w:tcPr>
            <w:tcW w:w="6958" w:type="dxa"/>
            <w:tcBorders>
              <w:top w:val="single" w:color="auto" w:sz="4" w:space="0"/>
              <w:left w:val="single" w:color="auto" w:sz="4" w:space="0"/>
              <w:bottom w:val="single" w:color="auto" w:sz="4" w:space="0"/>
              <w:right w:val="single" w:color="auto" w:sz="4" w:space="0"/>
            </w:tcBorders>
            <w:vAlign w:val="center"/>
          </w:tcPr>
          <w:p w14:paraId="485BEB90">
            <w:pPr>
              <w:pStyle w:val="20"/>
              <w:ind w:left="0" w:firstLine="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详见第三章 技术、服务及商务要求</w:t>
            </w:r>
          </w:p>
        </w:tc>
      </w:tr>
      <w:tr w14:paraId="0A2DFB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6B5220E">
            <w:pPr>
              <w:tabs>
                <w:tab w:val="left" w:pos="130"/>
              </w:tabs>
              <w:adjustRightInd w:val="0"/>
              <w:snapToGrid w:val="0"/>
              <w:spacing w:line="320" w:lineRule="exact"/>
              <w:ind w:right="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p>
        </w:tc>
        <w:tc>
          <w:tcPr>
            <w:tcW w:w="1530" w:type="dxa"/>
            <w:tcBorders>
              <w:top w:val="single" w:color="auto" w:sz="4" w:space="0"/>
              <w:left w:val="single" w:color="auto" w:sz="4" w:space="0"/>
              <w:bottom w:val="single" w:color="auto" w:sz="4" w:space="0"/>
              <w:right w:val="single" w:color="auto" w:sz="4" w:space="0"/>
            </w:tcBorders>
            <w:vAlign w:val="center"/>
          </w:tcPr>
          <w:p w14:paraId="4616CB6A">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质疑提交</w:t>
            </w:r>
          </w:p>
        </w:tc>
        <w:tc>
          <w:tcPr>
            <w:tcW w:w="6958" w:type="dxa"/>
            <w:tcBorders>
              <w:top w:val="single" w:color="auto" w:sz="4" w:space="0"/>
              <w:left w:val="single" w:color="auto" w:sz="4" w:space="0"/>
              <w:bottom w:val="single" w:color="auto" w:sz="4" w:space="0"/>
              <w:right w:val="single" w:color="auto" w:sz="4" w:space="0"/>
            </w:tcBorders>
            <w:vAlign w:val="center"/>
          </w:tcPr>
          <w:p w14:paraId="01B447A8">
            <w:pPr>
              <w:spacing w:line="320" w:lineRule="exact"/>
              <w:ind w:firstLine="315" w:firstLineChars="15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1、投标人认为招标文件、招标过程和中标结果使自己的权益受到损害的，可以在知道或者应知其权益受到损害之日起7个工作日内，以书面形式向采购人、采购代理机构提出质疑。</w:t>
            </w:r>
          </w:p>
          <w:p w14:paraId="6E8B689A">
            <w:pPr>
              <w:spacing w:line="320" w:lineRule="exact"/>
              <w:ind w:firstLine="315" w:firstLineChars="15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2、投标人</w:t>
            </w:r>
            <w:r>
              <w:rPr>
                <w:rFonts w:hint="eastAsia" w:ascii="宋体" w:hAnsi="宋体" w:eastAsia="宋体" w:cs="宋体"/>
                <w:color w:val="auto"/>
                <w:sz w:val="21"/>
                <w:szCs w:val="21"/>
                <w:highlight w:val="none"/>
              </w:rPr>
              <w:t>应当在法定质疑期内一次性提出针对同一采购程序环节的质疑。</w:t>
            </w:r>
          </w:p>
          <w:p w14:paraId="59365179">
            <w:pPr>
              <w:spacing w:line="320" w:lineRule="exact"/>
              <w:ind w:firstLine="315" w:firstLineChars="15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3、提出质疑的投标人应当是参与所质疑项目招标活动的投标人。</w:t>
            </w:r>
          </w:p>
          <w:p w14:paraId="4F35A282">
            <w:pPr>
              <w:spacing w:line="320" w:lineRule="exact"/>
              <w:ind w:firstLine="315" w:firstLineChars="15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4、潜在投标人已依法获取其可质疑的招标文件的，可以对该文件提出质疑。对招标文件提出质疑的，应当在获取招标文件或者招标文件公告期限届满之日起7个工作日内提出。</w:t>
            </w:r>
          </w:p>
          <w:p w14:paraId="2E08D123">
            <w:pPr>
              <w:spacing w:line="320" w:lineRule="exact"/>
              <w:ind w:firstLine="315" w:firstLineChars="150"/>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质疑</w:t>
            </w:r>
            <w:r>
              <w:rPr>
                <w:rFonts w:hint="eastAsia" w:ascii="宋体" w:hAnsi="宋体" w:eastAsia="宋体" w:cs="宋体"/>
                <w:color w:val="auto"/>
                <w:sz w:val="21"/>
                <w:szCs w:val="21"/>
                <w:highlight w:val="none"/>
                <w:lang w:val="zh-CN"/>
              </w:rPr>
              <w:t>时应提交书面质疑函一份</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法定代表人</w:t>
            </w:r>
            <w:r>
              <w:rPr>
                <w:rFonts w:hint="eastAsia" w:ascii="宋体" w:hAnsi="宋体" w:eastAsia="宋体" w:cs="宋体"/>
                <w:bCs/>
                <w:color w:val="auto"/>
                <w:sz w:val="21"/>
                <w:szCs w:val="21"/>
                <w:highlight w:val="none"/>
              </w:rPr>
              <w:t>签名</w:t>
            </w:r>
            <w:r>
              <w:rPr>
                <w:rFonts w:hint="eastAsia" w:ascii="宋体" w:hAnsi="宋体" w:eastAsia="宋体" w:cs="宋体"/>
                <w:color w:val="auto"/>
                <w:sz w:val="21"/>
                <w:szCs w:val="21"/>
                <w:highlight w:val="none"/>
                <w:lang w:val="zh-CN"/>
              </w:rPr>
              <w:t>、加盖单位公章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并附相关证据材料</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联系电话</w:t>
            </w:r>
            <w:r>
              <w:rPr>
                <w:rFonts w:hint="eastAsia" w:ascii="宋体" w:hAnsi="宋体" w:eastAsia="宋体" w:cs="宋体"/>
                <w:color w:val="auto"/>
                <w:sz w:val="21"/>
                <w:szCs w:val="21"/>
                <w:highlight w:val="none"/>
              </w:rPr>
              <w:t>：18171338172</w:t>
            </w:r>
            <w:r>
              <w:rPr>
                <w:rFonts w:hint="eastAsia" w:ascii="宋体" w:hAnsi="宋体" w:eastAsia="宋体" w:cs="宋体"/>
                <w:color w:val="auto"/>
                <w:sz w:val="21"/>
                <w:szCs w:val="21"/>
                <w:highlight w:val="none"/>
                <w:lang w:val="zh-CN"/>
              </w:rPr>
              <w:t>，邮箱：</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"mailto:hbhjxg@126.com"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hbhjxg@126.com</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zh-CN"/>
              </w:rPr>
              <w:t>。</w:t>
            </w:r>
          </w:p>
          <w:p w14:paraId="2A08AF37">
            <w:pPr>
              <w:spacing w:line="320" w:lineRule="exact"/>
              <w:ind w:firstLine="315" w:firstLineChars="15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对于不符合上述条件的质疑将不予受理。</w:t>
            </w:r>
          </w:p>
        </w:tc>
      </w:tr>
      <w:tr w14:paraId="6D5335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2396" w:type="dxa"/>
            <w:gridSpan w:val="2"/>
            <w:tcBorders>
              <w:top w:val="single" w:color="auto" w:sz="4" w:space="0"/>
              <w:left w:val="single" w:color="auto" w:sz="4" w:space="0"/>
              <w:bottom w:val="single" w:color="auto" w:sz="4" w:space="0"/>
              <w:right w:val="single" w:color="auto" w:sz="4" w:space="0"/>
            </w:tcBorders>
            <w:vAlign w:val="center"/>
          </w:tcPr>
          <w:p w14:paraId="523E36FE">
            <w:pPr>
              <w:adjustRightInd w:val="0"/>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w:t>
            </w:r>
          </w:p>
        </w:tc>
        <w:tc>
          <w:tcPr>
            <w:tcW w:w="6958" w:type="dxa"/>
            <w:tcBorders>
              <w:top w:val="single" w:color="auto" w:sz="4" w:space="0"/>
              <w:left w:val="single" w:color="auto" w:sz="4" w:space="0"/>
              <w:bottom w:val="single" w:color="auto" w:sz="4" w:space="0"/>
              <w:right w:val="single" w:color="auto" w:sz="4" w:space="0"/>
            </w:tcBorders>
            <w:vAlign w:val="center"/>
          </w:tcPr>
          <w:p w14:paraId="034A4444">
            <w:pPr>
              <w:spacing w:line="320" w:lineRule="exact"/>
              <w:ind w:firstLine="315" w:firstLineChars="15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p>
        </w:tc>
      </w:tr>
    </w:tbl>
    <w:p w14:paraId="27774AF5">
      <w:pPr>
        <w:spacing w:line="276" w:lineRule="auto"/>
        <w:rPr>
          <w:b/>
          <w:color w:val="auto"/>
          <w:szCs w:val="21"/>
          <w:highlight w:val="none"/>
        </w:rPr>
      </w:pPr>
      <w:r>
        <w:rPr>
          <w:rFonts w:hint="eastAsia" w:ascii="宋体" w:hAnsi="宋体" w:cs="宋体"/>
          <w:b/>
          <w:snapToGrid w:val="0"/>
          <w:color w:val="auto"/>
          <w:kern w:val="0"/>
          <w:szCs w:val="21"/>
          <w:highlight w:val="none"/>
          <w:lang w:val="zh-CN"/>
        </w:rPr>
        <w:t>注意：投标人应随时关注第一章招标公告（投标邀请书）中指定网站发布的本招标项目的相关信息（答疑、澄清、通知公告等）。</w:t>
      </w:r>
    </w:p>
    <w:p w14:paraId="624772DA">
      <w:pPr>
        <w:spacing w:line="276" w:lineRule="auto"/>
        <w:rPr>
          <w:rFonts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补充说明：</w:t>
      </w:r>
    </w:p>
    <w:p w14:paraId="68F8DFD0">
      <w:pPr>
        <w:autoSpaceDE w:val="0"/>
        <w:autoSpaceDN w:val="0"/>
        <w:snapToGrid w:val="0"/>
        <w:spacing w:line="276" w:lineRule="auto"/>
        <w:ind w:firstLine="420" w:firstLineChars="200"/>
        <w:jc w:val="left"/>
        <w:rPr>
          <w:rFonts w:ascii="宋体" w:hAnsi="宋体"/>
          <w:color w:val="auto"/>
          <w:szCs w:val="21"/>
          <w:highlight w:val="none"/>
        </w:rPr>
      </w:pPr>
      <w:r>
        <w:rPr>
          <w:rFonts w:hint="eastAsia" w:ascii="宋体" w:hAnsi="宋体"/>
          <w:color w:val="auto"/>
          <w:szCs w:val="21"/>
          <w:highlight w:val="none"/>
        </w:rPr>
        <w:t>1）除本招标文件另有规定外，招标文件中出现的类似于“近三年”或“ 前三年”、“近五年”或“前五年”均指递交投标文件时间以前3年或前5年，以此类推。如：递交投标文件时间为2018年12月1日，则“近三年”是指2015年12月1日至2018年11月30日。</w:t>
      </w:r>
    </w:p>
    <w:p w14:paraId="0F75D739">
      <w:pPr>
        <w:autoSpaceDE w:val="0"/>
        <w:autoSpaceDN w:val="0"/>
        <w:snapToGrid w:val="0"/>
        <w:spacing w:line="276" w:lineRule="auto"/>
        <w:ind w:firstLine="420" w:firstLineChars="200"/>
        <w:jc w:val="left"/>
        <w:rPr>
          <w:rFonts w:ascii="宋体" w:hAnsi="宋体"/>
          <w:color w:val="auto"/>
          <w:szCs w:val="21"/>
          <w:highlight w:val="none"/>
        </w:rPr>
      </w:pPr>
      <w:r>
        <w:rPr>
          <w:rFonts w:hint="eastAsia" w:ascii="宋体" w:hAnsi="宋体"/>
          <w:color w:val="auto"/>
          <w:szCs w:val="21"/>
          <w:highlight w:val="none"/>
        </w:rPr>
        <w:t>2）关于提交经审计的财务报告的年份要求：递交投标文件时间如在当年6月30日以前，则近三年指上上个年度往前推算的三年，如递交投标文件时间为2018年6月9日，则“近三年”是指2014年度、2015年度、2016年度。</w:t>
      </w:r>
    </w:p>
    <w:p w14:paraId="6C0AAF1B">
      <w:pPr>
        <w:autoSpaceDE w:val="0"/>
        <w:autoSpaceDN w:val="0"/>
        <w:snapToGrid w:val="0"/>
        <w:spacing w:line="276" w:lineRule="auto"/>
        <w:ind w:firstLine="420" w:firstLineChars="200"/>
        <w:jc w:val="left"/>
        <w:rPr>
          <w:rFonts w:ascii="宋体" w:hAnsi="宋体"/>
          <w:color w:val="auto"/>
          <w:szCs w:val="21"/>
          <w:highlight w:val="none"/>
        </w:rPr>
      </w:pPr>
      <w:r>
        <w:rPr>
          <w:rFonts w:hint="eastAsia" w:ascii="宋体" w:hAnsi="宋体"/>
          <w:color w:val="auto"/>
          <w:szCs w:val="21"/>
          <w:highlight w:val="none"/>
        </w:rPr>
        <w:t>递交投标文件时间如在当年6月30日以后，则近三年是指上个年度往前推算的3年，如递交投标文件时间为2018年12月1日，则“近三年”是指2015年度、2016年度、2017年度。</w:t>
      </w:r>
    </w:p>
    <w:p w14:paraId="5C093BC4">
      <w:pPr>
        <w:autoSpaceDE w:val="0"/>
        <w:autoSpaceDN w:val="0"/>
        <w:snapToGrid w:val="0"/>
        <w:spacing w:line="276" w:lineRule="auto"/>
        <w:ind w:firstLine="420" w:firstLineChars="200"/>
        <w:jc w:val="left"/>
        <w:rPr>
          <w:rFonts w:ascii="宋体" w:hAnsi="宋体"/>
          <w:color w:val="auto"/>
          <w:szCs w:val="21"/>
          <w:highlight w:val="none"/>
        </w:rPr>
      </w:pPr>
      <w:r>
        <w:rPr>
          <w:rFonts w:hint="eastAsia" w:ascii="宋体" w:hAnsi="宋体"/>
          <w:color w:val="auto"/>
          <w:szCs w:val="21"/>
          <w:highlight w:val="none"/>
        </w:rPr>
        <w:t>3）本招标文件所称的“以上”、“以下”、“内”、“以内”，均包括本数；所称的“不足”，不包括本数。</w:t>
      </w:r>
    </w:p>
    <w:p w14:paraId="56182B05">
      <w:pPr>
        <w:autoSpaceDE w:val="0"/>
        <w:autoSpaceDN w:val="0"/>
        <w:snapToGrid w:val="0"/>
        <w:spacing w:line="276" w:lineRule="auto"/>
        <w:ind w:firstLine="420" w:firstLineChars="200"/>
        <w:jc w:val="left"/>
        <w:rPr>
          <w:rFonts w:ascii="宋体" w:hAnsi="宋体"/>
          <w:color w:val="auto"/>
          <w:szCs w:val="21"/>
          <w:highlight w:val="none"/>
        </w:rPr>
      </w:pPr>
      <w:r>
        <w:rPr>
          <w:rFonts w:hint="eastAsia" w:ascii="宋体" w:hAnsi="宋体"/>
          <w:color w:val="auto"/>
          <w:szCs w:val="21"/>
          <w:highlight w:val="none"/>
        </w:rPr>
        <w:t>4）《投标人须知前附表》中，“</w:t>
      </w:r>
      <w:r>
        <w:rPr>
          <w:color w:val="auto"/>
          <w:highlight w:val="none"/>
        </w:rPr>
        <w:fldChar w:fldCharType="begin"/>
      </w:r>
      <w:r>
        <w:rPr>
          <w:rFonts w:hint="eastAsia" w:ascii="宋体" w:hAnsi="宋体" w:cs="宋体"/>
          <w:bCs/>
          <w:color w:val="auto"/>
          <w:szCs w:val="21"/>
          <w:highlight w:val="none"/>
        </w:rPr>
        <w:instrText xml:space="preserve"> eq \o\ac(□,√)</w:instrText>
      </w:r>
      <w:r>
        <w:rPr>
          <w:color w:val="auto"/>
          <w:highlight w:val="none"/>
        </w:rPr>
        <w:fldChar w:fldCharType="end"/>
      </w:r>
      <w:r>
        <w:rPr>
          <w:rFonts w:hint="eastAsia" w:ascii="宋体" w:hAnsi="宋体"/>
          <w:color w:val="auto"/>
          <w:szCs w:val="21"/>
          <w:highlight w:val="none"/>
        </w:rPr>
        <w:t>”代表选中，“□”代表未选中。</w:t>
      </w:r>
    </w:p>
    <w:p w14:paraId="2850917E">
      <w:pPr>
        <w:autoSpaceDE w:val="0"/>
        <w:autoSpaceDN w:val="0"/>
        <w:snapToGrid w:val="0"/>
        <w:spacing w:line="276" w:lineRule="auto"/>
        <w:jc w:val="left"/>
        <w:outlineLvl w:val="1"/>
        <w:rPr>
          <w:rFonts w:ascii="宋体" w:hAnsi="宋体"/>
          <w:b/>
          <w:bCs/>
          <w:color w:val="auto"/>
          <w:szCs w:val="21"/>
          <w:highlight w:val="none"/>
          <w:lang w:val="zh-CN"/>
        </w:rPr>
      </w:pPr>
      <w:r>
        <w:rPr>
          <w:rFonts w:hint="eastAsia" w:ascii="宋体" w:hAnsi="宋体"/>
          <w:b/>
          <w:bCs/>
          <w:color w:val="auto"/>
          <w:kern w:val="0"/>
          <w:szCs w:val="21"/>
          <w:highlight w:val="none"/>
          <w:lang w:val="zh-CN"/>
        </w:rPr>
        <w:br w:type="page"/>
      </w:r>
      <w:bookmarkStart w:id="22" w:name="_Toc97814997"/>
      <w:bookmarkStart w:id="23" w:name="_Toc31545"/>
      <w:r>
        <w:rPr>
          <w:rFonts w:hint="eastAsia" w:ascii="宋体" w:hAnsi="宋体"/>
          <w:b/>
          <w:bCs/>
          <w:color w:val="auto"/>
          <w:szCs w:val="21"/>
          <w:highlight w:val="none"/>
          <w:lang w:val="zh-CN"/>
        </w:rPr>
        <w:t>投标人须知</w:t>
      </w:r>
      <w:bookmarkEnd w:id="22"/>
      <w:bookmarkEnd w:id="23"/>
    </w:p>
    <w:p w14:paraId="6C59D21A">
      <w:pPr>
        <w:keepNext/>
        <w:keepLines/>
        <w:numPr>
          <w:ilvl w:val="0"/>
          <w:numId w:val="1"/>
        </w:numPr>
        <w:spacing w:line="276" w:lineRule="auto"/>
        <w:ind w:left="426" w:hanging="426"/>
        <w:jc w:val="left"/>
        <w:outlineLvl w:val="1"/>
        <w:rPr>
          <w:rFonts w:ascii="宋体" w:hAnsi="宋体"/>
          <w:b/>
          <w:color w:val="auto"/>
          <w:kern w:val="0"/>
          <w:szCs w:val="21"/>
          <w:highlight w:val="none"/>
          <w:lang w:val="zh-CN"/>
        </w:rPr>
      </w:pPr>
      <w:bookmarkStart w:id="24" w:name="_Toc3570"/>
      <w:bookmarkStart w:id="25" w:name="_Toc97814998"/>
      <w:r>
        <w:rPr>
          <w:rFonts w:hint="eastAsia" w:ascii="宋体" w:hAnsi="宋体"/>
          <w:b/>
          <w:color w:val="auto"/>
          <w:kern w:val="0"/>
          <w:szCs w:val="21"/>
          <w:highlight w:val="none"/>
          <w:lang w:val="zh-CN"/>
        </w:rPr>
        <w:t>说明</w:t>
      </w:r>
      <w:bookmarkEnd w:id="21"/>
      <w:bookmarkEnd w:id="24"/>
      <w:bookmarkEnd w:id="25"/>
    </w:p>
    <w:p w14:paraId="6FB0AE59">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适用范围</w:t>
      </w:r>
    </w:p>
    <w:p w14:paraId="016A7F5D">
      <w:pPr>
        <w:spacing w:line="276" w:lineRule="auto"/>
        <w:ind w:firstLine="420" w:firstLineChars="200"/>
        <w:rPr>
          <w:rFonts w:ascii="宋体" w:hAnsi="宋体"/>
          <w:color w:val="auto"/>
          <w:szCs w:val="21"/>
          <w:highlight w:val="none"/>
          <w:lang w:val="zh-CN"/>
        </w:rPr>
      </w:pPr>
      <w:r>
        <w:rPr>
          <w:rFonts w:hint="eastAsia" w:ascii="宋体" w:hAnsi="宋体"/>
          <w:color w:val="auto"/>
          <w:szCs w:val="21"/>
          <w:highlight w:val="none"/>
          <w:lang w:val="zh-CN"/>
        </w:rPr>
        <w:t>招标文件仅适用于第一章“招标公告（投标邀请书）”中所述项目的货物、工程及服务的采购。</w:t>
      </w:r>
    </w:p>
    <w:p w14:paraId="3398CDE8">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定义</w:t>
      </w:r>
    </w:p>
    <w:p w14:paraId="32651F2E">
      <w:pPr>
        <w:numPr>
          <w:ilvl w:val="0"/>
          <w:numId w:val="3"/>
        </w:numP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“采购人”是指：</w:t>
      </w:r>
      <w:r>
        <w:rPr>
          <w:rFonts w:hint="eastAsia" w:ascii="宋体" w:hAnsi="宋体" w:cs="宋体"/>
          <w:color w:val="auto"/>
          <w:szCs w:val="21"/>
          <w:highlight w:val="none"/>
        </w:rPr>
        <w:t>本次招标的采购人，</w:t>
      </w:r>
      <w:r>
        <w:rPr>
          <w:rFonts w:hint="eastAsia" w:ascii="宋体" w:hAnsi="宋体"/>
          <w:color w:val="auto"/>
          <w:szCs w:val="21"/>
          <w:highlight w:val="none"/>
          <w:lang w:val="zh-CN"/>
        </w:rPr>
        <w:t>详见《投标人须知前附表》。</w:t>
      </w:r>
    </w:p>
    <w:p w14:paraId="075E6622">
      <w:pPr>
        <w:numPr>
          <w:ilvl w:val="0"/>
          <w:numId w:val="3"/>
        </w:numP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“监管部门”是指：</w:t>
      </w:r>
      <w:r>
        <w:rPr>
          <w:rFonts w:hint="eastAsia" w:ascii="宋体" w:hAnsi="宋体" w:cs="宋体"/>
          <w:color w:val="auto"/>
          <w:szCs w:val="21"/>
          <w:highlight w:val="none"/>
        </w:rPr>
        <w:t>本次招标的监管部门，</w:t>
      </w:r>
      <w:r>
        <w:rPr>
          <w:rFonts w:hint="eastAsia" w:ascii="宋体" w:hAnsi="宋体"/>
          <w:color w:val="auto"/>
          <w:szCs w:val="21"/>
          <w:highlight w:val="none"/>
          <w:lang w:val="zh-CN"/>
        </w:rPr>
        <w:t>详见《投标人须知前附表》。</w:t>
      </w:r>
    </w:p>
    <w:p w14:paraId="5973AC25">
      <w:pPr>
        <w:numPr>
          <w:ilvl w:val="0"/>
          <w:numId w:val="3"/>
        </w:numP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“采购代理机构”是指：</w:t>
      </w:r>
      <w:r>
        <w:rPr>
          <w:rFonts w:hint="eastAsia" w:ascii="宋体" w:hAnsi="宋体" w:cs="宋体"/>
          <w:color w:val="auto"/>
          <w:szCs w:val="21"/>
          <w:highlight w:val="none"/>
        </w:rPr>
        <w:t>本次招标的采购代理机构，</w:t>
      </w:r>
      <w:r>
        <w:rPr>
          <w:rFonts w:hint="eastAsia" w:ascii="宋体" w:hAnsi="宋体"/>
          <w:color w:val="auto"/>
          <w:szCs w:val="21"/>
          <w:highlight w:val="none"/>
          <w:lang w:val="zh-CN"/>
        </w:rPr>
        <w:t>详见《投标人须知前附表》。</w:t>
      </w:r>
    </w:p>
    <w:p w14:paraId="6A23E403">
      <w:pPr>
        <w:numPr>
          <w:ilvl w:val="0"/>
          <w:numId w:val="3"/>
        </w:numP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“投标人”是指：</w:t>
      </w:r>
      <w:r>
        <w:rPr>
          <w:rFonts w:hint="eastAsia" w:ascii="宋体" w:hAnsi="宋体" w:cs="Helvetica"/>
          <w:color w:val="auto"/>
          <w:kern w:val="0"/>
          <w:szCs w:val="21"/>
          <w:highlight w:val="none"/>
          <w:lang w:val="zh-CN"/>
        </w:rPr>
        <w:t>响应本招标文件要求，参加投标的法人、其他组织或者自然人。</w:t>
      </w:r>
    </w:p>
    <w:p w14:paraId="59D5C0D1">
      <w:pPr>
        <w:numPr>
          <w:ilvl w:val="0"/>
          <w:numId w:val="3"/>
        </w:numPr>
        <w:spacing w:line="276" w:lineRule="auto"/>
        <w:ind w:left="476" w:hanging="476"/>
        <w:rPr>
          <w:rFonts w:ascii="宋体" w:hAnsi="宋体" w:cs="Helvetica"/>
          <w:color w:val="auto"/>
          <w:kern w:val="0"/>
          <w:szCs w:val="21"/>
          <w:highlight w:val="none"/>
          <w:lang w:val="zh-CN"/>
        </w:rPr>
      </w:pPr>
      <w:r>
        <w:rPr>
          <w:rFonts w:hint="eastAsia" w:ascii="宋体" w:hAnsi="宋体"/>
          <w:b/>
          <w:color w:val="auto"/>
          <w:szCs w:val="21"/>
          <w:highlight w:val="none"/>
          <w:lang w:val="zh-CN"/>
        </w:rPr>
        <w:t>“合格的投标人”是指：</w:t>
      </w:r>
      <w:r>
        <w:rPr>
          <w:rFonts w:hint="eastAsia" w:ascii="宋体" w:hAnsi="宋体" w:cs="Helvetica"/>
          <w:color w:val="auto"/>
          <w:kern w:val="0"/>
          <w:szCs w:val="21"/>
          <w:highlight w:val="none"/>
          <w:lang w:val="zh-CN"/>
        </w:rPr>
        <w:t>资格审查和符合性审查合格的投标人。</w:t>
      </w:r>
    </w:p>
    <w:p w14:paraId="0E2B5C99">
      <w:pPr>
        <w:numPr>
          <w:ilvl w:val="0"/>
          <w:numId w:val="3"/>
        </w:numP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“中标人”是指：</w:t>
      </w:r>
      <w:r>
        <w:rPr>
          <w:rFonts w:hint="eastAsia" w:ascii="宋体" w:hAnsi="宋体"/>
          <w:color w:val="auto"/>
          <w:szCs w:val="21"/>
          <w:highlight w:val="none"/>
          <w:lang w:val="zh-CN"/>
        </w:rPr>
        <w:t>经评标委员会评审推荐，采购人授予合同的投标人。</w:t>
      </w:r>
    </w:p>
    <w:p w14:paraId="41257754">
      <w:pPr>
        <w:numPr>
          <w:ilvl w:val="0"/>
          <w:numId w:val="3"/>
        </w:numP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“投标文件”是指：</w:t>
      </w:r>
      <w:r>
        <w:rPr>
          <w:rFonts w:hint="eastAsia" w:ascii="宋体" w:hAnsi="宋体" w:cs="宋体"/>
          <w:color w:val="auto"/>
          <w:szCs w:val="21"/>
          <w:highlight w:val="none"/>
        </w:rPr>
        <w:t>投标人根据招标文件要求，编制的包含价格、技术、服务和合同草案条款等所有内容的文件。</w:t>
      </w:r>
    </w:p>
    <w:p w14:paraId="49D5DBF9">
      <w:pPr>
        <w:numPr>
          <w:ilvl w:val="0"/>
          <w:numId w:val="3"/>
        </w:numP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 xml:space="preserve"> “进口产品” 是指：</w:t>
      </w:r>
      <w:r>
        <w:rPr>
          <w:rFonts w:hint="eastAsia" w:ascii="宋体" w:hAnsi="宋体" w:cs="宋体"/>
          <w:color w:val="auto"/>
          <w:szCs w:val="21"/>
          <w:highlight w:val="none"/>
        </w:rPr>
        <w:t>通过中国海关报关验放进入中国境内且产自关境外的产品。</w:t>
      </w:r>
    </w:p>
    <w:p w14:paraId="53F7F318">
      <w:pPr>
        <w:numPr>
          <w:ilvl w:val="0"/>
          <w:numId w:val="3"/>
        </w:numP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en-US" w:eastAsia="zh-CN"/>
        </w:rPr>
        <w:t xml:space="preserve"> </w:t>
      </w:r>
      <w:r>
        <w:rPr>
          <w:rFonts w:hint="eastAsia" w:ascii="宋体" w:hAnsi="宋体"/>
          <w:b/>
          <w:color w:val="auto"/>
          <w:szCs w:val="21"/>
          <w:highlight w:val="none"/>
          <w:lang w:val="zh-CN" w:eastAsia="zh-CN"/>
        </w:rPr>
        <w:t>“</w:t>
      </w:r>
      <w:r>
        <w:rPr>
          <w:rFonts w:hint="eastAsia" w:ascii="宋体" w:hAnsi="宋体"/>
          <w:b/>
          <w:color w:val="auto"/>
          <w:szCs w:val="21"/>
          <w:highlight w:val="none"/>
          <w:lang w:val="zh-CN"/>
        </w:rPr>
        <w:t>支持本国产品</w:t>
      </w:r>
      <w:r>
        <w:rPr>
          <w:rFonts w:hint="eastAsia" w:ascii="宋体" w:hAnsi="宋体"/>
          <w:b/>
          <w:color w:val="auto"/>
          <w:szCs w:val="21"/>
          <w:highlight w:val="none"/>
          <w:lang w:val="zh-CN" w:eastAsia="zh-CN"/>
        </w:rPr>
        <w:t>”</w:t>
      </w:r>
      <w:r>
        <w:rPr>
          <w:rFonts w:hint="eastAsia" w:ascii="宋体" w:hAnsi="宋体"/>
          <w:b/>
          <w:color w:val="auto"/>
          <w:szCs w:val="21"/>
          <w:highlight w:val="none"/>
          <w:lang w:val="zh-CN"/>
        </w:rPr>
        <w:t>是指：</w:t>
      </w:r>
      <w:r>
        <w:rPr>
          <w:rFonts w:hint="eastAsia" w:ascii="宋体" w:hAnsi="宋体" w:cs="宋体"/>
          <w:color w:val="auto"/>
          <w:kern w:val="0"/>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等要求的规定：</w:t>
      </w:r>
      <w:r>
        <w:rPr>
          <w:rFonts w:hint="eastAsia" w:ascii="宋体" w:hAnsi="宋体" w:cs="宋体"/>
          <w:b/>
          <w:bCs/>
          <w:color w:val="auto"/>
          <w:kern w:val="0"/>
          <w:szCs w:val="21"/>
          <w:highlight w:val="none"/>
        </w:rPr>
        <w:t>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对于仅有本国产品参与竞争的政府采购项目，本国产品不享受价格扣除评审优惠</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投标人</w:t>
      </w:r>
      <w:r>
        <w:rPr>
          <w:rFonts w:hint="eastAsia" w:ascii="宋体" w:hAnsi="宋体" w:cs="宋体"/>
          <w:b/>
          <w:bCs/>
          <w:color w:val="auto"/>
          <w:kern w:val="0"/>
          <w:szCs w:val="21"/>
          <w:highlight w:val="none"/>
          <w:lang w:eastAsia="zh-CN"/>
        </w:rPr>
        <w:t>对其提供的产品出具《关于符合本国产品标准的声明函》或财政部会同有关部门规定的有关证明文件，是其产品享受政府采购对本国产品支持政策的先决条件。</w:t>
      </w:r>
    </w:p>
    <w:p w14:paraId="4C3D6C74">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项目属性定义</w:t>
      </w:r>
    </w:p>
    <w:p w14:paraId="11D25743">
      <w:pPr>
        <w:numPr>
          <w:ilvl w:val="0"/>
          <w:numId w:val="4"/>
        </w:numP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“货物”是指</w:t>
      </w:r>
      <w:r>
        <w:rPr>
          <w:rFonts w:hint="eastAsia" w:ascii="宋体" w:hAnsi="宋体"/>
          <w:color w:val="auto"/>
          <w:szCs w:val="21"/>
          <w:highlight w:val="none"/>
          <w:lang w:val="zh-CN"/>
        </w:rPr>
        <w:t>：各种形态和种类的物品，包括原材料、燃料、设备、产品等。</w:t>
      </w:r>
    </w:p>
    <w:p w14:paraId="4960C5B8">
      <w:pPr>
        <w:numPr>
          <w:ilvl w:val="0"/>
          <w:numId w:val="5"/>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招标文件中没有提及招标货物来源地的，根据《中华人民共和国政府采购法》及相关规定均应是本国货物，另有规定的除外。</w:t>
      </w:r>
    </w:p>
    <w:p w14:paraId="7DC14757">
      <w:pPr>
        <w:numPr>
          <w:ilvl w:val="0"/>
          <w:numId w:val="5"/>
        </w:numPr>
        <w:spacing w:line="276" w:lineRule="auto"/>
        <w:ind w:left="726" w:hanging="442"/>
        <w:rPr>
          <w:rFonts w:ascii="宋体" w:hAnsi="宋体"/>
          <w:color w:val="auto"/>
          <w:szCs w:val="21"/>
          <w:highlight w:val="none"/>
          <w:lang w:val="zh-CN"/>
        </w:rPr>
      </w:pPr>
      <w:r>
        <w:rPr>
          <w:rFonts w:hint="eastAsia" w:ascii="宋体" w:hAnsi="宋体"/>
          <w:color w:val="auto"/>
          <w:szCs w:val="21"/>
          <w:highlight w:val="none"/>
          <w:lang w:val="zh-CN"/>
        </w:rPr>
        <w:t>投标的货物应是合法生产的符合国家有关标准要求的货物，并能够按照合同规定的品牌、产地、质量、价格和有效期等履约。</w:t>
      </w:r>
    </w:p>
    <w:p w14:paraId="0CC57287">
      <w:pPr>
        <w:numPr>
          <w:ilvl w:val="0"/>
          <w:numId w:val="4"/>
        </w:numPr>
        <w:spacing w:line="276" w:lineRule="auto"/>
        <w:ind w:left="476" w:hanging="476"/>
        <w:rPr>
          <w:rFonts w:ascii="宋体" w:hAnsi="宋体"/>
          <w:b/>
          <w:color w:val="auto"/>
          <w:szCs w:val="21"/>
          <w:highlight w:val="none"/>
          <w:lang w:val="zh-CN"/>
        </w:rPr>
      </w:pPr>
      <w:r>
        <w:rPr>
          <w:rFonts w:hint="eastAsia" w:ascii="宋体" w:hAnsi="宋体"/>
          <w:b/>
          <w:color w:val="auto"/>
          <w:szCs w:val="21"/>
          <w:highlight w:val="none"/>
          <w:lang w:val="zh-CN"/>
        </w:rPr>
        <w:t>“工程”是指</w:t>
      </w:r>
      <w:r>
        <w:rPr>
          <w:rFonts w:hint="eastAsia" w:ascii="宋体" w:hAnsi="宋体"/>
          <w:color w:val="auto"/>
          <w:szCs w:val="21"/>
          <w:highlight w:val="none"/>
          <w:lang w:val="zh-CN"/>
        </w:rPr>
        <w:t>：与建筑物和构筑物的新建、改建、扩建及其相关的装修、拆除、修缮无关的工程。</w:t>
      </w:r>
    </w:p>
    <w:p w14:paraId="3DC864EC">
      <w:pPr>
        <w:numPr>
          <w:ilvl w:val="0"/>
          <w:numId w:val="4"/>
        </w:numP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“服务”是指：</w:t>
      </w:r>
      <w:r>
        <w:rPr>
          <w:rFonts w:hint="eastAsia" w:ascii="宋体" w:hAnsi="宋体"/>
          <w:color w:val="auto"/>
          <w:szCs w:val="21"/>
          <w:highlight w:val="none"/>
          <w:lang w:val="zh-CN"/>
        </w:rPr>
        <w:t>除前述“货物”和“工程”以外的其他政府采购对象,</w:t>
      </w:r>
      <w:r>
        <w:rPr>
          <w:rFonts w:hint="eastAsia" w:ascii="宋体" w:hAnsi="宋体"/>
          <w:color w:val="auto"/>
          <w:szCs w:val="21"/>
          <w:highlight w:val="none"/>
        </w:rPr>
        <w:t xml:space="preserve"> </w:t>
      </w:r>
      <w:r>
        <w:rPr>
          <w:rFonts w:hint="eastAsia" w:ascii="宋体" w:hAnsi="宋体"/>
          <w:color w:val="auto"/>
          <w:szCs w:val="21"/>
          <w:highlight w:val="none"/>
          <w:lang w:val="zh-CN"/>
        </w:rPr>
        <w:t>包括采购人自身需要的服务  和采购人向社会公众提供的公共服务。</w:t>
      </w:r>
    </w:p>
    <w:p w14:paraId="366F3AE3">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费用</w:t>
      </w:r>
    </w:p>
    <w:p w14:paraId="3FBAD62A">
      <w:pPr>
        <w:numPr>
          <w:ilvl w:val="0"/>
          <w:numId w:val="6"/>
        </w:numP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投标人应承担所有与准备和参加投标有关的费用。不论投标的结果如何，采购人和采购代理机构均无义务和责任承担这些费用。</w:t>
      </w:r>
    </w:p>
    <w:p w14:paraId="088C1CA5">
      <w:pPr>
        <w:numPr>
          <w:ilvl w:val="0"/>
          <w:numId w:val="6"/>
        </w:numPr>
        <w:spacing w:line="276" w:lineRule="auto"/>
        <w:ind w:left="476" w:hanging="476"/>
        <w:rPr>
          <w:rFonts w:ascii="宋体" w:hAnsi="宋体"/>
          <w:color w:val="auto"/>
          <w:szCs w:val="21"/>
          <w:highlight w:val="none"/>
          <w:lang w:val="zh-CN"/>
        </w:rPr>
      </w:pPr>
      <w:r>
        <w:rPr>
          <w:rFonts w:hint="eastAsia" w:ascii="宋体" w:hAnsi="宋体" w:cs="宋体"/>
          <w:color w:val="auto"/>
          <w:szCs w:val="21"/>
          <w:highlight w:val="none"/>
        </w:rPr>
        <w:t>中标人须在收到中标通知书时向采购代理机构支付代理服务费。服务费支付标准和方法详见《投标人须知前附表》。</w:t>
      </w:r>
    </w:p>
    <w:p w14:paraId="5FDA9E69">
      <w:pPr>
        <w:numPr>
          <w:ilvl w:val="0"/>
          <w:numId w:val="6"/>
        </w:numPr>
        <w:spacing w:line="276" w:lineRule="auto"/>
        <w:ind w:left="476" w:hanging="476"/>
        <w:rPr>
          <w:rFonts w:ascii="宋体" w:hAnsi="宋体"/>
          <w:color w:val="auto"/>
          <w:szCs w:val="21"/>
          <w:highlight w:val="none"/>
          <w:lang w:val="zh-CN"/>
        </w:rPr>
      </w:pPr>
      <w:r>
        <w:rPr>
          <w:rFonts w:hint="eastAsia" w:ascii="宋体" w:hAnsi="宋体" w:cs="宋体"/>
          <w:color w:val="auto"/>
          <w:szCs w:val="21"/>
          <w:highlight w:val="none"/>
        </w:rPr>
        <w:t>原国家计委计价格[2002]1980号规定收费标准：</w:t>
      </w:r>
    </w:p>
    <w:tbl>
      <w:tblPr>
        <w:tblStyle w:val="21"/>
        <w:tblW w:w="8386" w:type="dxa"/>
        <w:jc w:val="center"/>
        <w:tblLayout w:type="fixed"/>
        <w:tblCellMar>
          <w:top w:w="0" w:type="dxa"/>
          <w:left w:w="0" w:type="dxa"/>
          <w:bottom w:w="0" w:type="dxa"/>
          <w:right w:w="0" w:type="dxa"/>
        </w:tblCellMar>
      </w:tblPr>
      <w:tblGrid>
        <w:gridCol w:w="2402"/>
        <w:gridCol w:w="2024"/>
        <w:gridCol w:w="1800"/>
        <w:gridCol w:w="2160"/>
      </w:tblGrid>
      <w:tr w14:paraId="4D3D2E66">
        <w:tblPrEx>
          <w:tblCellMar>
            <w:top w:w="0" w:type="dxa"/>
            <w:left w:w="0" w:type="dxa"/>
            <w:bottom w:w="0" w:type="dxa"/>
            <w:right w:w="0" w:type="dxa"/>
          </w:tblCellMar>
        </w:tblPrEx>
        <w:trPr>
          <w:trHeight w:val="340" w:hRule="atLeast"/>
          <w:tblHeader/>
          <w:jc w:val="center"/>
        </w:trPr>
        <w:tc>
          <w:tcPr>
            <w:tcW w:w="2402" w:type="dxa"/>
            <w:tcBorders>
              <w:top w:val="single" w:color="auto" w:sz="4" w:space="0"/>
              <w:left w:val="single" w:color="auto" w:sz="8" w:space="0"/>
              <w:bottom w:val="single" w:color="auto" w:sz="8" w:space="0"/>
              <w:right w:val="single" w:color="auto" w:sz="8" w:space="0"/>
            </w:tcBorders>
            <w:vAlign w:val="center"/>
          </w:tcPr>
          <w:p w14:paraId="44182D78">
            <w:pPr>
              <w:spacing w:line="276" w:lineRule="auto"/>
              <w:jc w:val="center"/>
              <w:rPr>
                <w:rFonts w:ascii="宋体" w:hAnsi="宋体" w:cs="宋体"/>
                <w:b/>
                <w:color w:val="auto"/>
                <w:szCs w:val="21"/>
                <w:highlight w:val="none"/>
              </w:rPr>
            </w:pPr>
            <w:r>
              <w:rPr>
                <w:rFonts w:hint="eastAsia" w:ascii="宋体" w:hAnsi="宋体" w:cs="宋体"/>
                <w:b/>
                <w:color w:val="auto"/>
                <w:szCs w:val="21"/>
                <w:highlight w:val="none"/>
              </w:rPr>
              <w:t>中标金额（万元）</w:t>
            </w:r>
          </w:p>
        </w:tc>
        <w:tc>
          <w:tcPr>
            <w:tcW w:w="2024" w:type="dxa"/>
            <w:tcBorders>
              <w:top w:val="single" w:color="auto" w:sz="8" w:space="0"/>
              <w:left w:val="single" w:color="auto" w:sz="8" w:space="0"/>
              <w:bottom w:val="single" w:color="auto" w:sz="8" w:space="0"/>
              <w:right w:val="single" w:color="auto" w:sz="8" w:space="0"/>
            </w:tcBorders>
            <w:vAlign w:val="center"/>
          </w:tcPr>
          <w:p w14:paraId="2337ABEF">
            <w:pPr>
              <w:spacing w:line="276"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货物</w:t>
            </w:r>
          </w:p>
        </w:tc>
        <w:tc>
          <w:tcPr>
            <w:tcW w:w="1800" w:type="dxa"/>
            <w:tcBorders>
              <w:top w:val="single" w:color="auto" w:sz="8" w:space="0"/>
              <w:left w:val="single" w:color="auto" w:sz="8" w:space="0"/>
              <w:bottom w:val="single" w:color="auto" w:sz="8" w:space="0"/>
              <w:right w:val="single" w:color="auto" w:sz="8" w:space="0"/>
            </w:tcBorders>
            <w:vAlign w:val="center"/>
          </w:tcPr>
          <w:p w14:paraId="0121E6F9">
            <w:pPr>
              <w:spacing w:line="276"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服务</w:t>
            </w:r>
          </w:p>
        </w:tc>
        <w:tc>
          <w:tcPr>
            <w:tcW w:w="2160" w:type="dxa"/>
            <w:tcBorders>
              <w:top w:val="single" w:color="auto" w:sz="8" w:space="0"/>
              <w:left w:val="single" w:color="auto" w:sz="8" w:space="0"/>
              <w:bottom w:val="single" w:color="auto" w:sz="8" w:space="0"/>
              <w:right w:val="single" w:color="auto" w:sz="8" w:space="0"/>
            </w:tcBorders>
            <w:vAlign w:val="center"/>
          </w:tcPr>
          <w:p w14:paraId="17A4B9FF">
            <w:pPr>
              <w:spacing w:line="276"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工程</w:t>
            </w:r>
          </w:p>
        </w:tc>
      </w:tr>
      <w:tr w14:paraId="69233609">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1BBFA391">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100以下</w:t>
            </w:r>
          </w:p>
        </w:tc>
        <w:tc>
          <w:tcPr>
            <w:tcW w:w="2024" w:type="dxa"/>
            <w:tcBorders>
              <w:top w:val="single" w:color="auto" w:sz="8" w:space="0"/>
              <w:left w:val="single" w:color="auto" w:sz="8" w:space="0"/>
              <w:bottom w:val="single" w:color="auto" w:sz="8" w:space="0"/>
              <w:right w:val="single" w:color="auto" w:sz="8" w:space="0"/>
            </w:tcBorders>
            <w:vAlign w:val="center"/>
          </w:tcPr>
          <w:p w14:paraId="27B66986">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1.5%</w:t>
            </w:r>
          </w:p>
        </w:tc>
        <w:tc>
          <w:tcPr>
            <w:tcW w:w="1800" w:type="dxa"/>
            <w:tcBorders>
              <w:top w:val="single" w:color="auto" w:sz="8" w:space="0"/>
              <w:left w:val="single" w:color="auto" w:sz="8" w:space="0"/>
              <w:bottom w:val="single" w:color="auto" w:sz="8" w:space="0"/>
              <w:right w:val="single" w:color="auto" w:sz="8" w:space="0"/>
            </w:tcBorders>
            <w:vAlign w:val="center"/>
          </w:tcPr>
          <w:p w14:paraId="68523443">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1.5%</w:t>
            </w:r>
          </w:p>
        </w:tc>
        <w:tc>
          <w:tcPr>
            <w:tcW w:w="2160" w:type="dxa"/>
            <w:tcBorders>
              <w:top w:val="single" w:color="auto" w:sz="8" w:space="0"/>
              <w:left w:val="single" w:color="auto" w:sz="8" w:space="0"/>
              <w:bottom w:val="single" w:color="auto" w:sz="8" w:space="0"/>
              <w:right w:val="single" w:color="auto" w:sz="8" w:space="0"/>
            </w:tcBorders>
            <w:vAlign w:val="center"/>
          </w:tcPr>
          <w:p w14:paraId="3605E24F">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1.0%</w:t>
            </w:r>
          </w:p>
        </w:tc>
      </w:tr>
      <w:tr w14:paraId="368AFC84">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00BEBBC8">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lOO-500</w:t>
            </w:r>
          </w:p>
        </w:tc>
        <w:tc>
          <w:tcPr>
            <w:tcW w:w="2024" w:type="dxa"/>
            <w:tcBorders>
              <w:top w:val="single" w:color="auto" w:sz="8" w:space="0"/>
              <w:left w:val="single" w:color="auto" w:sz="8" w:space="0"/>
              <w:bottom w:val="single" w:color="auto" w:sz="8" w:space="0"/>
              <w:right w:val="single" w:color="auto" w:sz="8" w:space="0"/>
            </w:tcBorders>
            <w:vAlign w:val="center"/>
          </w:tcPr>
          <w:p w14:paraId="21F9E157">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1.1%</w:t>
            </w:r>
          </w:p>
        </w:tc>
        <w:tc>
          <w:tcPr>
            <w:tcW w:w="1800" w:type="dxa"/>
            <w:tcBorders>
              <w:top w:val="single" w:color="auto" w:sz="8" w:space="0"/>
              <w:left w:val="single" w:color="auto" w:sz="8" w:space="0"/>
              <w:bottom w:val="single" w:color="auto" w:sz="8" w:space="0"/>
              <w:right w:val="single" w:color="auto" w:sz="8" w:space="0"/>
            </w:tcBorders>
            <w:vAlign w:val="center"/>
          </w:tcPr>
          <w:p w14:paraId="5D578AE2">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0.8%</w:t>
            </w:r>
          </w:p>
        </w:tc>
        <w:tc>
          <w:tcPr>
            <w:tcW w:w="2160" w:type="dxa"/>
            <w:tcBorders>
              <w:top w:val="single" w:color="auto" w:sz="8" w:space="0"/>
              <w:left w:val="single" w:color="auto" w:sz="8" w:space="0"/>
              <w:bottom w:val="single" w:color="auto" w:sz="8" w:space="0"/>
              <w:right w:val="single" w:color="auto" w:sz="8" w:space="0"/>
            </w:tcBorders>
            <w:vAlign w:val="center"/>
          </w:tcPr>
          <w:p w14:paraId="2EF9611F">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0.7%</w:t>
            </w:r>
          </w:p>
        </w:tc>
      </w:tr>
      <w:tr w14:paraId="7F2C0B13">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405725A7">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500-1000</w:t>
            </w:r>
          </w:p>
        </w:tc>
        <w:tc>
          <w:tcPr>
            <w:tcW w:w="2024" w:type="dxa"/>
            <w:tcBorders>
              <w:top w:val="single" w:color="auto" w:sz="8" w:space="0"/>
              <w:left w:val="single" w:color="auto" w:sz="8" w:space="0"/>
              <w:bottom w:val="single" w:color="auto" w:sz="8" w:space="0"/>
              <w:right w:val="single" w:color="auto" w:sz="8" w:space="0"/>
            </w:tcBorders>
            <w:vAlign w:val="center"/>
          </w:tcPr>
          <w:p w14:paraId="7EC120C6">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0.8%</w:t>
            </w:r>
          </w:p>
        </w:tc>
        <w:tc>
          <w:tcPr>
            <w:tcW w:w="1800" w:type="dxa"/>
            <w:tcBorders>
              <w:top w:val="single" w:color="auto" w:sz="8" w:space="0"/>
              <w:left w:val="single" w:color="auto" w:sz="8" w:space="0"/>
              <w:bottom w:val="single" w:color="auto" w:sz="8" w:space="0"/>
              <w:right w:val="single" w:color="auto" w:sz="8" w:space="0"/>
            </w:tcBorders>
            <w:vAlign w:val="center"/>
          </w:tcPr>
          <w:p w14:paraId="421278D1">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0.45%</w:t>
            </w:r>
          </w:p>
        </w:tc>
        <w:tc>
          <w:tcPr>
            <w:tcW w:w="2160" w:type="dxa"/>
            <w:tcBorders>
              <w:top w:val="single" w:color="auto" w:sz="8" w:space="0"/>
              <w:left w:val="single" w:color="auto" w:sz="8" w:space="0"/>
              <w:bottom w:val="single" w:color="auto" w:sz="8" w:space="0"/>
              <w:right w:val="single" w:color="auto" w:sz="8" w:space="0"/>
            </w:tcBorders>
            <w:vAlign w:val="center"/>
          </w:tcPr>
          <w:p w14:paraId="59441287">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0.55%</w:t>
            </w:r>
          </w:p>
        </w:tc>
      </w:tr>
      <w:tr w14:paraId="77A42157">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18DC798F">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l000—5000</w:t>
            </w:r>
          </w:p>
        </w:tc>
        <w:tc>
          <w:tcPr>
            <w:tcW w:w="2024" w:type="dxa"/>
            <w:tcBorders>
              <w:top w:val="single" w:color="auto" w:sz="8" w:space="0"/>
              <w:left w:val="single" w:color="auto" w:sz="8" w:space="0"/>
              <w:bottom w:val="single" w:color="auto" w:sz="8" w:space="0"/>
              <w:right w:val="single" w:color="auto" w:sz="8" w:space="0"/>
            </w:tcBorders>
            <w:vAlign w:val="center"/>
          </w:tcPr>
          <w:p w14:paraId="7E206FFF">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0.5%</w:t>
            </w:r>
          </w:p>
        </w:tc>
        <w:tc>
          <w:tcPr>
            <w:tcW w:w="1800" w:type="dxa"/>
            <w:tcBorders>
              <w:top w:val="single" w:color="auto" w:sz="8" w:space="0"/>
              <w:left w:val="single" w:color="auto" w:sz="8" w:space="0"/>
              <w:bottom w:val="single" w:color="auto" w:sz="8" w:space="0"/>
              <w:right w:val="single" w:color="auto" w:sz="8" w:space="0"/>
            </w:tcBorders>
            <w:vAlign w:val="center"/>
          </w:tcPr>
          <w:p w14:paraId="651D28C9">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0.25%</w:t>
            </w:r>
          </w:p>
        </w:tc>
        <w:tc>
          <w:tcPr>
            <w:tcW w:w="2160" w:type="dxa"/>
            <w:tcBorders>
              <w:top w:val="single" w:color="auto" w:sz="8" w:space="0"/>
              <w:left w:val="single" w:color="auto" w:sz="8" w:space="0"/>
              <w:bottom w:val="single" w:color="auto" w:sz="8" w:space="0"/>
              <w:right w:val="single" w:color="auto" w:sz="8" w:space="0"/>
            </w:tcBorders>
            <w:vAlign w:val="center"/>
          </w:tcPr>
          <w:p w14:paraId="253DA12A">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0.35%</w:t>
            </w:r>
          </w:p>
        </w:tc>
      </w:tr>
      <w:tr w14:paraId="63C0D673">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7B9861DA">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5000-lOOOO</w:t>
            </w:r>
          </w:p>
        </w:tc>
        <w:tc>
          <w:tcPr>
            <w:tcW w:w="2024" w:type="dxa"/>
            <w:tcBorders>
              <w:top w:val="single" w:color="auto" w:sz="8" w:space="0"/>
              <w:left w:val="single" w:color="auto" w:sz="8" w:space="0"/>
              <w:bottom w:val="single" w:color="auto" w:sz="8" w:space="0"/>
              <w:right w:val="single" w:color="auto" w:sz="8" w:space="0"/>
            </w:tcBorders>
            <w:vAlign w:val="center"/>
          </w:tcPr>
          <w:p w14:paraId="7A594AAB">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0.25%</w:t>
            </w:r>
          </w:p>
        </w:tc>
        <w:tc>
          <w:tcPr>
            <w:tcW w:w="1800" w:type="dxa"/>
            <w:tcBorders>
              <w:top w:val="single" w:color="auto" w:sz="8" w:space="0"/>
              <w:left w:val="single" w:color="auto" w:sz="8" w:space="0"/>
              <w:bottom w:val="single" w:color="auto" w:sz="8" w:space="0"/>
              <w:right w:val="single" w:color="auto" w:sz="8" w:space="0"/>
            </w:tcBorders>
            <w:vAlign w:val="center"/>
          </w:tcPr>
          <w:p w14:paraId="1FDB3632">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0.1%</w:t>
            </w:r>
          </w:p>
        </w:tc>
        <w:tc>
          <w:tcPr>
            <w:tcW w:w="2160" w:type="dxa"/>
            <w:tcBorders>
              <w:top w:val="single" w:color="auto" w:sz="8" w:space="0"/>
              <w:left w:val="single" w:color="auto" w:sz="8" w:space="0"/>
              <w:bottom w:val="single" w:color="auto" w:sz="8" w:space="0"/>
              <w:right w:val="single" w:color="auto" w:sz="8" w:space="0"/>
            </w:tcBorders>
            <w:vAlign w:val="center"/>
          </w:tcPr>
          <w:p w14:paraId="38C98DB8">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0.2%</w:t>
            </w:r>
          </w:p>
        </w:tc>
      </w:tr>
      <w:tr w14:paraId="069B6857">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74DDDBED">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lOOOO-100000</w:t>
            </w:r>
          </w:p>
        </w:tc>
        <w:tc>
          <w:tcPr>
            <w:tcW w:w="2024" w:type="dxa"/>
            <w:tcBorders>
              <w:top w:val="single" w:color="auto" w:sz="8" w:space="0"/>
              <w:left w:val="single" w:color="auto" w:sz="8" w:space="0"/>
              <w:bottom w:val="single" w:color="auto" w:sz="8" w:space="0"/>
              <w:right w:val="single" w:color="auto" w:sz="8" w:space="0"/>
            </w:tcBorders>
            <w:vAlign w:val="center"/>
          </w:tcPr>
          <w:p w14:paraId="126D7C56">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0.05%</w:t>
            </w:r>
          </w:p>
        </w:tc>
        <w:tc>
          <w:tcPr>
            <w:tcW w:w="1800" w:type="dxa"/>
            <w:tcBorders>
              <w:top w:val="single" w:color="auto" w:sz="8" w:space="0"/>
              <w:left w:val="single" w:color="auto" w:sz="8" w:space="0"/>
              <w:bottom w:val="single" w:color="auto" w:sz="8" w:space="0"/>
              <w:right w:val="single" w:color="auto" w:sz="8" w:space="0"/>
            </w:tcBorders>
            <w:vAlign w:val="center"/>
          </w:tcPr>
          <w:p w14:paraId="0649AE28">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0.05%</w:t>
            </w:r>
          </w:p>
        </w:tc>
        <w:tc>
          <w:tcPr>
            <w:tcW w:w="2160" w:type="dxa"/>
            <w:tcBorders>
              <w:top w:val="single" w:color="auto" w:sz="8" w:space="0"/>
              <w:left w:val="single" w:color="auto" w:sz="8" w:space="0"/>
              <w:bottom w:val="single" w:color="auto" w:sz="8" w:space="0"/>
              <w:right w:val="single" w:color="auto" w:sz="8" w:space="0"/>
            </w:tcBorders>
            <w:vAlign w:val="center"/>
          </w:tcPr>
          <w:p w14:paraId="3E0EC716">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0.05%</w:t>
            </w:r>
          </w:p>
        </w:tc>
      </w:tr>
      <w:tr w14:paraId="72BE1362">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78FD87EA">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100000以上</w:t>
            </w:r>
          </w:p>
        </w:tc>
        <w:tc>
          <w:tcPr>
            <w:tcW w:w="2024" w:type="dxa"/>
            <w:tcBorders>
              <w:top w:val="single" w:color="auto" w:sz="8" w:space="0"/>
              <w:left w:val="single" w:color="auto" w:sz="8" w:space="0"/>
              <w:bottom w:val="single" w:color="auto" w:sz="8" w:space="0"/>
              <w:right w:val="single" w:color="auto" w:sz="8" w:space="0"/>
            </w:tcBorders>
            <w:vAlign w:val="center"/>
          </w:tcPr>
          <w:p w14:paraId="5AD67B19">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0.01%</w:t>
            </w:r>
          </w:p>
        </w:tc>
        <w:tc>
          <w:tcPr>
            <w:tcW w:w="1800" w:type="dxa"/>
            <w:tcBorders>
              <w:top w:val="single" w:color="auto" w:sz="8" w:space="0"/>
              <w:left w:val="single" w:color="auto" w:sz="8" w:space="0"/>
              <w:bottom w:val="single" w:color="auto" w:sz="8" w:space="0"/>
              <w:right w:val="single" w:color="auto" w:sz="8" w:space="0"/>
            </w:tcBorders>
            <w:vAlign w:val="center"/>
          </w:tcPr>
          <w:p w14:paraId="14BAD08D">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0.01%</w:t>
            </w:r>
          </w:p>
        </w:tc>
        <w:tc>
          <w:tcPr>
            <w:tcW w:w="2160" w:type="dxa"/>
            <w:tcBorders>
              <w:top w:val="single" w:color="auto" w:sz="8" w:space="0"/>
              <w:left w:val="single" w:color="auto" w:sz="8" w:space="0"/>
              <w:bottom w:val="single" w:color="auto" w:sz="8" w:space="0"/>
              <w:right w:val="single" w:color="auto" w:sz="8" w:space="0"/>
            </w:tcBorders>
            <w:vAlign w:val="center"/>
          </w:tcPr>
          <w:p w14:paraId="014695E5">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0.01%</w:t>
            </w:r>
          </w:p>
        </w:tc>
      </w:tr>
    </w:tbl>
    <w:p w14:paraId="65827A14">
      <w:pPr>
        <w:snapToGrid w:val="0"/>
        <w:spacing w:line="276"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注：代理服务收费按差额定率累进法计算。例如：某</w:t>
      </w:r>
      <w:r>
        <w:rPr>
          <w:rFonts w:hint="eastAsia" w:ascii="宋体" w:hAnsi="宋体" w:cs="Arial"/>
          <w:b/>
          <w:color w:val="auto"/>
          <w:szCs w:val="21"/>
          <w:highlight w:val="none"/>
        </w:rPr>
        <w:t>货物</w:t>
      </w:r>
      <w:r>
        <w:rPr>
          <w:rFonts w:hint="eastAsia" w:ascii="宋体" w:hAnsi="宋体" w:cs="Arial"/>
          <w:color w:val="auto"/>
          <w:szCs w:val="21"/>
          <w:highlight w:val="none"/>
        </w:rPr>
        <w:t>招标项目中标金额为600万元，计算代理服务收费金额如下：</w:t>
      </w:r>
    </w:p>
    <w:p w14:paraId="26A97921">
      <w:pPr>
        <w:snapToGrid w:val="0"/>
        <w:spacing w:line="276"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100万元×1.5%=1.5万元</w:t>
      </w:r>
    </w:p>
    <w:p w14:paraId="0646C875">
      <w:pPr>
        <w:snapToGrid w:val="0"/>
        <w:spacing w:line="276"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(500-100)万元×1.1%=4.4万元</w:t>
      </w:r>
    </w:p>
    <w:p w14:paraId="4CAA60AC">
      <w:pPr>
        <w:snapToGrid w:val="0"/>
        <w:spacing w:line="276"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(600-500)万元×0.8%=0.8万元</w:t>
      </w:r>
    </w:p>
    <w:p w14:paraId="48002E1F">
      <w:pPr>
        <w:spacing w:line="276" w:lineRule="auto"/>
        <w:ind w:left="476"/>
        <w:rPr>
          <w:rFonts w:ascii="宋体" w:hAnsi="宋体"/>
          <w:color w:val="auto"/>
          <w:szCs w:val="21"/>
          <w:highlight w:val="none"/>
          <w:lang w:val="zh-CN"/>
        </w:rPr>
      </w:pPr>
      <w:r>
        <w:rPr>
          <w:rFonts w:hint="eastAsia" w:ascii="宋体" w:hAnsi="宋体" w:cs="Arial"/>
          <w:color w:val="auto"/>
          <w:szCs w:val="21"/>
          <w:highlight w:val="none"/>
        </w:rPr>
        <w:t>合计收费=1.5+4.4+0.8=6.7万元</w:t>
      </w:r>
    </w:p>
    <w:p w14:paraId="7505E134">
      <w:pPr>
        <w:keepNext/>
        <w:keepLines/>
        <w:numPr>
          <w:ilvl w:val="0"/>
          <w:numId w:val="1"/>
        </w:numPr>
        <w:spacing w:line="276" w:lineRule="auto"/>
        <w:ind w:left="426" w:hanging="426"/>
        <w:jc w:val="left"/>
        <w:outlineLvl w:val="1"/>
        <w:rPr>
          <w:rFonts w:ascii="宋体" w:hAnsi="宋体"/>
          <w:b/>
          <w:color w:val="auto"/>
          <w:kern w:val="0"/>
          <w:szCs w:val="21"/>
          <w:highlight w:val="none"/>
          <w:lang w:val="zh-CN"/>
        </w:rPr>
      </w:pPr>
      <w:bookmarkStart w:id="26" w:name="_Toc714"/>
      <w:bookmarkStart w:id="27" w:name="_Toc97814999"/>
      <w:r>
        <w:rPr>
          <w:rFonts w:hint="eastAsia" w:ascii="宋体" w:hAnsi="宋体"/>
          <w:b/>
          <w:color w:val="auto"/>
          <w:kern w:val="0"/>
          <w:szCs w:val="21"/>
          <w:highlight w:val="none"/>
          <w:lang w:val="zh-CN"/>
        </w:rPr>
        <w:t>招标文件</w:t>
      </w:r>
      <w:bookmarkEnd w:id="26"/>
      <w:bookmarkEnd w:id="27"/>
    </w:p>
    <w:p w14:paraId="4E10D19B">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招标文件的构成</w:t>
      </w:r>
    </w:p>
    <w:p w14:paraId="04529A09">
      <w:pPr>
        <w:tabs>
          <w:tab w:val="left" w:pos="476"/>
        </w:tabs>
        <w:spacing w:line="276" w:lineRule="auto"/>
        <w:ind w:left="476"/>
        <w:rPr>
          <w:rFonts w:ascii="宋体" w:hAnsi="宋体"/>
          <w:color w:val="auto"/>
          <w:szCs w:val="21"/>
          <w:highlight w:val="none"/>
          <w:lang w:val="zh-CN"/>
        </w:rPr>
      </w:pPr>
      <w:r>
        <w:rPr>
          <w:rFonts w:hint="eastAsia" w:ascii="宋体" w:hAnsi="宋体"/>
          <w:color w:val="auto"/>
          <w:szCs w:val="21"/>
          <w:highlight w:val="none"/>
          <w:lang w:val="zh-CN"/>
        </w:rPr>
        <w:t>第一章 招标公告（投标邀请书）</w:t>
      </w:r>
    </w:p>
    <w:p w14:paraId="7C51E5BB">
      <w:pPr>
        <w:tabs>
          <w:tab w:val="left" w:pos="476"/>
        </w:tabs>
        <w:spacing w:line="276" w:lineRule="auto"/>
        <w:ind w:left="476"/>
        <w:rPr>
          <w:rFonts w:ascii="宋体" w:hAnsi="宋体"/>
          <w:color w:val="auto"/>
          <w:szCs w:val="21"/>
          <w:highlight w:val="none"/>
          <w:lang w:val="zh-CN"/>
        </w:rPr>
      </w:pPr>
      <w:r>
        <w:rPr>
          <w:rFonts w:hint="eastAsia" w:ascii="宋体" w:hAnsi="宋体"/>
          <w:color w:val="auto"/>
          <w:szCs w:val="21"/>
          <w:highlight w:val="none"/>
          <w:lang w:val="zh-CN"/>
        </w:rPr>
        <w:t>第二章 投标人须知</w:t>
      </w:r>
    </w:p>
    <w:p w14:paraId="73507FA2">
      <w:pPr>
        <w:tabs>
          <w:tab w:val="left" w:pos="476"/>
        </w:tabs>
        <w:spacing w:line="276" w:lineRule="auto"/>
        <w:ind w:left="476"/>
        <w:rPr>
          <w:rFonts w:ascii="宋体" w:hAnsi="宋体"/>
          <w:color w:val="auto"/>
          <w:szCs w:val="21"/>
          <w:highlight w:val="none"/>
          <w:lang w:val="zh-CN"/>
        </w:rPr>
      </w:pPr>
      <w:r>
        <w:rPr>
          <w:rFonts w:hint="eastAsia" w:ascii="宋体" w:hAnsi="宋体"/>
          <w:color w:val="auto"/>
          <w:szCs w:val="21"/>
          <w:highlight w:val="none"/>
          <w:lang w:val="zh-CN"/>
        </w:rPr>
        <w:t>第三章 技术、服务及商务要求</w:t>
      </w:r>
    </w:p>
    <w:p w14:paraId="2E92AF18">
      <w:pPr>
        <w:tabs>
          <w:tab w:val="left" w:pos="476"/>
        </w:tabs>
        <w:spacing w:line="276" w:lineRule="auto"/>
        <w:ind w:left="476"/>
        <w:rPr>
          <w:rFonts w:ascii="宋体" w:hAnsi="宋体"/>
          <w:color w:val="auto"/>
          <w:szCs w:val="21"/>
          <w:highlight w:val="none"/>
          <w:lang w:val="zh-CN"/>
        </w:rPr>
      </w:pPr>
      <w:r>
        <w:rPr>
          <w:rFonts w:hint="eastAsia" w:ascii="宋体" w:hAnsi="宋体"/>
          <w:color w:val="auto"/>
          <w:szCs w:val="21"/>
          <w:highlight w:val="none"/>
          <w:lang w:val="zh-CN"/>
        </w:rPr>
        <w:t>第四章 资格审查方法及标准</w:t>
      </w:r>
    </w:p>
    <w:p w14:paraId="1637AB58">
      <w:pPr>
        <w:tabs>
          <w:tab w:val="left" w:pos="476"/>
        </w:tabs>
        <w:spacing w:line="276" w:lineRule="auto"/>
        <w:ind w:left="476"/>
        <w:rPr>
          <w:rFonts w:ascii="宋体" w:hAnsi="宋体"/>
          <w:color w:val="auto"/>
          <w:szCs w:val="21"/>
          <w:highlight w:val="none"/>
          <w:lang w:val="zh-CN"/>
        </w:rPr>
      </w:pPr>
      <w:r>
        <w:rPr>
          <w:rFonts w:hint="eastAsia" w:ascii="宋体" w:hAnsi="宋体"/>
          <w:color w:val="auto"/>
          <w:szCs w:val="21"/>
          <w:highlight w:val="none"/>
          <w:lang w:val="zh-CN"/>
        </w:rPr>
        <w:t>第五章 评标方法、程序及标准</w:t>
      </w:r>
    </w:p>
    <w:p w14:paraId="52DD4B03">
      <w:pPr>
        <w:tabs>
          <w:tab w:val="left" w:pos="476"/>
        </w:tabs>
        <w:spacing w:line="276" w:lineRule="auto"/>
        <w:ind w:left="476"/>
        <w:rPr>
          <w:rFonts w:ascii="宋体" w:hAnsi="宋体"/>
          <w:color w:val="auto"/>
          <w:szCs w:val="21"/>
          <w:highlight w:val="none"/>
          <w:lang w:val="zh-CN"/>
        </w:rPr>
      </w:pPr>
      <w:r>
        <w:rPr>
          <w:rFonts w:hint="eastAsia" w:ascii="宋体" w:hAnsi="宋体"/>
          <w:color w:val="auto"/>
          <w:szCs w:val="21"/>
          <w:highlight w:val="none"/>
          <w:lang w:val="zh-CN"/>
        </w:rPr>
        <w:t>第六章 合同书格式</w:t>
      </w:r>
    </w:p>
    <w:p w14:paraId="3FF01081">
      <w:pPr>
        <w:tabs>
          <w:tab w:val="left" w:pos="476"/>
        </w:tabs>
        <w:spacing w:line="276" w:lineRule="auto"/>
        <w:ind w:left="476"/>
        <w:rPr>
          <w:rFonts w:ascii="宋体" w:hAnsi="宋体"/>
          <w:color w:val="auto"/>
          <w:szCs w:val="21"/>
          <w:highlight w:val="none"/>
          <w:lang w:val="zh-CN"/>
        </w:rPr>
      </w:pPr>
      <w:r>
        <w:rPr>
          <w:rFonts w:hint="eastAsia" w:ascii="宋体" w:hAnsi="宋体"/>
          <w:color w:val="auto"/>
          <w:szCs w:val="21"/>
          <w:highlight w:val="none"/>
          <w:lang w:val="zh-CN"/>
        </w:rPr>
        <w:t>第七章 投标文件格式</w:t>
      </w:r>
    </w:p>
    <w:p w14:paraId="13F70B98">
      <w:pPr>
        <w:tabs>
          <w:tab w:val="left" w:pos="476"/>
        </w:tabs>
        <w:spacing w:line="276" w:lineRule="auto"/>
        <w:ind w:left="476"/>
        <w:rPr>
          <w:rFonts w:ascii="宋体" w:hAnsi="宋体"/>
          <w:color w:val="auto"/>
          <w:szCs w:val="21"/>
          <w:highlight w:val="none"/>
          <w:lang w:val="zh-CN"/>
        </w:rPr>
      </w:pPr>
      <w:r>
        <w:rPr>
          <w:rFonts w:hint="eastAsia" w:ascii="宋体" w:hAnsi="宋体"/>
          <w:color w:val="auto"/>
          <w:szCs w:val="21"/>
          <w:highlight w:val="none"/>
          <w:lang w:val="zh-CN"/>
        </w:rPr>
        <w:t xml:space="preserve">其 </w:t>
      </w:r>
      <w:r>
        <w:rPr>
          <w:rFonts w:ascii="宋体" w:hAnsi="宋体"/>
          <w:color w:val="auto"/>
          <w:szCs w:val="21"/>
          <w:highlight w:val="none"/>
          <w:lang w:val="zh-CN"/>
        </w:rPr>
        <w:t xml:space="preserve"> </w:t>
      </w:r>
      <w:r>
        <w:rPr>
          <w:rFonts w:hint="eastAsia" w:ascii="宋体" w:hAnsi="宋体"/>
          <w:color w:val="auto"/>
          <w:szCs w:val="21"/>
          <w:highlight w:val="none"/>
          <w:lang w:val="zh-CN"/>
        </w:rPr>
        <w:t>他 在招标过程中由采购代理机构发出的澄清、修改和补充文件等</w:t>
      </w:r>
    </w:p>
    <w:p w14:paraId="2CF88086">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招标文件疑问的提交</w:t>
      </w:r>
    </w:p>
    <w:p w14:paraId="1E7A0B42">
      <w:pPr>
        <w:numPr>
          <w:ilvl w:val="0"/>
          <w:numId w:val="7"/>
        </w:numP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潜在投标人</w:t>
      </w:r>
      <w:r>
        <w:rPr>
          <w:rFonts w:hint="eastAsia" w:ascii="宋体" w:hAnsi="宋体"/>
          <w:color w:val="auto"/>
          <w:szCs w:val="21"/>
          <w:highlight w:val="none"/>
        </w:rPr>
        <w:t>获取招标文件后，应认真检查，如发现页数不全、附件缺失、印刷模糊等，应及时通知采购代理机构补全或更换，否则风险自负。</w:t>
      </w:r>
    </w:p>
    <w:p w14:paraId="0C3F115B">
      <w:pPr>
        <w:numPr>
          <w:ilvl w:val="0"/>
          <w:numId w:val="7"/>
        </w:numP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潜在投标人对招标文件有疑问的，可以向采购代理机构提出询问，或在6.3规定的时间前以书面形式向采购代理机构提交疑问函。</w:t>
      </w:r>
    </w:p>
    <w:p w14:paraId="5344AB29">
      <w:pPr>
        <w:numPr>
          <w:ilvl w:val="0"/>
          <w:numId w:val="7"/>
        </w:numPr>
        <w:spacing w:line="276" w:lineRule="auto"/>
        <w:ind w:left="476" w:hanging="476"/>
        <w:rPr>
          <w:rFonts w:ascii="宋体" w:hAnsi="宋体"/>
          <w:color w:val="auto"/>
          <w:szCs w:val="21"/>
          <w:highlight w:val="none"/>
          <w:lang w:val="zh-CN"/>
        </w:rPr>
      </w:pPr>
      <w:r>
        <w:rPr>
          <w:rFonts w:hint="eastAsia" w:ascii="宋体" w:hAnsi="宋体"/>
          <w:b/>
          <w:color w:val="auto"/>
          <w:szCs w:val="21"/>
          <w:highlight w:val="none"/>
          <w:lang w:val="zh-CN"/>
        </w:rPr>
        <w:t>潜在投标人在项目招标公告期限届满之日起7个工作日内未对招标文件提出疑问的，采购机构将视其认同招标文件，在规定的时间后就招标文件内容提出的询问将不予受理</w:t>
      </w:r>
      <w:r>
        <w:rPr>
          <w:rFonts w:hint="eastAsia" w:ascii="宋体" w:hAnsi="宋体"/>
          <w:color w:val="auto"/>
          <w:szCs w:val="21"/>
          <w:highlight w:val="none"/>
          <w:lang w:val="zh-CN"/>
        </w:rPr>
        <w:t>。</w:t>
      </w:r>
    </w:p>
    <w:p w14:paraId="632C3BBA">
      <w:pPr>
        <w:numPr>
          <w:ilvl w:val="0"/>
          <w:numId w:val="7"/>
        </w:numP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对潜在投标人提交的疑问，采购代理机构和采购人将以书面形式（或网上公告）给所有获取招标文件的潜在投标人予以答复（答复中不包括问题的来源）,采购代理机构和采购人认为必要时可召开答疑会，并将会议内容告知所有潜在投标人。</w:t>
      </w:r>
    </w:p>
    <w:p w14:paraId="63FAF8FA">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招标文件的澄清、修改</w:t>
      </w:r>
    </w:p>
    <w:p w14:paraId="5A6F1E66">
      <w:pPr>
        <w:numPr>
          <w:ilvl w:val="0"/>
          <w:numId w:val="8"/>
        </w:numPr>
        <w:spacing w:line="276" w:lineRule="auto"/>
        <w:ind w:left="476" w:hanging="476"/>
        <w:rPr>
          <w:rFonts w:ascii="宋体" w:hAnsi="宋体" w:cs="Helvetica"/>
          <w:color w:val="auto"/>
          <w:kern w:val="0"/>
          <w:szCs w:val="21"/>
          <w:highlight w:val="none"/>
          <w:lang w:val="zh-CN"/>
        </w:rPr>
      </w:pPr>
      <w:r>
        <w:rPr>
          <w:rFonts w:hint="eastAsia" w:ascii="宋体" w:hAnsi="宋体"/>
          <w:color w:val="auto"/>
          <w:szCs w:val="21"/>
          <w:highlight w:val="none"/>
          <w:lang w:val="zh-CN"/>
        </w:rPr>
        <w:t>采购人和采购代理机构可以对已发出的招标文件进行必要的澄清或者修改。</w:t>
      </w:r>
      <w:r>
        <w:rPr>
          <w:rFonts w:hint="eastAsia" w:ascii="宋体" w:hAnsi="宋体" w:cs="Helvetica"/>
          <w:color w:val="auto"/>
          <w:kern w:val="0"/>
          <w:szCs w:val="21"/>
          <w:highlight w:val="none"/>
          <w:lang w:val="zh-CN"/>
        </w:rPr>
        <w:t>澄清或者修改将在原公告发布媒体上发布。澄清或者修改的内容可能影响投标文件编制的，采购人和采购代理机构将在投标截止时间至少</w:t>
      </w:r>
      <w:r>
        <w:rPr>
          <w:rFonts w:hint="eastAsia" w:ascii="宋体" w:hAnsi="宋体"/>
          <w:color w:val="auto"/>
          <w:szCs w:val="21"/>
          <w:highlight w:val="none"/>
          <w:lang w:val="zh-CN"/>
        </w:rPr>
        <w:t>15</w:t>
      </w:r>
      <w:r>
        <w:rPr>
          <w:rFonts w:hint="eastAsia" w:ascii="宋体" w:hAnsi="宋体" w:cs="Helvetica"/>
          <w:color w:val="auto"/>
          <w:kern w:val="0"/>
          <w:szCs w:val="21"/>
          <w:highlight w:val="none"/>
          <w:lang w:val="zh-CN"/>
        </w:rPr>
        <w:t>日前，以书面形式通知所有获取招标文件的潜在投标人。</w:t>
      </w:r>
    </w:p>
    <w:p w14:paraId="6C34529C">
      <w:pPr>
        <w:numPr>
          <w:ilvl w:val="0"/>
          <w:numId w:val="8"/>
        </w:numP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为使潜在投标人有充足时间对招标文件的澄清或者修改的内容进行研究和响应，采购人和采购代理机构可适当顺延提交投标文件的截止时间，并以书面形式（或网上公告）通知所有领取招标文件的潜在投标人。</w:t>
      </w:r>
    </w:p>
    <w:p w14:paraId="6DD8859B">
      <w:pPr>
        <w:numPr>
          <w:ilvl w:val="0"/>
          <w:numId w:val="8"/>
        </w:numP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澄清或者修改的内容为招标文件的组成部分，并对潜在投标人具有约束力。潜在投标人在收到上述通知后，应立即以书面形式向采购代理机构确认收悉。</w:t>
      </w:r>
    </w:p>
    <w:p w14:paraId="176564E6">
      <w:pPr>
        <w:numPr>
          <w:ilvl w:val="0"/>
          <w:numId w:val="8"/>
        </w:numP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招标文件中如有描述歧义或前后不一致的地方，评标委员会有权按公平、合理的原则进行评判，对同一条款的评判标准适用于每个投标人。</w:t>
      </w:r>
    </w:p>
    <w:p w14:paraId="1EB04B71">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现场考察</w:t>
      </w:r>
    </w:p>
    <w:p w14:paraId="4CDC028E">
      <w:pPr>
        <w:numPr>
          <w:ilvl w:val="0"/>
          <w:numId w:val="9"/>
        </w:numP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采购人可以视项目的具体情况，在招标文件提供期限截止后，组织已获取招标文件的潜在投标人现场考察，潜在投标人可对项目现场及周围环境进行考察，以便获取有关编制投标文件和签署合同所涉及现场的资料。</w:t>
      </w:r>
    </w:p>
    <w:p w14:paraId="53F88ED5">
      <w:pPr>
        <w:numPr>
          <w:ilvl w:val="0"/>
          <w:numId w:val="9"/>
        </w:numP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采购人向潜在投标人提供有关现场的数据和资料，是采购人现有的能被潜在投标人利用的客观资料，采购人对潜在投标人依此作出的任何推论、理解和结论均不负责任。</w:t>
      </w:r>
    </w:p>
    <w:p w14:paraId="3786E8E8">
      <w:pPr>
        <w:numPr>
          <w:ilvl w:val="0"/>
          <w:numId w:val="9"/>
        </w:numP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经采购人允许，潜在投标人可进入项目现场进行考察，但潜在投标人不得因此使采购人承担有关责任和蒙受损失。潜在投标人应自行承担现场考察的全部费用、责任和风险。</w:t>
      </w:r>
    </w:p>
    <w:p w14:paraId="6FE92C02">
      <w:pPr>
        <w:keepNext/>
        <w:keepLines/>
        <w:numPr>
          <w:ilvl w:val="0"/>
          <w:numId w:val="1"/>
        </w:numPr>
        <w:spacing w:line="276" w:lineRule="auto"/>
        <w:ind w:left="426" w:hanging="426"/>
        <w:jc w:val="left"/>
        <w:outlineLvl w:val="1"/>
        <w:rPr>
          <w:rFonts w:ascii="宋体" w:hAnsi="宋体"/>
          <w:b/>
          <w:color w:val="auto"/>
          <w:kern w:val="0"/>
          <w:szCs w:val="21"/>
          <w:highlight w:val="none"/>
          <w:lang w:val="zh-CN"/>
        </w:rPr>
      </w:pPr>
      <w:bookmarkStart w:id="28" w:name="_Toc5545"/>
      <w:bookmarkStart w:id="29" w:name="_Toc272247696"/>
      <w:bookmarkStart w:id="30" w:name="_Toc278891593"/>
      <w:bookmarkStart w:id="31" w:name="_Toc97815000"/>
      <w:bookmarkStart w:id="32" w:name="_Toc494561940"/>
      <w:r>
        <w:rPr>
          <w:rFonts w:hint="eastAsia" w:ascii="宋体" w:hAnsi="宋体"/>
          <w:b/>
          <w:color w:val="auto"/>
          <w:kern w:val="0"/>
          <w:szCs w:val="21"/>
          <w:highlight w:val="none"/>
          <w:lang w:val="zh-CN"/>
        </w:rPr>
        <w:t>投标文件</w:t>
      </w:r>
      <w:bookmarkEnd w:id="28"/>
      <w:bookmarkEnd w:id="29"/>
      <w:bookmarkEnd w:id="30"/>
      <w:bookmarkEnd w:id="31"/>
      <w:bookmarkEnd w:id="32"/>
    </w:p>
    <w:p w14:paraId="6555EAAC">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投标的语言和计量单位</w:t>
      </w:r>
    </w:p>
    <w:p w14:paraId="195236CF">
      <w:pPr>
        <w:numPr>
          <w:ilvl w:val="0"/>
          <w:numId w:val="10"/>
        </w:numP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投标人提交的投标文件以及投标人与采购人或采购代理机构就有关投标的所有来往函电均应使用中文。投标人提交的相关证明文件、资料或文献可以用另一种语言，但相应内容应附有中文翻译本，在解释投标文件的相关内容时以中文翻译本为准。</w:t>
      </w:r>
    </w:p>
    <w:p w14:paraId="5445A6ED">
      <w:pPr>
        <w:numPr>
          <w:ilvl w:val="0"/>
          <w:numId w:val="10"/>
        </w:numPr>
        <w:spacing w:line="276" w:lineRule="auto"/>
        <w:ind w:left="476" w:hanging="476"/>
        <w:rPr>
          <w:rFonts w:ascii="宋体" w:hAnsi="宋体"/>
          <w:color w:val="auto"/>
          <w:szCs w:val="21"/>
          <w:highlight w:val="none"/>
          <w:lang w:val="zh-CN"/>
        </w:rPr>
      </w:pPr>
      <w:r>
        <w:rPr>
          <w:rFonts w:hint="eastAsia" w:ascii="宋体" w:hAnsi="宋体"/>
          <w:color w:val="auto"/>
          <w:szCs w:val="21"/>
          <w:highlight w:val="none"/>
          <w:lang w:val="zh-CN"/>
        </w:rPr>
        <w:t>除非招标文件</w:t>
      </w:r>
      <w:r>
        <w:rPr>
          <w:rFonts w:hint="eastAsia" w:ascii="宋体" w:hAnsi="宋体"/>
          <w:color w:val="auto"/>
          <w:szCs w:val="21"/>
          <w:highlight w:val="none"/>
        </w:rPr>
        <w:t>中另有规定，计量单位均采用中华人民共和国法定的计量单位。</w:t>
      </w:r>
    </w:p>
    <w:p w14:paraId="1BF9EABD">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投标文件的构成</w:t>
      </w:r>
    </w:p>
    <w:p w14:paraId="01B9AF38">
      <w:pPr>
        <w:numPr>
          <w:ilvl w:val="0"/>
          <w:numId w:val="11"/>
        </w:numPr>
        <w:spacing w:line="276" w:lineRule="auto"/>
        <w:ind w:left="567" w:hanging="567"/>
        <w:rPr>
          <w:rFonts w:ascii="宋体" w:hAnsi="宋体"/>
          <w:color w:val="auto"/>
          <w:szCs w:val="21"/>
          <w:highlight w:val="none"/>
          <w:lang w:val="zh-CN"/>
        </w:rPr>
      </w:pPr>
      <w:r>
        <w:rPr>
          <w:rFonts w:hint="eastAsia" w:ascii="宋体" w:hAnsi="宋体"/>
          <w:color w:val="auto"/>
          <w:szCs w:val="21"/>
          <w:highlight w:val="none"/>
          <w:lang w:val="zh-CN"/>
        </w:rPr>
        <w:t>投标人编制的投标文件应包括但不限于本文件第七章投标文件格式要求提供的内容。</w:t>
      </w:r>
    </w:p>
    <w:p w14:paraId="56301825">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投标文件编制</w:t>
      </w:r>
    </w:p>
    <w:p w14:paraId="6D679D3B">
      <w:pPr>
        <w:numPr>
          <w:ilvl w:val="0"/>
          <w:numId w:val="12"/>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如本项目包含多个标包，投标人拟参与多个标包投标的，应按每标包要求分别编制、装订和封装（“装订和封装”指招标文件规定接收投标文件的情况）投标文件，并注明对应包号。</w:t>
      </w:r>
    </w:p>
    <w:p w14:paraId="7F038BC4">
      <w:pPr>
        <w:numPr>
          <w:ilvl w:val="0"/>
          <w:numId w:val="12"/>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投标人应认真阅读并充分理解招标文件的全部内容（包括所有的澄清、修改和补充文件），并对招标文件提出的条件和要求作出明确响应</w:t>
      </w:r>
      <w:r>
        <w:rPr>
          <w:rFonts w:hint="eastAsia" w:ascii="宋体" w:hAnsi="宋体"/>
          <w:color w:val="auto"/>
          <w:szCs w:val="21"/>
          <w:highlight w:val="none"/>
        </w:rPr>
        <w:t>。如因投标人只填写和提供了招标文件要求的部分内容和附件，而给评审造成困难，其可能导致的结果和责任由投标人自行承担。</w:t>
      </w:r>
    </w:p>
    <w:p w14:paraId="010C4DEA">
      <w:pPr>
        <w:numPr>
          <w:ilvl w:val="0"/>
          <w:numId w:val="12"/>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投标人应按照招标文件第七章</w:t>
      </w:r>
      <w:r>
        <w:rPr>
          <w:rFonts w:hint="eastAsia" w:ascii="宋体" w:hAnsi="宋体"/>
          <w:color w:val="auto"/>
          <w:szCs w:val="21"/>
          <w:highlight w:val="none"/>
        </w:rPr>
        <w:t>“</w:t>
      </w:r>
      <w:r>
        <w:rPr>
          <w:rFonts w:hint="eastAsia" w:ascii="宋体" w:hAnsi="宋体"/>
          <w:color w:val="auto"/>
          <w:szCs w:val="21"/>
          <w:highlight w:val="none"/>
          <w:lang w:val="zh-CN"/>
        </w:rPr>
        <w:t>投标文件格式”的要求编制投标文件。投标人可根据实际情况对投标文件的格式及内容适当添加、调整，但应包含招标文件要求填写的内容，无相应内容可填的，应填写</w:t>
      </w:r>
      <w:r>
        <w:rPr>
          <w:rFonts w:hint="eastAsia" w:ascii="宋体" w:hAnsi="宋体"/>
          <w:b/>
          <w:color w:val="auto"/>
          <w:szCs w:val="21"/>
          <w:highlight w:val="none"/>
          <w:lang w:val="zh-CN"/>
        </w:rPr>
        <w:t>“无”、“不适用”、“未测试”、“没有相应指标”</w:t>
      </w:r>
      <w:r>
        <w:rPr>
          <w:rFonts w:hint="eastAsia" w:ascii="宋体" w:hAnsi="宋体"/>
          <w:color w:val="auto"/>
          <w:szCs w:val="21"/>
          <w:highlight w:val="none"/>
          <w:lang w:val="zh-CN"/>
        </w:rPr>
        <w:t>等文字。如招标文件未规定格式的，相关格式由投标人自定。</w:t>
      </w:r>
    </w:p>
    <w:p w14:paraId="4965BE37">
      <w:pPr>
        <w:numPr>
          <w:ilvl w:val="0"/>
          <w:numId w:val="12"/>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人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投标人应承担相应后果，并负责赔偿。投标人为执行本项目合同而提供的技术资料等归采购人所有。</w:t>
      </w:r>
    </w:p>
    <w:p w14:paraId="24ED483A">
      <w:pPr>
        <w:numPr>
          <w:ilvl w:val="0"/>
          <w:numId w:val="12"/>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rPr>
        <w:t>投标人应</w:t>
      </w:r>
      <w:r>
        <w:rPr>
          <w:rFonts w:hint="eastAsia" w:ascii="宋体" w:hAnsi="宋体"/>
          <w:color w:val="auto"/>
          <w:szCs w:val="21"/>
          <w:highlight w:val="none"/>
          <w:lang w:val="zh-CN"/>
        </w:rPr>
        <w:t>对所提交全部资料的真实性</w:t>
      </w:r>
      <w:r>
        <w:rPr>
          <w:rFonts w:hint="eastAsia" w:ascii="宋体" w:hAnsi="宋体"/>
          <w:color w:val="auto"/>
          <w:szCs w:val="21"/>
          <w:highlight w:val="none"/>
        </w:rPr>
        <w:t>、合法性承担法律责任，</w:t>
      </w:r>
      <w:r>
        <w:rPr>
          <w:rFonts w:hint="eastAsia" w:ascii="宋体" w:hAnsi="宋体"/>
          <w:color w:val="auto"/>
          <w:szCs w:val="21"/>
          <w:highlight w:val="none"/>
          <w:lang w:val="zh-CN"/>
        </w:rPr>
        <w:t>如有虚假，将依法承担相应责任。投标人应自觉接受采购人</w:t>
      </w:r>
      <w:r>
        <w:rPr>
          <w:rFonts w:ascii="宋体" w:hAnsi="宋体"/>
          <w:color w:val="auto"/>
          <w:szCs w:val="21"/>
          <w:highlight w:val="none"/>
          <w:lang w:val="zh-CN"/>
        </w:rPr>
        <w:t>或</w:t>
      </w:r>
      <w:r>
        <w:rPr>
          <w:rFonts w:hint="eastAsia" w:ascii="宋体" w:hAnsi="宋体"/>
          <w:color w:val="auto"/>
          <w:szCs w:val="21"/>
          <w:highlight w:val="none"/>
          <w:lang w:val="zh-CN"/>
        </w:rPr>
        <w:t>采购代理机构对其中任何资料进一步核实的要求。</w:t>
      </w:r>
    </w:p>
    <w:p w14:paraId="0383E7AD">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投标报价</w:t>
      </w:r>
    </w:p>
    <w:p w14:paraId="7F88D7F7">
      <w:pPr>
        <w:numPr>
          <w:ilvl w:val="0"/>
          <w:numId w:val="13"/>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除非招标文件另有要求，投标人所提供的货物（工程或服务）</w:t>
      </w:r>
      <w:r>
        <w:rPr>
          <w:rFonts w:hint="eastAsia" w:ascii="宋体" w:hAnsi="宋体" w:cs="宋体"/>
          <w:snapToGrid w:val="0"/>
          <w:color w:val="auto"/>
          <w:szCs w:val="21"/>
          <w:highlight w:val="none"/>
          <w:lang w:val="zh-CN"/>
        </w:rPr>
        <w:t>均应以人民币作为货币单位</w:t>
      </w:r>
      <w:r>
        <w:rPr>
          <w:rFonts w:hint="eastAsia" w:ascii="宋体" w:hAnsi="宋体"/>
          <w:color w:val="auto"/>
          <w:szCs w:val="21"/>
          <w:highlight w:val="none"/>
          <w:lang w:val="zh-CN"/>
        </w:rPr>
        <w:t>。</w:t>
      </w:r>
    </w:p>
    <w:p w14:paraId="392B9111">
      <w:pPr>
        <w:numPr>
          <w:ilvl w:val="0"/>
          <w:numId w:val="13"/>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招标文件允许以多种货币报价的，在进行价格评审时，以投标文件递交当日中国银行总行首次发布的外币对人民币的现汇卖出价进行报价货币对人民币的转换以计算评审价格。</w:t>
      </w:r>
    </w:p>
    <w:p w14:paraId="370DC70D">
      <w:pPr>
        <w:numPr>
          <w:ilvl w:val="0"/>
          <w:numId w:val="13"/>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本采购项目预算金额详见第一章招标公告（投标邀请书）。投标人的报价不得超过该预算金额，</w:t>
      </w:r>
      <w:r>
        <w:rPr>
          <w:rFonts w:hint="eastAsia" w:ascii="宋体" w:hAnsi="宋体"/>
          <w:b/>
          <w:color w:val="auto"/>
          <w:szCs w:val="21"/>
          <w:highlight w:val="none"/>
          <w:lang w:val="zh-CN"/>
        </w:rPr>
        <w:t>否则按无效投标处理</w:t>
      </w:r>
      <w:r>
        <w:rPr>
          <w:rFonts w:hint="eastAsia" w:ascii="宋体" w:hAnsi="宋体"/>
          <w:color w:val="auto"/>
          <w:szCs w:val="21"/>
          <w:highlight w:val="none"/>
          <w:lang w:val="zh-CN"/>
        </w:rPr>
        <w:t>。招标文件设置了最高限价的，投标人的报价不得超过最高限价，</w:t>
      </w:r>
      <w:r>
        <w:rPr>
          <w:rFonts w:hint="eastAsia" w:ascii="宋体" w:hAnsi="宋体"/>
          <w:b/>
          <w:bCs/>
          <w:color w:val="auto"/>
          <w:szCs w:val="21"/>
          <w:highlight w:val="none"/>
          <w:lang w:val="zh-CN"/>
        </w:rPr>
        <w:t>否则按无效投标处理。</w:t>
      </w:r>
      <w:r>
        <w:rPr>
          <w:rFonts w:hint="eastAsia" w:ascii="宋体" w:hAnsi="宋体"/>
          <w:color w:val="auto"/>
          <w:szCs w:val="21"/>
          <w:highlight w:val="none"/>
          <w:lang w:val="zh-CN"/>
        </w:rPr>
        <w:t>报价应包含完成招标文件采购需求全部内容的所有费用，所有根据招标文件或其它原因应由投标人支付的税款和其他应交纳的费用都应包括在报价中，但投标人不得以低于其成本的价格进行报价。</w:t>
      </w:r>
    </w:p>
    <w:p w14:paraId="474CA733">
      <w:pPr>
        <w:numPr>
          <w:ilvl w:val="0"/>
          <w:numId w:val="13"/>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投标人应对项目招标范围内的全部内容及合同条款进行报价，并按招标文件规定的格式报出。报价中不得包含招标文件要求以外的内容，否则在评审时不予核减。</w:t>
      </w:r>
      <w:r>
        <w:rPr>
          <w:rFonts w:hint="eastAsia" w:ascii="宋体" w:hAnsi="宋体"/>
          <w:b/>
          <w:color w:val="auto"/>
          <w:szCs w:val="21"/>
          <w:highlight w:val="none"/>
          <w:lang w:val="zh-CN"/>
        </w:rPr>
        <w:t>报价中不得缺、漏项或只投其中的部分内容，否则按照无效投标处理</w:t>
      </w:r>
      <w:r>
        <w:rPr>
          <w:rFonts w:hint="eastAsia" w:ascii="宋体" w:hAnsi="宋体"/>
          <w:color w:val="auto"/>
          <w:szCs w:val="21"/>
          <w:highlight w:val="none"/>
          <w:lang w:val="zh-CN"/>
        </w:rPr>
        <w:t>。</w:t>
      </w:r>
    </w:p>
    <w:p w14:paraId="06E6DBA4">
      <w:pPr>
        <w:numPr>
          <w:ilvl w:val="0"/>
          <w:numId w:val="13"/>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对于招标文件未列明，而投标人认为必需的其他费用也需列入其投标总价。在合同实施时，采购人将不予支付投标人没有列入的项目费用，并认为此项目的费用已包括在其投标总价中。</w:t>
      </w:r>
    </w:p>
    <w:p w14:paraId="635CED7A">
      <w:pPr>
        <w:numPr>
          <w:ilvl w:val="0"/>
          <w:numId w:val="13"/>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每一种规格的货物（工程或服务）只允许有一个报价，</w:t>
      </w:r>
      <w:r>
        <w:rPr>
          <w:rFonts w:hint="eastAsia" w:ascii="宋体" w:hAnsi="宋体"/>
          <w:b/>
          <w:color w:val="auto"/>
          <w:szCs w:val="21"/>
          <w:highlight w:val="none"/>
          <w:lang w:val="zh-CN"/>
        </w:rPr>
        <w:t>否则按照无效投标处理</w:t>
      </w:r>
      <w:r>
        <w:rPr>
          <w:rFonts w:hint="eastAsia" w:ascii="宋体" w:hAnsi="宋体"/>
          <w:color w:val="auto"/>
          <w:szCs w:val="21"/>
          <w:highlight w:val="none"/>
          <w:lang w:val="zh-CN"/>
        </w:rPr>
        <w:t>。</w:t>
      </w:r>
    </w:p>
    <w:p w14:paraId="10C1173C">
      <w:pPr>
        <w:numPr>
          <w:ilvl w:val="0"/>
          <w:numId w:val="13"/>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人的投标报价在合同执行过程中是固定不变的，不得以任何理由予以变更。故投标人的投标总报价应包含本招标内容全部工作所需的一切费用。投标人应根据本招标文件的规定和要求、市场价格水平及其走势、投标人的管理水平、投标方案和由这些因素决定的投标人之于本项目的成本水平等提出自己的合理报价。对在合同实施过程中可能发生的其它费用（如：增加耗材、材料涨价、人工、后期维护、技术支持、运输成本增加等因素），采购人不予支持。</w:t>
      </w:r>
    </w:p>
    <w:p w14:paraId="5172B393">
      <w:pPr>
        <w:numPr>
          <w:ilvl w:val="0"/>
          <w:numId w:val="13"/>
        </w:numPr>
        <w:spacing w:line="276" w:lineRule="auto"/>
        <w:ind w:left="616" w:hanging="616"/>
        <w:rPr>
          <w:rFonts w:ascii="宋体" w:hAnsi="宋体"/>
          <w:color w:val="auto"/>
          <w:szCs w:val="21"/>
          <w:highlight w:val="none"/>
          <w:lang w:val="zh-CN"/>
        </w:rPr>
      </w:pPr>
      <w:r>
        <w:rPr>
          <w:rFonts w:hint="eastAsia" w:ascii="宋体" w:hAnsi="宋体" w:cs="宋体"/>
          <w:snapToGrid w:val="0"/>
          <w:color w:val="auto"/>
          <w:szCs w:val="21"/>
          <w:highlight w:val="none"/>
          <w:lang w:val="zh-CN"/>
        </w:rPr>
        <w:t>中标人负责本项目所需的售后服务等全部工作，招标文件另有规定的除外。</w:t>
      </w:r>
    </w:p>
    <w:p w14:paraId="488218A1">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备选方案</w:t>
      </w:r>
    </w:p>
    <w:p w14:paraId="1457277F">
      <w:pPr>
        <w:numPr>
          <w:ilvl w:val="0"/>
          <w:numId w:val="14"/>
        </w:numPr>
        <w:spacing w:line="276" w:lineRule="auto"/>
        <w:ind w:left="567" w:hanging="616"/>
        <w:rPr>
          <w:rFonts w:ascii="宋体" w:hAnsi="宋体"/>
          <w:color w:val="auto"/>
          <w:szCs w:val="21"/>
          <w:highlight w:val="none"/>
          <w:lang w:val="zh-CN"/>
        </w:rPr>
      </w:pPr>
      <w:r>
        <w:rPr>
          <w:rFonts w:hint="eastAsia" w:ascii="宋体" w:hAnsi="宋体"/>
          <w:color w:val="auto"/>
          <w:szCs w:val="21"/>
          <w:highlight w:val="none"/>
          <w:lang w:val="zh-CN"/>
        </w:rPr>
        <w:t>只允许投标人提供一个投标方案（招标文件中要求提供备选方案的除外），</w:t>
      </w:r>
      <w:r>
        <w:rPr>
          <w:rFonts w:hint="eastAsia" w:ascii="宋体" w:hAnsi="宋体"/>
          <w:b/>
          <w:color w:val="auto"/>
          <w:szCs w:val="21"/>
          <w:highlight w:val="none"/>
          <w:lang w:val="zh-CN"/>
        </w:rPr>
        <w:t>否则按照无效投标处理</w:t>
      </w:r>
      <w:r>
        <w:rPr>
          <w:rFonts w:hint="eastAsia" w:ascii="宋体" w:hAnsi="宋体"/>
          <w:color w:val="auto"/>
          <w:szCs w:val="21"/>
          <w:highlight w:val="none"/>
          <w:lang w:val="zh-CN"/>
        </w:rPr>
        <w:t>。</w:t>
      </w:r>
    </w:p>
    <w:p w14:paraId="20E05905">
      <w:pPr>
        <w:numPr>
          <w:ilvl w:val="0"/>
          <w:numId w:val="14"/>
        </w:numPr>
        <w:spacing w:line="276" w:lineRule="auto"/>
        <w:ind w:left="567" w:hanging="616"/>
        <w:rPr>
          <w:rFonts w:ascii="宋体" w:hAnsi="宋体"/>
          <w:color w:val="auto"/>
          <w:szCs w:val="21"/>
          <w:highlight w:val="none"/>
          <w:lang w:val="zh-CN"/>
        </w:rPr>
      </w:pPr>
      <w:r>
        <w:rPr>
          <w:rFonts w:hint="eastAsia" w:ascii="宋体" w:hAnsi="宋体"/>
          <w:color w:val="auto"/>
          <w:szCs w:val="21"/>
          <w:highlight w:val="none"/>
          <w:lang w:val="zh-CN"/>
        </w:rPr>
        <w:t>本项目若接受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14:paraId="5C2A03C7">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中标后分包</w:t>
      </w:r>
    </w:p>
    <w:p w14:paraId="25B285A7">
      <w:pPr>
        <w:numPr>
          <w:ilvl w:val="0"/>
          <w:numId w:val="15"/>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 xml:space="preserve"> 本项目是否允许中标后分包详见《投标人须知前附表》。</w:t>
      </w:r>
    </w:p>
    <w:p w14:paraId="59A76BFA">
      <w:pPr>
        <w:numPr>
          <w:ilvl w:val="0"/>
          <w:numId w:val="15"/>
        </w:numPr>
        <w:spacing w:line="276" w:lineRule="auto"/>
        <w:ind w:left="567" w:hanging="567"/>
        <w:rPr>
          <w:rFonts w:ascii="宋体" w:hAnsi="宋体"/>
          <w:color w:val="auto"/>
          <w:szCs w:val="21"/>
          <w:highlight w:val="none"/>
          <w:lang w:val="zh-CN"/>
        </w:rPr>
      </w:pPr>
      <w:r>
        <w:rPr>
          <w:rFonts w:hint="eastAsia" w:ascii="宋体" w:hAnsi="宋体"/>
          <w:color w:val="auto"/>
          <w:szCs w:val="21"/>
          <w:highlight w:val="none"/>
          <w:lang w:val="zh-CN"/>
        </w:rPr>
        <w:t>招标文件规定项目非主体、非关键性工作中标后可以分包的，投标人拟在中标后将项目的非主体、非关键性工作分包，应当在投标文件中载明具备相应资质条件的分包承担主体，分包承担主体不得再次分包。</w:t>
      </w:r>
    </w:p>
    <w:p w14:paraId="3A3C2406">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联合体投标</w:t>
      </w:r>
    </w:p>
    <w:p w14:paraId="0DA851C1">
      <w:pPr>
        <w:numPr>
          <w:ilvl w:val="0"/>
          <w:numId w:val="16"/>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本项目是否允许联合体投标详见《投标人须知前附表》。</w:t>
      </w:r>
    </w:p>
    <w:p w14:paraId="1E2FE2DA">
      <w:pPr>
        <w:numPr>
          <w:ilvl w:val="0"/>
          <w:numId w:val="16"/>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两个以上的自然人、法人或者其他组织可以组成一个联合体，以一个投标人的身份共同参加政府采购。</w:t>
      </w:r>
    </w:p>
    <w:p w14:paraId="1AC24473">
      <w:pPr>
        <w:numPr>
          <w:ilvl w:val="0"/>
          <w:numId w:val="16"/>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以联合体形式进行政府采购的，参加联合体的投标人均应当具备《中华人民共和国政府采购法》第二十二条规定的条件，并应当向采购人提交</w:t>
      </w:r>
      <w:r>
        <w:rPr>
          <w:color w:val="auto"/>
          <w:highlight w:val="none"/>
        </w:rPr>
        <w:t>联合体协议书</w:t>
      </w:r>
      <w:r>
        <w:rPr>
          <w:rFonts w:hint="eastAsia" w:ascii="宋体" w:hAnsi="宋体"/>
          <w:color w:val="auto"/>
          <w:szCs w:val="21"/>
          <w:highlight w:val="none"/>
          <w:lang w:val="zh-CN"/>
        </w:rPr>
        <w:t>，载明联合体各方承担的工作和义务。</w:t>
      </w:r>
    </w:p>
    <w:p w14:paraId="2C9D55D8">
      <w:pPr>
        <w:numPr>
          <w:ilvl w:val="0"/>
          <w:numId w:val="16"/>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以联合体形式参加政府采购活动的，联合体各方不得再单独参加或者与其他投标人另外组成联合体参加同一合同项下的政府采购活动。</w:t>
      </w:r>
    </w:p>
    <w:p w14:paraId="554721A2">
      <w:pPr>
        <w:numPr>
          <w:ilvl w:val="0"/>
          <w:numId w:val="16"/>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联合体中标的，联合体各方应当共同与采购人签订采购合同，</w:t>
      </w:r>
      <w:r>
        <w:rPr>
          <w:rFonts w:hint="eastAsia" w:ascii="宋体" w:hAnsi="宋体"/>
          <w:color w:val="auto"/>
          <w:szCs w:val="21"/>
          <w:highlight w:val="none"/>
        </w:rPr>
        <w:t>就采购合同约定的事项对采购人承担连带责任</w:t>
      </w:r>
      <w:r>
        <w:rPr>
          <w:rFonts w:hint="eastAsia" w:ascii="宋体" w:hAnsi="宋体"/>
          <w:color w:val="auto"/>
          <w:szCs w:val="21"/>
          <w:highlight w:val="none"/>
          <w:lang w:val="zh-CN"/>
        </w:rPr>
        <w:t>。</w:t>
      </w:r>
    </w:p>
    <w:p w14:paraId="69B6DACB">
      <w:pPr>
        <w:numPr>
          <w:ilvl w:val="0"/>
          <w:numId w:val="16"/>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联合体中有同类资质的投标人按照联合体分工承担相同工作的，应当按照资质等级较低的投标人确定资质等级。</w:t>
      </w:r>
    </w:p>
    <w:p w14:paraId="5C6B753B">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资格证明文件</w:t>
      </w:r>
    </w:p>
    <w:p w14:paraId="4D2B9E71">
      <w:pPr>
        <w:numPr>
          <w:ilvl w:val="0"/>
          <w:numId w:val="17"/>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投标人应按本节及第四章资格审查方法及标准中</w:t>
      </w:r>
      <w:r>
        <w:rPr>
          <w:rFonts w:ascii="宋体" w:hAnsi="宋体"/>
          <w:color w:val="auto"/>
          <w:szCs w:val="21"/>
          <w:highlight w:val="none"/>
          <w:lang w:val="zh-CN"/>
        </w:rPr>
        <w:t>《</w:t>
      </w:r>
      <w:r>
        <w:rPr>
          <w:rFonts w:hint="eastAsia" w:ascii="宋体" w:hAnsi="宋体"/>
          <w:color w:val="auto"/>
          <w:szCs w:val="21"/>
          <w:highlight w:val="none"/>
          <w:lang w:val="zh-CN"/>
        </w:rPr>
        <w:t>资格审查表》的要求，提供足以证明其符合资格要求且中标后有能力履行合同的文件，并作为其投标文件的组成部分。</w:t>
      </w:r>
    </w:p>
    <w:p w14:paraId="7B406A3A">
      <w:pPr>
        <w:numPr>
          <w:ilvl w:val="0"/>
          <w:numId w:val="17"/>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证明材料仅限于投标人单位本身，母公司、股东单位和子公司的材料不能作为证明材料，但投标人单位兼并的企业的材料可作为证明材料。</w:t>
      </w:r>
    </w:p>
    <w:p w14:paraId="7C2C63FC">
      <w:pPr>
        <w:numPr>
          <w:ilvl w:val="0"/>
          <w:numId w:val="17"/>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资格证明文件正本应为原件清晰复印件，</w:t>
      </w:r>
      <w:r>
        <w:rPr>
          <w:rFonts w:hint="eastAsia" w:ascii="宋体" w:hAnsi="宋体"/>
          <w:b/>
          <w:color w:val="auto"/>
          <w:szCs w:val="21"/>
          <w:highlight w:val="none"/>
          <w:lang w:val="zh-CN"/>
        </w:rPr>
        <w:t>否则按照无效投标处理</w:t>
      </w:r>
      <w:r>
        <w:rPr>
          <w:rFonts w:hint="eastAsia" w:ascii="宋体" w:hAnsi="宋体"/>
          <w:color w:val="auto"/>
          <w:szCs w:val="21"/>
          <w:highlight w:val="none"/>
        </w:rPr>
        <w:t>，</w:t>
      </w:r>
      <w:r>
        <w:rPr>
          <w:rFonts w:hint="eastAsia" w:ascii="宋体" w:hAnsi="宋体"/>
          <w:color w:val="auto"/>
          <w:szCs w:val="21"/>
          <w:highlight w:val="none"/>
          <w:lang w:val="zh-CN"/>
        </w:rPr>
        <w:t>副本可为正本的复印件。</w:t>
      </w:r>
    </w:p>
    <w:p w14:paraId="595030A0">
      <w:pPr>
        <w:numPr>
          <w:ilvl w:val="0"/>
          <w:numId w:val="2"/>
        </w:numPr>
        <w:spacing w:line="276" w:lineRule="auto"/>
        <w:rPr>
          <w:rFonts w:ascii="宋体" w:hAnsi="宋体"/>
          <w:color w:val="auto"/>
          <w:szCs w:val="21"/>
          <w:highlight w:val="none"/>
          <w:lang w:val="zh-CN"/>
        </w:rPr>
      </w:pPr>
      <w:r>
        <w:rPr>
          <w:rFonts w:hint="eastAsia" w:ascii="宋体" w:hAnsi="宋体"/>
          <w:b/>
          <w:color w:val="auto"/>
          <w:szCs w:val="21"/>
          <w:highlight w:val="none"/>
          <w:lang w:val="zh-CN"/>
        </w:rPr>
        <w:t>投标保证金</w:t>
      </w:r>
    </w:p>
    <w:p w14:paraId="628DB870">
      <w:pPr>
        <w:numPr>
          <w:ilvl w:val="0"/>
          <w:numId w:val="18"/>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是否交纳投标保证金及递交要求详见本章《投标人须知前附表》。</w:t>
      </w:r>
    </w:p>
    <w:p w14:paraId="6D441CF7">
      <w:pPr>
        <w:numPr>
          <w:ilvl w:val="0"/>
          <w:numId w:val="18"/>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招标文件要求交纳保证金的，投标人应在投标文件中提供已交纳保证金的凭证。投标人</w:t>
      </w:r>
      <w:r>
        <w:rPr>
          <w:rFonts w:hint="eastAsia" w:ascii="宋体" w:hAnsi="宋体"/>
          <w:b/>
          <w:color w:val="auto"/>
          <w:szCs w:val="21"/>
          <w:highlight w:val="none"/>
          <w:lang w:val="zh-CN"/>
        </w:rPr>
        <w:t>同时参加多个标包投标的，应按标包分别交纳投标保证金。</w:t>
      </w:r>
      <w:r>
        <w:rPr>
          <w:rFonts w:hint="eastAsia" w:ascii="宋体" w:hAnsi="宋体"/>
          <w:color w:val="auto"/>
          <w:szCs w:val="21"/>
          <w:highlight w:val="none"/>
          <w:lang w:val="zh-CN"/>
        </w:rPr>
        <w:t>投标人应在投标文件递交截止时间前，按规定将投标保证金汇入招标文件指定专用账户。</w:t>
      </w:r>
    </w:p>
    <w:p w14:paraId="27EDF154">
      <w:pPr>
        <w:numPr>
          <w:ilvl w:val="0"/>
          <w:numId w:val="18"/>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投标保证金应按以下方式递交：</w:t>
      </w:r>
    </w:p>
    <w:p w14:paraId="1BF01173">
      <w:pPr>
        <w:numPr>
          <w:ilvl w:val="0"/>
          <w:numId w:val="19"/>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应以电汇或网上银行方式汇入保证金账户，不得以个人名义、不得以现金方式交纳。</w:t>
      </w:r>
    </w:p>
    <w:p w14:paraId="4297D53D">
      <w:pPr>
        <w:numPr>
          <w:ilvl w:val="0"/>
          <w:numId w:val="19"/>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到账时间以到达指定账户时间为准。</w:t>
      </w:r>
    </w:p>
    <w:p w14:paraId="18966605">
      <w:pPr>
        <w:numPr>
          <w:ilvl w:val="0"/>
          <w:numId w:val="18"/>
        </w:numPr>
        <w:spacing w:line="276" w:lineRule="auto"/>
        <w:ind w:left="616" w:hanging="616"/>
        <w:rPr>
          <w:rFonts w:ascii="宋体" w:hAnsi="宋体"/>
          <w:color w:val="auto"/>
          <w:szCs w:val="21"/>
          <w:highlight w:val="none"/>
          <w:lang w:val="zh-CN"/>
        </w:rPr>
      </w:pPr>
      <w:r>
        <w:rPr>
          <w:rFonts w:hint="eastAsia" w:ascii="宋体" w:hAnsi="宋体"/>
          <w:b/>
          <w:color w:val="auto"/>
          <w:szCs w:val="21"/>
          <w:highlight w:val="none"/>
          <w:lang w:val="zh-CN"/>
        </w:rPr>
        <w:t>未按招标文件要求递交投标保证金，或交纳保证金的账户名称与投标人名称不一致的按照无效投标处理</w:t>
      </w:r>
      <w:r>
        <w:rPr>
          <w:rFonts w:hint="eastAsia" w:ascii="宋体" w:hAnsi="宋体"/>
          <w:color w:val="auto"/>
          <w:szCs w:val="21"/>
          <w:highlight w:val="none"/>
          <w:lang w:val="zh-CN"/>
        </w:rPr>
        <w:t>。</w:t>
      </w:r>
    </w:p>
    <w:p w14:paraId="5DCA9CB1">
      <w:pPr>
        <w:numPr>
          <w:ilvl w:val="0"/>
          <w:numId w:val="18"/>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采购代理机构将在自中标通知书发出之日起</w:t>
      </w:r>
      <w:r>
        <w:rPr>
          <w:rFonts w:hint="eastAsia" w:ascii="宋体" w:hAnsi="宋体"/>
          <w:b/>
          <w:color w:val="auto"/>
          <w:szCs w:val="21"/>
          <w:highlight w:val="none"/>
          <w:lang w:val="zh-CN"/>
        </w:rPr>
        <w:t>5</w:t>
      </w:r>
      <w:r>
        <w:rPr>
          <w:rFonts w:hint="eastAsia" w:ascii="宋体" w:hAnsi="宋体"/>
          <w:color w:val="auto"/>
          <w:szCs w:val="21"/>
          <w:highlight w:val="none"/>
          <w:lang w:val="zh-CN"/>
        </w:rPr>
        <w:t>个工作日内（如无质疑或投诉）退还未中标人的投标保证金；自政府采购合同签订之日起</w:t>
      </w:r>
      <w:r>
        <w:rPr>
          <w:rFonts w:hint="eastAsia" w:ascii="宋体" w:hAnsi="宋体"/>
          <w:b/>
          <w:color w:val="auto"/>
          <w:szCs w:val="21"/>
          <w:highlight w:val="none"/>
          <w:lang w:val="zh-CN"/>
        </w:rPr>
        <w:t>5</w:t>
      </w:r>
      <w:r>
        <w:rPr>
          <w:rFonts w:hint="eastAsia" w:ascii="宋体" w:hAnsi="宋体"/>
          <w:color w:val="auto"/>
          <w:szCs w:val="21"/>
          <w:highlight w:val="none"/>
          <w:lang w:val="zh-CN"/>
        </w:rPr>
        <w:t>个工作日内退还中标人的投标保证金。</w:t>
      </w:r>
    </w:p>
    <w:p w14:paraId="3BE0EDD0">
      <w:pPr>
        <w:numPr>
          <w:ilvl w:val="0"/>
          <w:numId w:val="18"/>
        </w:numPr>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投标人在投标截止时间前撤回已提交的投标文件的，采购代理机构将在自收到投标人书面撤回通知之日起5个工作日内，退还已收取的投标保证金，但因投标人自身原因导致无法及时退还的除外。</w:t>
      </w:r>
    </w:p>
    <w:p w14:paraId="0877B758">
      <w:pPr>
        <w:numPr>
          <w:ilvl w:val="0"/>
          <w:numId w:val="18"/>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投标保证金将直接退还至投标人交纳时的账户，不以现金方式退还。</w:t>
      </w:r>
    </w:p>
    <w:p w14:paraId="261B12F2">
      <w:pPr>
        <w:numPr>
          <w:ilvl w:val="0"/>
          <w:numId w:val="18"/>
        </w:numPr>
        <w:spacing w:line="276" w:lineRule="auto"/>
        <w:ind w:left="616" w:hanging="616"/>
        <w:rPr>
          <w:rFonts w:ascii="宋体" w:hAnsi="宋体"/>
          <w:b/>
          <w:color w:val="auto"/>
          <w:szCs w:val="21"/>
          <w:highlight w:val="none"/>
          <w:lang w:val="zh-CN"/>
        </w:rPr>
      </w:pPr>
      <w:r>
        <w:rPr>
          <w:rFonts w:hint="eastAsia" w:ascii="宋体" w:hAnsi="宋体"/>
          <w:b/>
          <w:color w:val="auto"/>
          <w:szCs w:val="21"/>
          <w:highlight w:val="none"/>
          <w:lang w:val="zh-CN"/>
        </w:rPr>
        <w:t>投标人有下列情形之一的，其投标保证金不予退还：</w:t>
      </w:r>
    </w:p>
    <w:p w14:paraId="57547927">
      <w:pPr>
        <w:numPr>
          <w:ilvl w:val="0"/>
          <w:numId w:val="20"/>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在投标文件有效期内撤销投标文件的；</w:t>
      </w:r>
    </w:p>
    <w:p w14:paraId="6620E21B">
      <w:pPr>
        <w:numPr>
          <w:ilvl w:val="0"/>
          <w:numId w:val="20"/>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在投标文件中提供虚假材料的；</w:t>
      </w:r>
    </w:p>
    <w:p w14:paraId="63D1AFFA">
      <w:pPr>
        <w:numPr>
          <w:ilvl w:val="0"/>
          <w:numId w:val="20"/>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中标后无正当理由拒绝签订政府采购合同的；</w:t>
      </w:r>
    </w:p>
    <w:p w14:paraId="162A7CF1">
      <w:pPr>
        <w:numPr>
          <w:ilvl w:val="0"/>
          <w:numId w:val="20"/>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串通投标、恶意串通的；</w:t>
      </w:r>
    </w:p>
    <w:p w14:paraId="6F2CC51F">
      <w:pPr>
        <w:numPr>
          <w:ilvl w:val="0"/>
          <w:numId w:val="20"/>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法律、法规和招标文件中规定的其它不予退还投标保证金的情形。</w:t>
      </w:r>
    </w:p>
    <w:p w14:paraId="739A6882">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投标有效期</w:t>
      </w:r>
    </w:p>
    <w:p w14:paraId="6F899B4A">
      <w:pPr>
        <w:numPr>
          <w:ilvl w:val="0"/>
          <w:numId w:val="21"/>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投标有效期详见本章《投标人须知前附表》中的规定。</w:t>
      </w:r>
      <w:r>
        <w:rPr>
          <w:rFonts w:hint="eastAsia" w:ascii="宋体" w:hAnsi="宋体" w:cs="Helvetica"/>
          <w:color w:val="auto"/>
          <w:kern w:val="0"/>
          <w:szCs w:val="21"/>
          <w:highlight w:val="none"/>
          <w:lang w:val="zh-CN"/>
        </w:rPr>
        <w:t>投标文件中承诺的投标有效期应当不少于招标文件中载明的投标有效期。</w:t>
      </w:r>
      <w:r>
        <w:rPr>
          <w:rFonts w:hint="eastAsia" w:ascii="宋体" w:hAnsi="宋体" w:cs="Helvetica"/>
          <w:b/>
          <w:color w:val="auto"/>
          <w:kern w:val="0"/>
          <w:szCs w:val="21"/>
          <w:highlight w:val="none"/>
          <w:lang w:val="zh-CN"/>
        </w:rPr>
        <w:t>投标有效期不足的，</w:t>
      </w:r>
      <w:r>
        <w:rPr>
          <w:rFonts w:hint="eastAsia" w:ascii="宋体" w:hAnsi="宋体"/>
          <w:b/>
          <w:color w:val="auto"/>
          <w:szCs w:val="21"/>
          <w:highlight w:val="none"/>
          <w:lang w:val="zh-CN"/>
        </w:rPr>
        <w:t>按照无效投标处理。</w:t>
      </w:r>
    </w:p>
    <w:p w14:paraId="3307D04F">
      <w:pPr>
        <w:numPr>
          <w:ilvl w:val="0"/>
          <w:numId w:val="21"/>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特殊情况下，在原投标有效期截止之前，采购人或采购代理机构可要求投标人延长投标有效期。这种要求与答复均应以书面形式提交。投标人可拒绝采购人或采购代理机构的这种要求，但其投标在原投标有效期期满后将不再有效。同意延长投标有效期的投标人不会被要求和允许修正其投标内容，而只会被要求相应地延长其投标保证金的有效期。在这种情况下，本章“投标保证金”的退还和不予退还的规定将在延长了的有效期内继续有效。</w:t>
      </w:r>
    </w:p>
    <w:p w14:paraId="22652107">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投标文件形式、样品及现场演示</w:t>
      </w:r>
    </w:p>
    <w:p w14:paraId="30E94801">
      <w:pPr>
        <w:spacing w:line="276" w:lineRule="auto"/>
        <w:ind w:left="567" w:hanging="567" w:hangingChars="270"/>
        <w:rPr>
          <w:rFonts w:ascii="宋体" w:hAnsi="宋体"/>
          <w:color w:val="auto"/>
          <w:szCs w:val="21"/>
          <w:highlight w:val="none"/>
        </w:rPr>
      </w:pPr>
      <w:r>
        <w:rPr>
          <w:rFonts w:hint="eastAsia" w:ascii="宋体" w:hAnsi="宋体"/>
          <w:color w:val="auto"/>
          <w:szCs w:val="21"/>
          <w:highlight w:val="none"/>
        </w:rPr>
        <w:t>19.1</w:t>
      </w:r>
      <w:r>
        <w:rPr>
          <w:rFonts w:ascii="宋体" w:hAnsi="宋体"/>
          <w:color w:val="auto"/>
          <w:szCs w:val="21"/>
          <w:highlight w:val="none"/>
        </w:rPr>
        <w:t xml:space="preserve"> </w:t>
      </w:r>
      <w:r>
        <w:rPr>
          <w:rFonts w:hint="eastAsia" w:ascii="宋体" w:hAnsi="宋体"/>
          <w:b/>
          <w:color w:val="auto"/>
          <w:szCs w:val="21"/>
          <w:highlight w:val="none"/>
        </w:rPr>
        <w:t>投标文件形式</w:t>
      </w:r>
    </w:p>
    <w:p w14:paraId="5C9ACC9E">
      <w:pPr>
        <w:numPr>
          <w:ilvl w:val="0"/>
          <w:numId w:val="22"/>
        </w:numPr>
        <w:spacing w:line="276" w:lineRule="auto"/>
        <w:rPr>
          <w:rFonts w:ascii="宋体" w:hAnsi="宋体"/>
          <w:color w:val="auto"/>
          <w:szCs w:val="21"/>
          <w:highlight w:val="none"/>
          <w:lang w:val="zh-CN"/>
        </w:rPr>
      </w:pPr>
      <w:r>
        <w:rPr>
          <w:rFonts w:hint="eastAsia" w:ascii="宋体" w:hAnsi="宋体" w:cs="宋体"/>
          <w:snapToGrid w:val="0"/>
          <w:color w:val="auto"/>
          <w:szCs w:val="21"/>
          <w:highlight w:val="none"/>
          <w:lang w:val="zh-CN"/>
        </w:rPr>
        <w:t>投标文件</w:t>
      </w:r>
      <w:r>
        <w:rPr>
          <w:rFonts w:hint="eastAsia" w:ascii="宋体" w:hAnsi="宋体"/>
          <w:color w:val="auto"/>
          <w:szCs w:val="21"/>
          <w:highlight w:val="none"/>
          <w:lang w:val="zh-CN"/>
        </w:rPr>
        <w:t>包括正本、副本及单独提供的法定代表人授权委托书（或法定代表人身份证明书）。</w:t>
      </w:r>
    </w:p>
    <w:p w14:paraId="5A6465DB">
      <w:pPr>
        <w:numPr>
          <w:ilvl w:val="0"/>
          <w:numId w:val="22"/>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投标文件正、副本的数量见《投标人须知前附表》。每套投标文件须清楚地标明“正本”、“副本”，副本可采用正本的复印件，若副本与正本不符，以正本为准；如单独提供的报价一览表与投标文件正本不符，以单独提交的报价一览表为准。</w:t>
      </w:r>
    </w:p>
    <w:p w14:paraId="5942A68D">
      <w:pPr>
        <w:numPr>
          <w:ilvl w:val="0"/>
          <w:numId w:val="22"/>
        </w:numPr>
        <w:spacing w:line="276" w:lineRule="auto"/>
        <w:rPr>
          <w:rFonts w:ascii="宋体" w:hAnsi="宋体" w:cs="宋体"/>
          <w:snapToGrid w:val="0"/>
          <w:color w:val="auto"/>
          <w:szCs w:val="21"/>
          <w:highlight w:val="none"/>
          <w:lang w:val="zh-CN"/>
        </w:rPr>
      </w:pPr>
      <w:r>
        <w:rPr>
          <w:rFonts w:hint="eastAsia" w:ascii="宋体" w:hAnsi="宋体"/>
          <w:color w:val="auto"/>
          <w:szCs w:val="21"/>
          <w:highlight w:val="none"/>
          <w:lang w:val="zh-CN"/>
        </w:rPr>
        <w:t>投标文件</w:t>
      </w:r>
      <w:r>
        <w:rPr>
          <w:rFonts w:hint="eastAsia" w:ascii="宋体" w:hAnsi="宋体" w:cs="宋体"/>
          <w:snapToGrid w:val="0"/>
          <w:color w:val="auto"/>
          <w:szCs w:val="21"/>
          <w:highlight w:val="none"/>
          <w:lang w:val="zh-CN"/>
        </w:rPr>
        <w:t>用纸应统一为A4规格（图纸、效果图等除外）。需打印或用不褪色墨水书写，并由法定代表人或授权代表（签名）并加盖公章。由授权代表（签名）的，投标文件中应提交《法定代表人授权书》。投标人为自然人的，由投标人本人签名并附身份证明。</w:t>
      </w:r>
    </w:p>
    <w:p w14:paraId="2CABD127">
      <w:pPr>
        <w:numPr>
          <w:ilvl w:val="0"/>
          <w:numId w:val="22"/>
        </w:numPr>
        <w:spacing w:line="276" w:lineRule="auto"/>
        <w:rPr>
          <w:rFonts w:ascii="宋体" w:hAnsi="宋体"/>
          <w:color w:val="auto"/>
          <w:szCs w:val="21"/>
          <w:highlight w:val="none"/>
          <w:lang w:val="zh-CN"/>
        </w:rPr>
      </w:pPr>
      <w:r>
        <w:rPr>
          <w:rFonts w:hint="eastAsia" w:ascii="宋体" w:hAnsi="宋体" w:cs="宋体"/>
          <w:snapToGrid w:val="0"/>
          <w:color w:val="auto"/>
          <w:szCs w:val="21"/>
          <w:highlight w:val="none"/>
          <w:lang w:val="zh-CN"/>
        </w:rPr>
        <w:t>投标文</w:t>
      </w:r>
      <w:r>
        <w:rPr>
          <w:rFonts w:hint="eastAsia" w:ascii="宋体" w:hAnsi="宋体"/>
          <w:color w:val="auto"/>
          <w:szCs w:val="21"/>
          <w:highlight w:val="none"/>
          <w:lang w:val="zh-CN"/>
        </w:rPr>
        <w:t>件中的任何行间插字、涂改和增删，必须由法定代表人或授权代表在旁边签名才有效。</w:t>
      </w:r>
    </w:p>
    <w:p w14:paraId="407E0AF9">
      <w:pPr>
        <w:numPr>
          <w:ilvl w:val="0"/>
          <w:numId w:val="22"/>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投标文件应当采用不可拆卸的方法装订，对未经装订的投标文件可能发生的文件散落或缺损及由此产生的后果由投标人承担。</w:t>
      </w:r>
    </w:p>
    <w:p w14:paraId="3ACA912E">
      <w:pPr>
        <w:numPr>
          <w:ilvl w:val="0"/>
          <w:numId w:val="22"/>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投标文件正本、副本应进行密封包装，封包加盖投标人公章，并注明项目编号、包号、项目名称、投标人名称及“（**时间）前不得启封”的字样。</w:t>
      </w:r>
    </w:p>
    <w:p w14:paraId="05FB4EDC">
      <w:pPr>
        <w:numPr>
          <w:ilvl w:val="0"/>
          <w:numId w:val="22"/>
        </w:numPr>
        <w:spacing w:line="276" w:lineRule="auto"/>
        <w:rPr>
          <w:rFonts w:ascii="宋体" w:hAnsi="宋体" w:cs="宋体"/>
          <w:snapToGrid w:val="0"/>
          <w:color w:val="auto"/>
          <w:szCs w:val="21"/>
          <w:highlight w:val="none"/>
          <w:lang w:val="zh-CN"/>
        </w:rPr>
      </w:pPr>
      <w:r>
        <w:rPr>
          <w:rFonts w:hint="eastAsia" w:ascii="宋体" w:hAnsi="宋体"/>
          <w:color w:val="auto"/>
          <w:szCs w:val="21"/>
          <w:highlight w:val="none"/>
          <w:lang w:val="zh-CN"/>
        </w:rPr>
        <w:t>如果未按要</w:t>
      </w:r>
      <w:r>
        <w:rPr>
          <w:rFonts w:hint="eastAsia" w:ascii="宋体" w:hAnsi="宋体"/>
          <w:color w:val="auto"/>
          <w:szCs w:val="21"/>
          <w:highlight w:val="none"/>
        </w:rPr>
        <w:t>求密封或加写标记存在错误</w:t>
      </w:r>
      <w:r>
        <w:rPr>
          <w:rFonts w:hint="eastAsia" w:ascii="宋体" w:hAnsi="宋体"/>
          <w:color w:val="auto"/>
          <w:szCs w:val="21"/>
          <w:highlight w:val="none"/>
          <w:lang w:val="zh-CN"/>
        </w:rPr>
        <w:t>，采购代理机构对其误投或提前启封概不负责。</w:t>
      </w:r>
    </w:p>
    <w:p w14:paraId="6C781FF0">
      <w:pPr>
        <w:spacing w:line="276" w:lineRule="auto"/>
        <w:ind w:left="567" w:hanging="567" w:hangingChars="270"/>
        <w:rPr>
          <w:rFonts w:ascii="宋体" w:hAnsi="宋体" w:cs="宋体"/>
          <w:snapToGrid w:val="0"/>
          <w:color w:val="auto"/>
          <w:kern w:val="0"/>
          <w:szCs w:val="21"/>
          <w:highlight w:val="none"/>
          <w:lang w:val="zh-CN"/>
        </w:rPr>
      </w:pPr>
      <w:r>
        <w:rPr>
          <w:rFonts w:hint="eastAsia" w:ascii="宋体" w:hAnsi="宋体"/>
          <w:color w:val="auto"/>
          <w:szCs w:val="21"/>
          <w:highlight w:val="none"/>
        </w:rPr>
        <w:t>19.</w:t>
      </w:r>
      <w:r>
        <w:rPr>
          <w:rFonts w:ascii="宋体" w:hAnsi="宋体"/>
          <w:color w:val="auto"/>
          <w:szCs w:val="21"/>
          <w:highlight w:val="none"/>
        </w:rPr>
        <w:t>2</w:t>
      </w:r>
      <w:r>
        <w:rPr>
          <w:rFonts w:hint="eastAsia" w:ascii="宋体" w:hAnsi="宋体"/>
          <w:b/>
          <w:color w:val="auto"/>
          <w:szCs w:val="21"/>
          <w:highlight w:val="none"/>
        </w:rPr>
        <w:t>样品</w:t>
      </w:r>
    </w:p>
    <w:p w14:paraId="7E68BEF9">
      <w:pPr>
        <w:numPr>
          <w:ilvl w:val="0"/>
          <w:numId w:val="23"/>
        </w:numPr>
        <w:spacing w:line="276" w:lineRule="auto"/>
        <w:rPr>
          <w:rFonts w:ascii="宋体" w:hAnsi="宋体"/>
          <w:color w:val="auto"/>
          <w:szCs w:val="21"/>
          <w:highlight w:val="none"/>
          <w:lang w:val="zh-CN"/>
        </w:rPr>
      </w:pPr>
      <w:r>
        <w:rPr>
          <w:rFonts w:hint="eastAsia" w:ascii="宋体" w:hAnsi="宋体" w:cs="宋体"/>
          <w:color w:val="auto"/>
          <w:szCs w:val="21"/>
          <w:highlight w:val="none"/>
        </w:rPr>
        <w:t>本项</w:t>
      </w:r>
      <w:r>
        <w:rPr>
          <w:rFonts w:hint="eastAsia" w:ascii="宋体" w:hAnsi="宋体"/>
          <w:color w:val="auto"/>
          <w:szCs w:val="21"/>
          <w:highlight w:val="none"/>
          <w:lang w:val="zh-CN"/>
        </w:rPr>
        <w:t>目是否接收样品详见《投标人须知前附表》。</w:t>
      </w:r>
    </w:p>
    <w:p w14:paraId="5DAD0618">
      <w:pPr>
        <w:numPr>
          <w:ilvl w:val="0"/>
          <w:numId w:val="23"/>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招标文件要求提交样品的，样品应在递交投标文件截止时间之前，由投标人授权代表凭法定代表人授权书（原件）、本人身份证（原件）递交到指定地点。提交样品的相关规定详见《投标人须知前附表》。</w:t>
      </w:r>
    </w:p>
    <w:p w14:paraId="084D7817">
      <w:pPr>
        <w:numPr>
          <w:ilvl w:val="0"/>
          <w:numId w:val="23"/>
        </w:numPr>
        <w:spacing w:line="276" w:lineRule="auto"/>
        <w:rPr>
          <w:rFonts w:ascii="宋体" w:hAnsi="宋体" w:cs="宋体"/>
          <w:snapToGrid w:val="0"/>
          <w:color w:val="auto"/>
          <w:kern w:val="0"/>
          <w:szCs w:val="21"/>
          <w:highlight w:val="none"/>
          <w:lang w:val="zh-CN"/>
        </w:rPr>
      </w:pPr>
      <w:r>
        <w:rPr>
          <w:rFonts w:hint="eastAsia" w:ascii="宋体" w:hAnsi="宋体"/>
          <w:color w:val="auto"/>
          <w:szCs w:val="21"/>
          <w:highlight w:val="none"/>
          <w:lang w:val="zh-CN"/>
        </w:rPr>
        <w:t>采购活</w:t>
      </w:r>
      <w:r>
        <w:rPr>
          <w:rFonts w:hint="eastAsia" w:ascii="宋体" w:hAnsi="宋体" w:cs="宋体"/>
          <w:snapToGrid w:val="0"/>
          <w:color w:val="auto"/>
          <w:szCs w:val="21"/>
          <w:highlight w:val="none"/>
          <w:lang w:val="zh-CN"/>
        </w:rPr>
        <w:t>动结束后，对于未中标人提供的样品，采购代理机构将及时退还未中标人，或者经未中标人同意后自行处理；对于中标人提供的样品，将按照招标文件的规定进行保管、封存，并作为履约验收的参考。</w:t>
      </w:r>
    </w:p>
    <w:p w14:paraId="7E493549">
      <w:pPr>
        <w:spacing w:line="276" w:lineRule="auto"/>
        <w:ind w:left="420" w:hanging="420" w:hangingChars="200"/>
        <w:rPr>
          <w:rFonts w:ascii="宋体" w:hAnsi="宋体"/>
          <w:color w:val="auto"/>
          <w:szCs w:val="21"/>
          <w:highlight w:val="none"/>
          <w:lang w:val="zh-CN"/>
        </w:rPr>
      </w:pPr>
      <w:r>
        <w:rPr>
          <w:rFonts w:hint="eastAsia" w:ascii="宋体" w:hAnsi="宋体"/>
          <w:color w:val="auto"/>
          <w:szCs w:val="21"/>
          <w:highlight w:val="none"/>
        </w:rPr>
        <w:t>19.</w:t>
      </w:r>
      <w:r>
        <w:rPr>
          <w:rFonts w:ascii="宋体" w:hAnsi="宋体"/>
          <w:color w:val="auto"/>
          <w:szCs w:val="21"/>
          <w:highlight w:val="none"/>
        </w:rPr>
        <w:t>3</w:t>
      </w:r>
      <w:r>
        <w:rPr>
          <w:rFonts w:hint="eastAsia" w:ascii="宋体" w:hAnsi="宋体"/>
          <w:b/>
          <w:color w:val="auto"/>
          <w:szCs w:val="21"/>
          <w:highlight w:val="none"/>
        </w:rPr>
        <w:t xml:space="preserve"> 现场演示</w:t>
      </w:r>
    </w:p>
    <w:p w14:paraId="4423B992">
      <w:pPr>
        <w:spacing w:line="276" w:lineRule="auto"/>
        <w:ind w:firstLine="567" w:firstLineChars="270"/>
        <w:rPr>
          <w:rFonts w:ascii="宋体" w:hAnsi="宋体"/>
          <w:b/>
          <w:color w:val="auto"/>
          <w:szCs w:val="21"/>
          <w:highlight w:val="none"/>
        </w:rPr>
      </w:pPr>
      <w:r>
        <w:rPr>
          <w:rFonts w:hint="eastAsia" w:ascii="宋体" w:hAnsi="宋体" w:cs="宋体"/>
          <w:snapToGrid w:val="0"/>
          <w:color w:val="auto"/>
          <w:kern w:val="0"/>
          <w:szCs w:val="21"/>
          <w:highlight w:val="none"/>
          <w:lang w:val="zh-CN"/>
        </w:rPr>
        <w:t>本项目在评审时是否需要演示及相关要求详见</w:t>
      </w:r>
      <w:r>
        <w:rPr>
          <w:rFonts w:hint="eastAsia" w:ascii="宋体" w:hAnsi="宋体"/>
          <w:color w:val="auto"/>
          <w:szCs w:val="21"/>
          <w:highlight w:val="none"/>
          <w:lang w:val="zh-CN"/>
        </w:rPr>
        <w:t>《投标人须知前附表》。</w:t>
      </w:r>
    </w:p>
    <w:p w14:paraId="2F1CEDCA">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投标文件递交</w:t>
      </w:r>
    </w:p>
    <w:p w14:paraId="53E7E133">
      <w:pPr>
        <w:tabs>
          <w:tab w:val="left" w:pos="567"/>
        </w:tabs>
        <w:spacing w:line="276" w:lineRule="auto"/>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0</w:t>
      </w:r>
      <w:r>
        <w:rPr>
          <w:rFonts w:hint="eastAsia" w:ascii="宋体" w:hAnsi="宋体"/>
          <w:color w:val="auto"/>
          <w:szCs w:val="21"/>
          <w:highlight w:val="none"/>
        </w:rPr>
        <w:t>.1 投标人递交投标文件的截止时间：见</w:t>
      </w:r>
      <w:r>
        <w:rPr>
          <w:rFonts w:hint="eastAsia" w:ascii="宋体" w:hAnsi="宋体"/>
          <w:color w:val="auto"/>
          <w:szCs w:val="21"/>
          <w:highlight w:val="none"/>
          <w:lang w:val="zh-CN"/>
        </w:rPr>
        <w:t>《投标人须知前附表》</w:t>
      </w:r>
      <w:r>
        <w:rPr>
          <w:rFonts w:hint="eastAsia" w:ascii="宋体" w:hAnsi="宋体"/>
          <w:color w:val="auto"/>
          <w:szCs w:val="21"/>
          <w:highlight w:val="none"/>
        </w:rPr>
        <w:t>。</w:t>
      </w:r>
    </w:p>
    <w:p w14:paraId="72A5AFE7">
      <w:pPr>
        <w:spacing w:line="276" w:lineRule="auto"/>
        <w:ind w:left="525" w:hanging="525" w:hangingChars="250"/>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0</w:t>
      </w:r>
      <w:r>
        <w:rPr>
          <w:rFonts w:hint="eastAsia" w:ascii="宋体" w:hAnsi="宋体"/>
          <w:color w:val="auto"/>
          <w:szCs w:val="21"/>
          <w:highlight w:val="none"/>
        </w:rPr>
        <w:t>.2投标人应当在投标截止时间前，按</w:t>
      </w:r>
      <w:r>
        <w:rPr>
          <w:rFonts w:ascii="宋体" w:hAnsi="宋体"/>
          <w:color w:val="auto"/>
          <w:szCs w:val="21"/>
          <w:highlight w:val="none"/>
        </w:rPr>
        <w:t>要求</w:t>
      </w:r>
      <w:r>
        <w:rPr>
          <w:rFonts w:hint="eastAsia" w:ascii="宋体" w:hAnsi="宋体"/>
          <w:color w:val="auto"/>
          <w:szCs w:val="21"/>
          <w:highlight w:val="none"/>
        </w:rPr>
        <w:t>将投标文件递交或邮寄送达（如招标公告允许接收邮寄），递交地点见《投标人须知前附表》。</w:t>
      </w:r>
      <w:r>
        <w:rPr>
          <w:rFonts w:hint="eastAsia" w:ascii="宋体" w:hAnsi="宋体" w:cs="宋体"/>
          <w:color w:val="auto"/>
          <w:kern w:val="0"/>
          <w:szCs w:val="21"/>
          <w:highlight w:val="none"/>
        </w:rPr>
        <w:t>采购代理机构</w:t>
      </w:r>
      <w:r>
        <w:rPr>
          <w:rFonts w:hint="eastAsia" w:ascii="宋体" w:hAnsi="宋体"/>
          <w:color w:val="auto"/>
          <w:szCs w:val="21"/>
          <w:highlight w:val="none"/>
        </w:rPr>
        <w:t>收到投标文件后向投标人出具签收凭证。逾期送达的或者未送达指定地点的，</w:t>
      </w:r>
      <w:r>
        <w:rPr>
          <w:rFonts w:hint="eastAsia" w:ascii="宋体" w:hAnsi="宋体" w:cs="宋体"/>
          <w:color w:val="auto"/>
          <w:kern w:val="0"/>
          <w:szCs w:val="21"/>
          <w:highlight w:val="none"/>
        </w:rPr>
        <w:t>采购人和采购代理机构</w:t>
      </w:r>
      <w:r>
        <w:rPr>
          <w:rFonts w:hint="eastAsia" w:ascii="宋体" w:hAnsi="宋体"/>
          <w:color w:val="auto"/>
          <w:szCs w:val="21"/>
          <w:highlight w:val="none"/>
        </w:rPr>
        <w:t>将拒收。</w:t>
      </w:r>
    </w:p>
    <w:p w14:paraId="708AC7B8">
      <w:pPr>
        <w:spacing w:line="276" w:lineRule="auto"/>
        <w:ind w:left="567" w:hanging="567" w:hangingChars="270"/>
        <w:rPr>
          <w:rFonts w:ascii="宋体" w:hAnsi="宋体" w:cs="Helvetica"/>
          <w:color w:val="auto"/>
          <w:kern w:val="0"/>
          <w:szCs w:val="21"/>
          <w:highlight w:val="none"/>
          <w:lang w:val="zh-CN"/>
        </w:rPr>
      </w:pPr>
      <w:r>
        <w:rPr>
          <w:rFonts w:hint="eastAsia" w:ascii="宋体" w:hAnsi="宋体"/>
          <w:color w:val="auto"/>
          <w:szCs w:val="21"/>
          <w:highlight w:val="none"/>
        </w:rPr>
        <w:t>2</w:t>
      </w:r>
      <w:r>
        <w:rPr>
          <w:rFonts w:ascii="宋体" w:hAnsi="宋体"/>
          <w:color w:val="auto"/>
          <w:szCs w:val="21"/>
          <w:highlight w:val="none"/>
        </w:rPr>
        <w:t>0</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 xml:space="preserve"> 除《投标人须知前附表》另有规定外，投标人所递交的投标文件不予退还。</w:t>
      </w:r>
    </w:p>
    <w:p w14:paraId="3C2FFD02">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投标文件的修改和撤回</w:t>
      </w:r>
    </w:p>
    <w:p w14:paraId="36F6636F">
      <w:pPr>
        <w:spacing w:line="276" w:lineRule="auto"/>
        <w:ind w:left="525" w:hanging="525" w:hangingChars="250"/>
        <w:rPr>
          <w:rFonts w:ascii="宋体" w:hAnsi="宋体"/>
          <w:color w:val="auto"/>
          <w:szCs w:val="21"/>
          <w:highlight w:val="none"/>
          <w:lang w:val="zh-CN"/>
        </w:rPr>
      </w:pPr>
      <w:r>
        <w:rPr>
          <w:rFonts w:hint="eastAsia" w:ascii="宋体" w:hAnsi="宋体"/>
          <w:color w:val="auto"/>
          <w:szCs w:val="21"/>
          <w:highlight w:val="none"/>
          <w:lang w:val="zh-CN"/>
        </w:rPr>
        <w:t>21.1 投标人在投标截止时间前，可以对所递交的投标文件进行补充、修改或者撤回，并书面通知采购代理机构。补充、修改的内容应当按照招标文件要求签署、盖章、密封后，作为投标文件的组成部分。</w:t>
      </w:r>
    </w:p>
    <w:p w14:paraId="7EADF3FC">
      <w:pPr>
        <w:spacing w:line="276" w:lineRule="auto"/>
        <w:ind w:left="525" w:hanging="525" w:hangingChars="250"/>
        <w:rPr>
          <w:rFonts w:ascii="宋体" w:hAnsi="宋体"/>
          <w:color w:val="auto"/>
          <w:szCs w:val="21"/>
          <w:highlight w:val="none"/>
          <w:lang w:val="zh-CN"/>
        </w:rPr>
      </w:pPr>
      <w:r>
        <w:rPr>
          <w:rFonts w:hint="eastAsia" w:ascii="宋体" w:hAnsi="宋体"/>
          <w:color w:val="auto"/>
          <w:szCs w:val="21"/>
          <w:highlight w:val="none"/>
          <w:lang w:val="zh-CN"/>
        </w:rPr>
        <w:t>21.</w:t>
      </w:r>
      <w:r>
        <w:rPr>
          <w:rFonts w:ascii="宋体" w:hAnsi="宋体"/>
          <w:color w:val="auto"/>
          <w:szCs w:val="21"/>
          <w:highlight w:val="none"/>
          <w:lang w:val="zh-CN"/>
        </w:rPr>
        <w:t xml:space="preserve">2 </w:t>
      </w:r>
      <w:r>
        <w:rPr>
          <w:rFonts w:hint="eastAsia" w:ascii="宋体" w:hAnsi="宋体"/>
          <w:color w:val="auto"/>
          <w:szCs w:val="21"/>
          <w:highlight w:val="none"/>
          <w:lang w:val="zh-CN"/>
        </w:rPr>
        <w:t>投标有效期内投标人不得撤销其投标文件，否则按照本章“投标保证金”的规定其投标保证金不予退还。</w:t>
      </w:r>
    </w:p>
    <w:p w14:paraId="1B509CDD">
      <w:pPr>
        <w:keepNext/>
        <w:keepLines/>
        <w:numPr>
          <w:ilvl w:val="0"/>
          <w:numId w:val="1"/>
        </w:numPr>
        <w:spacing w:line="276" w:lineRule="auto"/>
        <w:ind w:left="426" w:hanging="426"/>
        <w:jc w:val="left"/>
        <w:outlineLvl w:val="1"/>
        <w:rPr>
          <w:rFonts w:ascii="宋体" w:hAnsi="宋体"/>
          <w:b/>
          <w:color w:val="auto"/>
          <w:kern w:val="0"/>
          <w:szCs w:val="21"/>
          <w:highlight w:val="none"/>
          <w:lang w:val="zh-CN"/>
        </w:rPr>
      </w:pPr>
      <w:bookmarkStart w:id="33" w:name="_Toc494561942"/>
      <w:bookmarkStart w:id="34" w:name="_Toc97815001"/>
      <w:bookmarkStart w:id="35" w:name="_Toc278891595"/>
      <w:bookmarkStart w:id="36" w:name="_Toc272247698"/>
      <w:bookmarkStart w:id="37" w:name="_Toc24456"/>
      <w:r>
        <w:rPr>
          <w:rFonts w:hint="eastAsia" w:ascii="宋体" w:hAnsi="宋体"/>
          <w:b/>
          <w:color w:val="auto"/>
          <w:kern w:val="0"/>
          <w:szCs w:val="21"/>
          <w:highlight w:val="none"/>
          <w:lang w:val="zh-CN"/>
        </w:rPr>
        <w:t>开标与评标</w:t>
      </w:r>
      <w:bookmarkEnd w:id="33"/>
      <w:bookmarkEnd w:id="34"/>
      <w:bookmarkEnd w:id="35"/>
      <w:bookmarkEnd w:id="36"/>
      <w:bookmarkEnd w:id="37"/>
    </w:p>
    <w:p w14:paraId="2879BB6C">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开标</w:t>
      </w:r>
    </w:p>
    <w:p w14:paraId="4398E44D">
      <w:pPr>
        <w:numPr>
          <w:ilvl w:val="0"/>
          <w:numId w:val="24"/>
        </w:numPr>
        <w:spacing w:line="276" w:lineRule="auto"/>
        <w:ind w:left="616" w:hanging="616"/>
        <w:rPr>
          <w:rFonts w:ascii="宋体" w:hAnsi="宋体"/>
          <w:color w:val="auto"/>
          <w:szCs w:val="21"/>
          <w:highlight w:val="none"/>
          <w:lang w:val="zh-CN"/>
        </w:rPr>
      </w:pPr>
      <w:r>
        <w:rPr>
          <w:rFonts w:hint="eastAsia" w:ascii="宋体" w:hAnsi="宋体" w:cs="宋体"/>
          <w:color w:val="auto"/>
          <w:kern w:val="0"/>
          <w:szCs w:val="21"/>
          <w:highlight w:val="none"/>
        </w:rPr>
        <w:t>采购代理机构在第一章</w:t>
      </w:r>
      <w:r>
        <w:rPr>
          <w:rFonts w:hint="eastAsia" w:ascii="宋体" w:hAnsi="宋体"/>
          <w:color w:val="auto"/>
          <w:szCs w:val="21"/>
          <w:highlight w:val="none"/>
          <w:lang w:val="zh-CN"/>
        </w:rPr>
        <w:t>“招标公告（投标邀请书）”中约定的日期、时间和地点组织开标。</w:t>
      </w:r>
    </w:p>
    <w:p w14:paraId="3F8FED75">
      <w:pPr>
        <w:numPr>
          <w:ilvl w:val="0"/>
          <w:numId w:val="24"/>
        </w:numPr>
        <w:spacing w:line="276" w:lineRule="auto"/>
        <w:ind w:left="616" w:hanging="616"/>
        <w:rPr>
          <w:rFonts w:ascii="宋体" w:hAnsi="宋体" w:cs="宋体"/>
          <w:color w:val="auto"/>
          <w:kern w:val="0"/>
          <w:szCs w:val="21"/>
          <w:highlight w:val="none"/>
        </w:rPr>
      </w:pPr>
      <w:r>
        <w:rPr>
          <w:rFonts w:hint="eastAsia" w:ascii="宋体" w:hAnsi="宋体"/>
          <w:color w:val="auto"/>
          <w:szCs w:val="21"/>
          <w:highlight w:val="none"/>
          <w:lang w:val="zh-CN"/>
        </w:rPr>
        <w:t>投标</w:t>
      </w:r>
      <w:r>
        <w:rPr>
          <w:rFonts w:hint="eastAsia" w:ascii="宋体" w:hAnsi="宋体" w:cs="宋体"/>
          <w:color w:val="auto"/>
          <w:kern w:val="0"/>
          <w:szCs w:val="21"/>
          <w:highlight w:val="none"/>
        </w:rPr>
        <w:t>人法定代表人或其授权代表应携带有效身份证明参加项目开标会，投标人未参加开标的，视同认可开标结果。截止投标文件递交时间，投标人不足3家的，不进行开标。</w:t>
      </w:r>
    </w:p>
    <w:p w14:paraId="66D16B7F">
      <w:pPr>
        <w:numPr>
          <w:ilvl w:val="0"/>
          <w:numId w:val="24"/>
        </w:numPr>
        <w:spacing w:line="276" w:lineRule="auto"/>
        <w:ind w:left="616" w:hanging="616"/>
        <w:rPr>
          <w:rFonts w:ascii="宋体" w:hAnsi="宋体" w:cs="宋体"/>
          <w:color w:val="auto"/>
          <w:kern w:val="0"/>
          <w:szCs w:val="21"/>
          <w:highlight w:val="none"/>
        </w:rPr>
      </w:pPr>
      <w:r>
        <w:rPr>
          <w:rFonts w:hint="eastAsia" w:ascii="宋体" w:hAnsi="宋体" w:cs="宋体"/>
          <w:color w:val="auto"/>
          <w:kern w:val="0"/>
          <w:szCs w:val="21"/>
          <w:highlight w:val="none"/>
        </w:rPr>
        <w:t>开标时，由投标人或其推选的代表检查投标文件的密封情况，经确认无误后由招标代理机构工作人员当众拆封，宣布投标人名称、投标价格和招标文件规定的需要宣布的其他内容。</w:t>
      </w:r>
    </w:p>
    <w:p w14:paraId="78C5F52B">
      <w:pPr>
        <w:numPr>
          <w:ilvl w:val="0"/>
          <w:numId w:val="24"/>
        </w:numPr>
        <w:spacing w:line="276" w:lineRule="auto"/>
        <w:ind w:left="616" w:hanging="616"/>
        <w:rPr>
          <w:rFonts w:ascii="宋体" w:hAnsi="宋体" w:cs="宋体"/>
          <w:color w:val="auto"/>
          <w:kern w:val="0"/>
          <w:szCs w:val="21"/>
          <w:highlight w:val="none"/>
        </w:rPr>
      </w:pPr>
      <w:r>
        <w:rPr>
          <w:rFonts w:hint="eastAsia" w:ascii="宋体" w:hAnsi="宋体" w:cs="宋体"/>
          <w:color w:val="auto"/>
          <w:kern w:val="0"/>
          <w:szCs w:val="21"/>
          <w:highlight w:val="none"/>
        </w:rPr>
        <w:t>招标代理机构负责对开标过程进行记录，由参加开标的各投标人代表和相关工作人员对开标记录进行签字确认。</w:t>
      </w:r>
    </w:p>
    <w:p w14:paraId="1720E02A">
      <w:pPr>
        <w:numPr>
          <w:ilvl w:val="0"/>
          <w:numId w:val="24"/>
        </w:numPr>
        <w:spacing w:line="276" w:lineRule="auto"/>
        <w:ind w:left="616" w:hanging="616"/>
        <w:rPr>
          <w:rFonts w:ascii="宋体" w:hAnsi="宋体"/>
          <w:color w:val="auto"/>
          <w:szCs w:val="21"/>
          <w:highlight w:val="none"/>
          <w:lang w:val="zh-CN"/>
        </w:rPr>
      </w:pPr>
      <w:r>
        <w:rPr>
          <w:rFonts w:hint="eastAsia" w:ascii="宋体" w:hAnsi="宋体" w:cs="宋体"/>
          <w:color w:val="auto"/>
          <w:kern w:val="0"/>
          <w:szCs w:val="21"/>
          <w:highlight w:val="none"/>
        </w:rPr>
        <w:t>投标人代表对开标过程和开标记录有疑义，以及认为采购人、招标代理机构相关工作人员有需要回避的情形的，应当场提出询问或者回避申请。采购人、招标代理机构将及时处理投标人代表提出的询问或者</w:t>
      </w:r>
      <w:r>
        <w:rPr>
          <w:rFonts w:hint="eastAsia" w:ascii="宋体" w:hAnsi="宋体"/>
          <w:color w:val="auto"/>
          <w:szCs w:val="21"/>
          <w:highlight w:val="none"/>
          <w:lang w:val="zh-CN"/>
        </w:rPr>
        <w:t>回避申请。</w:t>
      </w:r>
    </w:p>
    <w:p w14:paraId="6153DD7F">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资格审查</w:t>
      </w:r>
    </w:p>
    <w:p w14:paraId="0CB7AE90">
      <w:pPr>
        <w:numPr>
          <w:ilvl w:val="0"/>
          <w:numId w:val="25"/>
        </w:numPr>
        <w:spacing w:line="276" w:lineRule="auto"/>
        <w:ind w:left="616" w:hanging="616"/>
        <w:rPr>
          <w:rFonts w:ascii="宋体" w:hAnsi="宋体"/>
          <w:bCs/>
          <w:color w:val="auto"/>
          <w:szCs w:val="21"/>
          <w:highlight w:val="none"/>
          <w:lang w:val="zh-CN"/>
        </w:rPr>
      </w:pPr>
      <w:r>
        <w:rPr>
          <w:rFonts w:hint="eastAsia" w:ascii="宋体" w:hAnsi="宋体"/>
          <w:bCs/>
          <w:color w:val="auto"/>
          <w:szCs w:val="21"/>
          <w:highlight w:val="none"/>
          <w:lang w:val="zh-CN"/>
        </w:rPr>
        <w:t>开标结束后，采购人与采购代理机构依据法律、法规及招标文件的规定，对投标人的资格进行审查，审查办法详见第四章“资格审查方法及标准”。</w:t>
      </w:r>
    </w:p>
    <w:p w14:paraId="690BDD49">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评标方法</w:t>
      </w:r>
    </w:p>
    <w:p w14:paraId="3C7A9F96">
      <w:pPr>
        <w:numPr>
          <w:ilvl w:val="0"/>
          <w:numId w:val="26"/>
        </w:numPr>
        <w:spacing w:line="276" w:lineRule="auto"/>
        <w:ind w:left="616" w:hanging="616"/>
        <w:rPr>
          <w:rFonts w:ascii="宋体" w:hAnsi="宋体"/>
          <w:bCs/>
          <w:color w:val="auto"/>
          <w:szCs w:val="21"/>
          <w:highlight w:val="none"/>
          <w:lang w:val="zh-CN"/>
        </w:rPr>
      </w:pPr>
      <w:r>
        <w:rPr>
          <w:rFonts w:hint="eastAsia" w:ascii="宋体" w:hAnsi="宋体"/>
          <w:bCs/>
          <w:color w:val="auto"/>
          <w:szCs w:val="21"/>
          <w:highlight w:val="none"/>
          <w:lang w:val="zh-CN"/>
        </w:rPr>
        <w:t>根据《政府采购货物和服务招标投标管理办法》（财政部令第87号）规定</w:t>
      </w:r>
      <w:r>
        <w:rPr>
          <w:rFonts w:ascii="宋体" w:hAnsi="宋体"/>
          <w:bCs/>
          <w:color w:val="auto"/>
          <w:szCs w:val="21"/>
          <w:highlight w:val="none"/>
          <w:lang w:val="zh-CN"/>
        </w:rPr>
        <w:t>，</w:t>
      </w:r>
      <w:r>
        <w:rPr>
          <w:rFonts w:hint="eastAsia" w:ascii="宋体" w:hAnsi="宋体"/>
          <w:bCs/>
          <w:color w:val="auto"/>
          <w:szCs w:val="21"/>
          <w:highlight w:val="none"/>
          <w:lang w:val="zh-CN"/>
        </w:rPr>
        <w:t>评标方法分为最低评标价法和综合评分法。本项目所</w:t>
      </w:r>
      <w:r>
        <w:rPr>
          <w:rFonts w:ascii="宋体" w:hAnsi="宋体"/>
          <w:bCs/>
          <w:color w:val="auto"/>
          <w:szCs w:val="21"/>
          <w:highlight w:val="none"/>
          <w:lang w:val="zh-CN"/>
        </w:rPr>
        <w:t>采用评标方法</w:t>
      </w:r>
      <w:r>
        <w:rPr>
          <w:rFonts w:hint="eastAsia" w:ascii="宋体" w:hAnsi="宋体"/>
          <w:bCs/>
          <w:color w:val="auto"/>
          <w:szCs w:val="21"/>
          <w:highlight w:val="none"/>
          <w:lang w:val="zh-CN"/>
        </w:rPr>
        <w:t>见《投标人须知前附表》。</w:t>
      </w:r>
    </w:p>
    <w:p w14:paraId="6D525EB7">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评标委员会的组成</w:t>
      </w:r>
    </w:p>
    <w:p w14:paraId="68BD02B7">
      <w:pPr>
        <w:numPr>
          <w:ilvl w:val="0"/>
          <w:numId w:val="27"/>
        </w:numPr>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评标委员会由采购人代表和评审专家组成，成员人数应当为5人或5人以上单数，其中评审专家不得少于成员总数的三分之二；</w:t>
      </w:r>
      <w:r>
        <w:rPr>
          <w:rFonts w:hint="eastAsia" w:ascii="宋体" w:hAnsi="宋体"/>
          <w:color w:val="auto"/>
          <w:szCs w:val="21"/>
          <w:highlight w:val="none"/>
          <w:lang w:val="zh-CN"/>
        </w:rPr>
        <w:t>采购预算金额在1000万元及以上、技术复杂或社会影响较大的项目，评标委员会成员人数应当为7人及以上单数。</w:t>
      </w:r>
    </w:p>
    <w:p w14:paraId="415E9CD7">
      <w:pPr>
        <w:numPr>
          <w:ilvl w:val="0"/>
          <w:numId w:val="27"/>
        </w:numPr>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评审专家</w:t>
      </w:r>
      <w:r>
        <w:rPr>
          <w:rFonts w:hint="eastAsia" w:ascii="宋体" w:hAnsi="宋体"/>
          <w:color w:val="auto"/>
          <w:szCs w:val="21"/>
          <w:highlight w:val="none"/>
          <w:lang w:val="zh-CN"/>
        </w:rPr>
        <w:t>依法从政府采购专家库中随机抽取。对技术复杂、专业性强的采购项目，通过随机方式难以确定合适评审专家的，经主管预算单位同意，采购人可以自行选定相应专业领域的评审专家。</w:t>
      </w:r>
    </w:p>
    <w:p w14:paraId="4CA84F0D">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评标程序</w:t>
      </w:r>
    </w:p>
    <w:p w14:paraId="2D5581EB">
      <w:pPr>
        <w:numPr>
          <w:ilvl w:val="0"/>
          <w:numId w:val="28"/>
        </w:numPr>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评标委员会负责具体评标事务，并独立履行下列职责：</w:t>
      </w:r>
    </w:p>
    <w:p w14:paraId="1B2C16D4">
      <w:pPr>
        <w:numPr>
          <w:ilvl w:val="0"/>
          <w:numId w:val="29"/>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审查、评价投标文件是否符合招标文件的商务、技术等实质性要求；</w:t>
      </w:r>
    </w:p>
    <w:p w14:paraId="2E3072B8">
      <w:pPr>
        <w:numPr>
          <w:ilvl w:val="0"/>
          <w:numId w:val="29"/>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要求投标人对投标文件有关事项作出澄清或者说明；</w:t>
      </w:r>
    </w:p>
    <w:p w14:paraId="68C8B921">
      <w:pPr>
        <w:numPr>
          <w:ilvl w:val="0"/>
          <w:numId w:val="29"/>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对投标文件进行综合比较和评价；</w:t>
      </w:r>
    </w:p>
    <w:p w14:paraId="653C6097">
      <w:pPr>
        <w:numPr>
          <w:ilvl w:val="0"/>
          <w:numId w:val="29"/>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确定中标候选人名单或中标人；</w:t>
      </w:r>
    </w:p>
    <w:p w14:paraId="63872168">
      <w:pPr>
        <w:numPr>
          <w:ilvl w:val="0"/>
          <w:numId w:val="29"/>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向采购人、采购代理机构或者有关部门报告评标中发现的违法行为。</w:t>
      </w:r>
    </w:p>
    <w:p w14:paraId="20FBDCB0">
      <w:pPr>
        <w:numPr>
          <w:ilvl w:val="0"/>
          <w:numId w:val="28"/>
        </w:numPr>
        <w:spacing w:line="276" w:lineRule="auto"/>
        <w:ind w:left="616" w:hanging="616"/>
        <w:rPr>
          <w:rFonts w:ascii="宋体" w:hAnsi="宋体" w:cs="Helvetica"/>
          <w:color w:val="auto"/>
          <w:kern w:val="0"/>
          <w:szCs w:val="21"/>
          <w:highlight w:val="none"/>
          <w:lang w:val="zh-CN"/>
        </w:rPr>
      </w:pPr>
      <w:r>
        <w:rPr>
          <w:rFonts w:hint="eastAsia" w:ascii="宋体" w:hAnsi="宋体" w:cs="Helvetica"/>
          <w:color w:val="auto"/>
          <w:kern w:val="0"/>
          <w:szCs w:val="21"/>
          <w:highlight w:val="none"/>
          <w:lang w:val="zh-CN"/>
        </w:rPr>
        <w:t>评标程序详见第五章“评标方法、程序及标准”。</w:t>
      </w:r>
    </w:p>
    <w:p w14:paraId="25FA5BE3">
      <w:pPr>
        <w:keepNext/>
        <w:keepLines/>
        <w:numPr>
          <w:ilvl w:val="0"/>
          <w:numId w:val="1"/>
        </w:numPr>
        <w:spacing w:line="276" w:lineRule="auto"/>
        <w:ind w:left="426" w:hanging="426"/>
        <w:jc w:val="left"/>
        <w:outlineLvl w:val="1"/>
        <w:rPr>
          <w:rFonts w:ascii="宋体" w:hAnsi="宋体"/>
          <w:b/>
          <w:color w:val="auto"/>
          <w:kern w:val="0"/>
          <w:szCs w:val="21"/>
          <w:highlight w:val="none"/>
          <w:lang w:val="zh-CN"/>
        </w:rPr>
      </w:pPr>
      <w:bookmarkStart w:id="38" w:name="_Toc494561943"/>
      <w:bookmarkStart w:id="39" w:name="_Toc13920"/>
      <w:bookmarkStart w:id="40" w:name="_Toc97815002"/>
      <w:r>
        <w:rPr>
          <w:rFonts w:hint="eastAsia" w:ascii="宋体" w:hAnsi="宋体"/>
          <w:b/>
          <w:color w:val="auto"/>
          <w:kern w:val="0"/>
          <w:szCs w:val="21"/>
          <w:highlight w:val="none"/>
          <w:lang w:val="zh-CN"/>
        </w:rPr>
        <w:t>投标人信用信息及查询</w:t>
      </w:r>
      <w:bookmarkEnd w:id="38"/>
      <w:bookmarkEnd w:id="39"/>
      <w:bookmarkEnd w:id="40"/>
    </w:p>
    <w:p w14:paraId="75A03FD3">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信用信息查询渠道及使用规则</w:t>
      </w:r>
    </w:p>
    <w:p w14:paraId="1270277B">
      <w:pPr>
        <w:numPr>
          <w:ilvl w:val="0"/>
          <w:numId w:val="30"/>
        </w:numPr>
        <w:spacing w:line="276" w:lineRule="auto"/>
        <w:ind w:left="616" w:hanging="616"/>
        <w:rPr>
          <w:rFonts w:ascii="宋体" w:hAnsi="宋体" w:cs="Helvetica"/>
          <w:color w:val="auto"/>
          <w:kern w:val="0"/>
          <w:szCs w:val="21"/>
          <w:highlight w:val="none"/>
          <w:lang w:val="zh-CN"/>
        </w:rPr>
      </w:pPr>
      <w:r>
        <w:rPr>
          <w:rFonts w:hint="eastAsia" w:ascii="宋体" w:hAnsi="宋体" w:cs="Helvetica"/>
          <w:color w:val="auto"/>
          <w:kern w:val="0"/>
          <w:szCs w:val="21"/>
          <w:highlight w:val="none"/>
          <w:lang w:val="zh-CN"/>
        </w:rPr>
        <w:t>按照《关于在政府采购活动中查询及使用信用记录有关问题的通知》的要求，参与政府采购的投标人，信用记录的查询渠道为“信用中国”网站(www.creditchina.gov.cn)</w:t>
      </w:r>
      <w:r>
        <w:rPr>
          <w:rFonts w:hint="eastAsia" w:ascii="宋体" w:hAnsi="宋体" w:cs="Helvetica"/>
          <w:color w:val="auto"/>
          <w:kern w:val="0"/>
          <w:szCs w:val="21"/>
          <w:highlight w:val="none"/>
        </w:rPr>
        <w:t>及“中国政府采购网”</w:t>
      </w:r>
      <w:r>
        <w:rPr>
          <w:rFonts w:hint="eastAsia" w:ascii="宋体" w:hAnsi="宋体" w:cs="Helvetica"/>
          <w:color w:val="auto"/>
          <w:kern w:val="0"/>
          <w:szCs w:val="21"/>
          <w:highlight w:val="none"/>
          <w:lang w:val="zh-CN"/>
        </w:rPr>
        <w:t>。</w:t>
      </w:r>
    </w:p>
    <w:p w14:paraId="11B57E40">
      <w:pPr>
        <w:numPr>
          <w:ilvl w:val="0"/>
          <w:numId w:val="30"/>
        </w:numPr>
        <w:spacing w:line="276" w:lineRule="auto"/>
        <w:ind w:left="616" w:hanging="616"/>
        <w:rPr>
          <w:rFonts w:ascii="宋体" w:hAnsi="宋体" w:cs="Helvetica"/>
          <w:color w:val="auto"/>
          <w:kern w:val="0"/>
          <w:szCs w:val="21"/>
          <w:highlight w:val="none"/>
          <w:lang w:val="zh-CN"/>
        </w:rPr>
      </w:pPr>
      <w:r>
        <w:rPr>
          <w:rFonts w:hint="eastAsia" w:ascii="宋体" w:hAnsi="宋体" w:cs="Helvetica"/>
          <w:color w:val="auto"/>
          <w:kern w:val="0"/>
          <w:szCs w:val="21"/>
          <w:highlight w:val="none"/>
          <w:lang w:val="zh-CN"/>
        </w:rPr>
        <w:t>列入失信被执行人、</w:t>
      </w:r>
      <w:r>
        <w:rPr>
          <w:rFonts w:hint="eastAsia" w:ascii="宋体" w:hAnsi="宋体"/>
          <w:color w:val="auto"/>
          <w:szCs w:val="21"/>
          <w:highlight w:val="none"/>
        </w:rPr>
        <w:t>重大税收违法失信主体</w:t>
      </w:r>
      <w:r>
        <w:rPr>
          <w:rFonts w:hint="eastAsia" w:ascii="宋体" w:hAnsi="宋体" w:cs="Helvetica"/>
          <w:color w:val="auto"/>
          <w:kern w:val="0"/>
          <w:szCs w:val="21"/>
          <w:highlight w:val="none"/>
          <w:lang w:val="zh-CN"/>
        </w:rPr>
        <w:t>、政府采购严重违法失信行为记录名单的投标人，采购代理机构</w:t>
      </w:r>
      <w:r>
        <w:rPr>
          <w:rFonts w:hint="eastAsia" w:ascii="宋体" w:hAnsi="宋体" w:cs="Helvetica"/>
          <w:b/>
          <w:color w:val="auto"/>
          <w:kern w:val="0"/>
          <w:szCs w:val="21"/>
          <w:highlight w:val="none"/>
          <w:lang w:val="zh-CN"/>
        </w:rPr>
        <w:t>拒绝</w:t>
      </w:r>
      <w:r>
        <w:rPr>
          <w:rFonts w:hint="eastAsia" w:ascii="宋体" w:hAnsi="宋体" w:cs="Helvetica"/>
          <w:color w:val="auto"/>
          <w:kern w:val="0"/>
          <w:szCs w:val="21"/>
          <w:highlight w:val="none"/>
          <w:lang w:val="zh-CN"/>
        </w:rPr>
        <w:t>其参与政府采购活动。</w:t>
      </w:r>
    </w:p>
    <w:p w14:paraId="67C615EE">
      <w:pPr>
        <w:numPr>
          <w:ilvl w:val="0"/>
          <w:numId w:val="30"/>
        </w:numPr>
        <w:spacing w:line="276" w:lineRule="auto"/>
        <w:ind w:left="616" w:hanging="616"/>
        <w:rPr>
          <w:rFonts w:ascii="宋体" w:hAnsi="宋体" w:cs="Helvetica"/>
          <w:color w:val="auto"/>
          <w:kern w:val="0"/>
          <w:szCs w:val="21"/>
          <w:highlight w:val="none"/>
          <w:lang w:val="zh-CN"/>
        </w:rPr>
      </w:pPr>
      <w:r>
        <w:rPr>
          <w:rFonts w:hint="eastAsia" w:ascii="宋体" w:hAnsi="宋体" w:cs="Helvetica"/>
          <w:color w:val="auto"/>
          <w:kern w:val="0"/>
          <w:szCs w:val="21"/>
          <w:highlight w:val="none"/>
          <w:lang w:val="zh-CN"/>
        </w:rPr>
        <w:t>两个及以上自然人、法人或者其他组织组成联合体，以一个投标人的身份共同参加政府采购活动的，应当对所有联合体成员进行信用记录查询，联合体成员存在不良信用记录的，视同联合体存在不良信用信息。</w:t>
      </w:r>
    </w:p>
    <w:p w14:paraId="4FA36376">
      <w:pPr>
        <w:numPr>
          <w:ilvl w:val="0"/>
          <w:numId w:val="30"/>
        </w:numPr>
        <w:spacing w:line="276" w:lineRule="auto"/>
        <w:ind w:left="616" w:hanging="616"/>
        <w:rPr>
          <w:rFonts w:ascii="宋体" w:hAnsi="宋体" w:cs="Helvetica"/>
          <w:color w:val="auto"/>
          <w:kern w:val="0"/>
          <w:szCs w:val="21"/>
          <w:highlight w:val="none"/>
          <w:lang w:val="zh-CN"/>
        </w:rPr>
      </w:pPr>
      <w:r>
        <w:rPr>
          <w:rFonts w:hint="eastAsia" w:ascii="宋体" w:hAnsi="宋体" w:cs="Helvetica"/>
          <w:color w:val="auto"/>
          <w:kern w:val="0"/>
          <w:szCs w:val="21"/>
          <w:highlight w:val="none"/>
          <w:lang w:val="zh-CN"/>
        </w:rPr>
        <w:t>在资格审查与评标工作未同日进行的特殊情形下，采购代理机构工作人员在评标时对投标人的信用信息进行复核，发现评标当日存在不良信用信息的，由评标委员会按照符合性审查不合格作</w:t>
      </w:r>
      <w:r>
        <w:rPr>
          <w:rFonts w:hint="eastAsia" w:ascii="宋体" w:hAnsi="宋体" w:cs="Helvetica"/>
          <w:b/>
          <w:color w:val="auto"/>
          <w:kern w:val="0"/>
          <w:szCs w:val="21"/>
          <w:highlight w:val="none"/>
          <w:lang w:val="zh-CN"/>
        </w:rPr>
        <w:t>无效投标处理</w:t>
      </w:r>
      <w:r>
        <w:rPr>
          <w:rFonts w:hint="eastAsia" w:ascii="宋体" w:hAnsi="宋体" w:cs="Helvetica"/>
          <w:color w:val="auto"/>
          <w:kern w:val="0"/>
          <w:szCs w:val="21"/>
          <w:highlight w:val="none"/>
          <w:lang w:val="zh-CN"/>
        </w:rPr>
        <w:t>。</w:t>
      </w:r>
    </w:p>
    <w:p w14:paraId="343836DB">
      <w:pPr>
        <w:keepNext/>
        <w:keepLines/>
        <w:numPr>
          <w:ilvl w:val="0"/>
          <w:numId w:val="1"/>
        </w:numPr>
        <w:spacing w:line="276" w:lineRule="auto"/>
        <w:ind w:left="426" w:hanging="426"/>
        <w:jc w:val="left"/>
        <w:outlineLvl w:val="1"/>
        <w:rPr>
          <w:rFonts w:ascii="宋体" w:hAnsi="宋体"/>
          <w:b/>
          <w:color w:val="auto"/>
          <w:kern w:val="0"/>
          <w:szCs w:val="21"/>
          <w:highlight w:val="none"/>
          <w:lang w:val="zh-CN"/>
        </w:rPr>
      </w:pPr>
      <w:bookmarkStart w:id="41" w:name="_Toc97815003"/>
      <w:bookmarkStart w:id="42" w:name="_Toc494561944"/>
      <w:bookmarkStart w:id="43" w:name="_Toc8361"/>
      <w:r>
        <w:rPr>
          <w:rFonts w:hint="eastAsia" w:ascii="宋体" w:hAnsi="宋体"/>
          <w:b/>
          <w:color w:val="auto"/>
          <w:kern w:val="0"/>
          <w:szCs w:val="21"/>
          <w:highlight w:val="none"/>
          <w:lang w:val="zh-CN"/>
        </w:rPr>
        <w:t>中标与合同</w:t>
      </w:r>
      <w:bookmarkEnd w:id="41"/>
      <w:bookmarkEnd w:id="42"/>
      <w:bookmarkEnd w:id="43"/>
    </w:p>
    <w:p w14:paraId="37B6C7EE">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确定中标人</w:t>
      </w:r>
    </w:p>
    <w:p w14:paraId="21B326C7">
      <w:pPr>
        <w:numPr>
          <w:ilvl w:val="0"/>
          <w:numId w:val="31"/>
        </w:numPr>
        <w:spacing w:line="276" w:lineRule="auto"/>
        <w:ind w:left="616" w:hanging="616"/>
        <w:rPr>
          <w:rFonts w:ascii="宋体" w:hAnsi="宋体"/>
          <w:color w:val="auto"/>
          <w:szCs w:val="21"/>
          <w:highlight w:val="none"/>
          <w:lang w:val="zh-CN"/>
        </w:rPr>
      </w:pPr>
      <w:r>
        <w:rPr>
          <w:rFonts w:hint="eastAsia" w:ascii="宋体" w:hAnsi="宋体" w:cs="宋体"/>
          <w:color w:val="auto"/>
          <w:kern w:val="0"/>
          <w:szCs w:val="21"/>
          <w:highlight w:val="none"/>
        </w:rPr>
        <w:t>采购代理机构应当在评标结束后2个工作日内将评标报告送采购人。</w:t>
      </w:r>
    </w:p>
    <w:p w14:paraId="5C31E6E8">
      <w:pPr>
        <w:numPr>
          <w:ilvl w:val="0"/>
          <w:numId w:val="31"/>
        </w:numPr>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采购人收到评标报告5个工作日内，按评标报告推荐的中标候选人顺序确定中标人。</w:t>
      </w:r>
    </w:p>
    <w:p w14:paraId="1E819F67">
      <w:pPr>
        <w:numPr>
          <w:ilvl w:val="0"/>
          <w:numId w:val="31"/>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允许投标人同时参与多标包投标的，确定中标候选人的办法详见《投标人须知前附表》。</w:t>
      </w:r>
    </w:p>
    <w:p w14:paraId="3FB009E9">
      <w:pPr>
        <w:numPr>
          <w:ilvl w:val="0"/>
          <w:numId w:val="31"/>
        </w:numPr>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中标候选人并列的：</w:t>
      </w:r>
    </w:p>
    <w:p w14:paraId="76B0203C">
      <w:pPr>
        <w:numPr>
          <w:ilvl w:val="0"/>
          <w:numId w:val="32"/>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采用最低评标价法的，评审结果按投标报价由低到高顺序排列。投标报价相同的并列，由采购人确定或者采购人委托评标委员会以投票方式确定中标人。</w:t>
      </w:r>
    </w:p>
    <w:p w14:paraId="14D87707">
      <w:pPr>
        <w:numPr>
          <w:ilvl w:val="0"/>
          <w:numId w:val="32"/>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采用综合评分法的，评审结果按评审后得分由高到低顺序排列。得分相同的，按投标报价由低到高顺序排列。得分且投标报价相同的并列，由采购人确定或者采购人委托评标委员会以投票方式确定中标人。</w:t>
      </w:r>
    </w:p>
    <w:p w14:paraId="3A39D2CD">
      <w:pPr>
        <w:numPr>
          <w:ilvl w:val="0"/>
          <w:numId w:val="31"/>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中标人的数量有其他规定的，按招标文件相关规定执行。</w:t>
      </w:r>
    </w:p>
    <w:p w14:paraId="617D3F4E">
      <w:pPr>
        <w:numPr>
          <w:ilvl w:val="0"/>
          <w:numId w:val="31"/>
        </w:numPr>
        <w:spacing w:line="276" w:lineRule="auto"/>
        <w:ind w:left="616" w:hanging="616"/>
        <w:rPr>
          <w:rFonts w:ascii="宋体" w:hAnsi="宋体"/>
          <w:strike/>
          <w:color w:val="auto"/>
          <w:szCs w:val="21"/>
          <w:highlight w:val="none"/>
          <w:lang w:val="zh-CN"/>
        </w:rPr>
      </w:pPr>
      <w:r>
        <w:rPr>
          <w:rFonts w:hint="eastAsia" w:ascii="宋体" w:hAnsi="宋体"/>
          <w:color w:val="auto"/>
          <w:szCs w:val="21"/>
          <w:highlight w:val="none"/>
          <w:lang w:val="zh-CN"/>
        </w:rPr>
        <w:t>中标人确定后，采购代理机构在政府采购监管部门指定的媒体上发布中标公告，同时向中标人和采购人发出《中标通知书》。《中标通知书》是政府采购合同的组成部分,对中标人和采购人具有同等法律效力。</w:t>
      </w:r>
    </w:p>
    <w:p w14:paraId="533FFD39">
      <w:pPr>
        <w:numPr>
          <w:ilvl w:val="0"/>
          <w:numId w:val="31"/>
        </w:numPr>
        <w:spacing w:line="276" w:lineRule="auto"/>
        <w:ind w:left="616" w:hanging="616"/>
        <w:rPr>
          <w:rFonts w:ascii="宋体" w:hAnsi="宋体"/>
          <w:strike/>
          <w:color w:val="auto"/>
          <w:szCs w:val="21"/>
          <w:highlight w:val="none"/>
          <w:lang w:val="zh-CN"/>
        </w:rPr>
      </w:pPr>
      <w:r>
        <w:rPr>
          <w:rFonts w:hint="eastAsia" w:ascii="宋体" w:hAnsi="宋体" w:cs="Helvetica"/>
          <w:color w:val="auto"/>
          <w:kern w:val="0"/>
          <w:szCs w:val="21"/>
          <w:highlight w:val="none"/>
          <w:lang w:val="zh-CN"/>
        </w:rPr>
        <w:t>中标通知书发出后，采购人不得违法改变中标结果，中标人无正当理由不得放弃中标。</w:t>
      </w:r>
      <w:r>
        <w:rPr>
          <w:rFonts w:hint="eastAsia" w:ascii="宋体" w:hAnsi="宋体" w:cs="宋体"/>
          <w:snapToGrid w:val="0"/>
          <w:color w:val="auto"/>
          <w:szCs w:val="21"/>
          <w:highlight w:val="none"/>
          <w:lang w:val="zh-CN"/>
        </w:rPr>
        <w:t>中标人应向采购人提供完整的投标文件存档。</w:t>
      </w:r>
    </w:p>
    <w:p w14:paraId="562BADEA">
      <w:pPr>
        <w:numPr>
          <w:ilvl w:val="0"/>
          <w:numId w:val="31"/>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中标人拒绝与采购人签订合同的，采购人可以按照评标报告推荐的中标候选人名单排序，确定下一候选人为中标人，也可以重新开展政府采购活动。</w:t>
      </w:r>
    </w:p>
    <w:p w14:paraId="0DE90E25">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合同授予</w:t>
      </w:r>
    </w:p>
    <w:p w14:paraId="5D6AF282">
      <w:pPr>
        <w:numPr>
          <w:ilvl w:val="0"/>
          <w:numId w:val="33"/>
        </w:numPr>
        <w:spacing w:line="276" w:lineRule="auto"/>
        <w:ind w:left="616" w:hanging="616"/>
        <w:rPr>
          <w:rFonts w:ascii="宋体" w:hAnsi="宋体"/>
          <w:b/>
          <w:bCs/>
          <w:color w:val="auto"/>
          <w:szCs w:val="21"/>
          <w:highlight w:val="none"/>
          <w:lang w:val="zh-CN"/>
        </w:rPr>
      </w:pPr>
      <w:r>
        <w:rPr>
          <w:rFonts w:hint="eastAsia" w:ascii="宋体" w:hAnsi="宋体"/>
          <w:color w:val="auto"/>
          <w:szCs w:val="21"/>
          <w:highlight w:val="none"/>
          <w:lang w:val="zh-CN"/>
        </w:rPr>
        <w:t>除本章“确定中标人”规定及其他法律规定的情形外，</w:t>
      </w:r>
      <w:r>
        <w:rPr>
          <w:rFonts w:hint="eastAsia" w:ascii="宋体" w:hAnsi="宋体"/>
          <w:b/>
          <w:bCs/>
          <w:color w:val="auto"/>
          <w:szCs w:val="21"/>
          <w:highlight w:val="none"/>
          <w:lang w:val="zh-CN"/>
        </w:rPr>
        <w:t>采购人把合同授予被确定为实质上响应招标文件要求且排名第一的中标人。</w:t>
      </w:r>
    </w:p>
    <w:p w14:paraId="06ADA02D">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合同签订</w:t>
      </w:r>
    </w:p>
    <w:p w14:paraId="5CE2CAB6">
      <w:pPr>
        <w:numPr>
          <w:ilvl w:val="0"/>
          <w:numId w:val="34"/>
        </w:numPr>
        <w:spacing w:line="276" w:lineRule="auto"/>
        <w:ind w:left="567" w:hanging="567"/>
        <w:rPr>
          <w:rFonts w:ascii="宋体" w:hAnsi="宋体"/>
          <w:color w:val="auto"/>
          <w:szCs w:val="21"/>
          <w:highlight w:val="none"/>
          <w:lang w:val="zh-CN"/>
        </w:rPr>
      </w:pPr>
      <w:bookmarkStart w:id="44" w:name="_Toc272247700"/>
      <w:bookmarkStart w:id="45" w:name="_Toc278891597"/>
      <w:r>
        <w:rPr>
          <w:rFonts w:hint="eastAsia" w:ascii="宋体" w:hAnsi="宋体"/>
          <w:color w:val="auto"/>
          <w:szCs w:val="21"/>
          <w:highlight w:val="none"/>
          <w:lang w:val="zh-CN"/>
        </w:rPr>
        <w:t>招标文件对履约保证金有规定的，中标人应按规定缴纳履约保证金。有关履约保证金的规定详见《投标人须知前附表》。未按要求提交履约保证金的，视为放弃中标，其投标保证金不予退还，给采购人造成的损失超过投标保证金数额的，中标人还应当对超过部分予以赔偿。</w:t>
      </w:r>
    </w:p>
    <w:p w14:paraId="385BC8DC">
      <w:pPr>
        <w:numPr>
          <w:ilvl w:val="0"/>
          <w:numId w:val="34"/>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采购人应当自中标通知书发出之日起30日内，按照招标文件规定和中标人投标文件的承诺，与中标人签订书面合同。所签订的合同不得对招标文件确定的事项和中标人投标文件作实质性修改。</w:t>
      </w:r>
    </w:p>
    <w:p w14:paraId="16CF853C">
      <w:pPr>
        <w:numPr>
          <w:ilvl w:val="0"/>
          <w:numId w:val="34"/>
        </w:numPr>
        <w:tabs>
          <w:tab w:val="left" w:pos="616"/>
        </w:tabs>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采购人不得向中标人提出任何不合理的要求作为签订合同的条件。</w:t>
      </w:r>
    </w:p>
    <w:p w14:paraId="29C925B6">
      <w:pPr>
        <w:numPr>
          <w:ilvl w:val="0"/>
          <w:numId w:val="34"/>
        </w:numPr>
        <w:tabs>
          <w:tab w:val="left" w:pos="616"/>
        </w:tabs>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政府采购合同应当包括采购人与中标人的名称和住所、标的、数量、质量、价款或者报酬、履行期限及地点和方式、验收要求、违约责任、解决争议的方法等内容。</w:t>
      </w:r>
    </w:p>
    <w:p w14:paraId="09252DB5">
      <w:pPr>
        <w:numPr>
          <w:ilvl w:val="0"/>
          <w:numId w:val="34"/>
        </w:numPr>
        <w:tabs>
          <w:tab w:val="left" w:pos="616"/>
        </w:tabs>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付款方式，详见《投标人须知前附表》。</w:t>
      </w:r>
    </w:p>
    <w:p w14:paraId="430A879F">
      <w:pPr>
        <w:numPr>
          <w:ilvl w:val="0"/>
          <w:numId w:val="34"/>
        </w:numPr>
        <w:tabs>
          <w:tab w:val="left" w:pos="616"/>
        </w:tabs>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采购人与中标人应当根据合同的约定依法履行合同义务。政府采购合同的履行、违约责任和解决争议的方法等适用《中华人民共和国民法典》。</w:t>
      </w:r>
    </w:p>
    <w:p w14:paraId="2B2D2B80">
      <w:pPr>
        <w:numPr>
          <w:ilvl w:val="0"/>
          <w:numId w:val="34"/>
        </w:numPr>
        <w:tabs>
          <w:tab w:val="left" w:pos="616"/>
        </w:tabs>
        <w:spacing w:line="276" w:lineRule="auto"/>
        <w:ind w:left="616" w:hanging="616"/>
        <w:rPr>
          <w:rFonts w:ascii="宋体" w:hAnsi="宋体"/>
          <w:color w:val="auto"/>
          <w:szCs w:val="21"/>
          <w:highlight w:val="none"/>
          <w:lang w:val="zh-CN"/>
        </w:rPr>
      </w:pPr>
      <w:r>
        <w:rPr>
          <w:rFonts w:hint="eastAsia" w:ascii="宋体" w:hAnsi="宋体" w:cs="Helvetica"/>
          <w:color w:val="auto"/>
          <w:kern w:val="0"/>
          <w:szCs w:val="21"/>
          <w:highlight w:val="none"/>
          <w:lang w:val="zh-CN"/>
        </w:rPr>
        <w:t>采购人应当加强对中标人的履约管理，并按照采购合同约定，及时向中标人支付采购资金。对于中标人违反采购合同约定的行为，采购人应当及时处理，依法追究其违约责任。</w:t>
      </w:r>
    </w:p>
    <w:p w14:paraId="0E05BFE3">
      <w:pPr>
        <w:keepNext/>
        <w:keepLines/>
        <w:numPr>
          <w:ilvl w:val="0"/>
          <w:numId w:val="1"/>
        </w:numPr>
        <w:spacing w:line="276" w:lineRule="auto"/>
        <w:ind w:left="426" w:hanging="426"/>
        <w:jc w:val="left"/>
        <w:outlineLvl w:val="1"/>
        <w:rPr>
          <w:rFonts w:ascii="宋体" w:hAnsi="宋体"/>
          <w:b/>
          <w:color w:val="auto"/>
          <w:kern w:val="0"/>
          <w:szCs w:val="21"/>
          <w:highlight w:val="none"/>
          <w:lang w:val="zh-CN"/>
        </w:rPr>
      </w:pPr>
      <w:bookmarkStart w:id="46" w:name="_Toc97815004"/>
      <w:bookmarkStart w:id="47" w:name="_Toc12495"/>
      <w:bookmarkStart w:id="48" w:name="_Toc494561945"/>
      <w:r>
        <w:rPr>
          <w:rFonts w:hint="eastAsia" w:ascii="宋体" w:hAnsi="宋体"/>
          <w:b/>
          <w:color w:val="auto"/>
          <w:kern w:val="0"/>
          <w:szCs w:val="21"/>
          <w:highlight w:val="none"/>
          <w:lang w:val="zh-CN"/>
        </w:rPr>
        <w:t>采购信息公告</w:t>
      </w:r>
      <w:bookmarkEnd w:id="46"/>
      <w:bookmarkEnd w:id="47"/>
      <w:bookmarkEnd w:id="48"/>
    </w:p>
    <w:p w14:paraId="6AC98E3A">
      <w:pPr>
        <w:numPr>
          <w:ilvl w:val="0"/>
          <w:numId w:val="2"/>
        </w:numPr>
        <w:spacing w:line="276" w:lineRule="auto"/>
        <w:rPr>
          <w:rFonts w:ascii="宋体" w:hAnsi="宋体" w:cs="Helvetica"/>
          <w:b/>
          <w:color w:val="auto"/>
          <w:kern w:val="0"/>
          <w:szCs w:val="21"/>
          <w:highlight w:val="none"/>
          <w:lang w:val="zh-CN"/>
        </w:rPr>
      </w:pPr>
      <w:r>
        <w:rPr>
          <w:rFonts w:hint="eastAsia" w:ascii="宋体" w:hAnsi="宋体"/>
          <w:b/>
          <w:color w:val="auto"/>
          <w:szCs w:val="21"/>
          <w:highlight w:val="none"/>
          <w:lang w:val="zh-CN"/>
        </w:rPr>
        <w:t>公告的媒体及规定</w:t>
      </w:r>
    </w:p>
    <w:p w14:paraId="7673B0D7">
      <w:pPr>
        <w:numPr>
          <w:ilvl w:val="0"/>
          <w:numId w:val="35"/>
        </w:numPr>
        <w:tabs>
          <w:tab w:val="left" w:pos="616"/>
        </w:tabs>
        <w:spacing w:line="276" w:lineRule="auto"/>
        <w:ind w:left="616" w:hanging="616"/>
        <w:rPr>
          <w:rFonts w:ascii="宋体" w:hAnsi="宋体" w:cs="宋体"/>
          <w:color w:val="auto"/>
          <w:kern w:val="0"/>
          <w:szCs w:val="21"/>
          <w:highlight w:val="none"/>
          <w:lang w:val="zh-CN"/>
        </w:rPr>
      </w:pPr>
      <w:r>
        <w:rPr>
          <w:rFonts w:hint="eastAsia" w:ascii="宋体" w:hAnsi="宋体" w:cs="Helvetica"/>
          <w:color w:val="auto"/>
          <w:kern w:val="0"/>
          <w:szCs w:val="21"/>
          <w:highlight w:val="none"/>
          <w:lang w:val="zh-CN"/>
        </w:rPr>
        <w:t>采购代理机构在招标活动中</w:t>
      </w:r>
      <w:r>
        <w:rPr>
          <w:rFonts w:hint="eastAsia" w:ascii="宋体" w:hAnsi="宋体" w:cs="宋体"/>
          <w:color w:val="auto"/>
          <w:kern w:val="0"/>
          <w:szCs w:val="21"/>
          <w:highlight w:val="none"/>
          <w:lang w:val="zh-CN"/>
        </w:rPr>
        <w:t>的公告、补充、更正、结果等采购信息均依法在政府采购监管部门指定媒体上发布。</w:t>
      </w:r>
    </w:p>
    <w:p w14:paraId="50371614">
      <w:pPr>
        <w:numPr>
          <w:ilvl w:val="0"/>
          <w:numId w:val="35"/>
        </w:numPr>
        <w:tabs>
          <w:tab w:val="left" w:pos="616"/>
        </w:tabs>
        <w:spacing w:line="276" w:lineRule="auto"/>
        <w:ind w:left="616" w:hanging="61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采购代理机构在自中标人确定之日起2个工作日内，在政府采购监管部门指定媒体上公告中标结果，中标公告的公示期为1个工作日。</w:t>
      </w:r>
    </w:p>
    <w:p w14:paraId="4CD53A22">
      <w:pPr>
        <w:numPr>
          <w:ilvl w:val="0"/>
          <w:numId w:val="35"/>
        </w:numPr>
        <w:tabs>
          <w:tab w:val="left" w:pos="616"/>
        </w:tabs>
        <w:spacing w:line="276" w:lineRule="auto"/>
        <w:ind w:left="616" w:hanging="61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资格审查未通过的投标人可在中标公告质疑有效期内按公告中的联系方式获知本人的资格审查情况。</w:t>
      </w:r>
    </w:p>
    <w:p w14:paraId="1A85CCC1">
      <w:pPr>
        <w:numPr>
          <w:ilvl w:val="0"/>
          <w:numId w:val="35"/>
        </w:numPr>
        <w:tabs>
          <w:tab w:val="left" w:pos="616"/>
        </w:tabs>
        <w:spacing w:line="276" w:lineRule="auto"/>
        <w:ind w:left="616" w:hanging="61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采用综合评分法评审的项目，未中标人可在中标公告质疑有效期内按公告中的联系方式获知本人的评审得分与排序。</w:t>
      </w:r>
    </w:p>
    <w:p w14:paraId="17BBFA76">
      <w:pPr>
        <w:keepNext/>
        <w:keepLines/>
        <w:numPr>
          <w:ilvl w:val="0"/>
          <w:numId w:val="1"/>
        </w:numPr>
        <w:spacing w:line="276" w:lineRule="auto"/>
        <w:ind w:left="426" w:hanging="426"/>
        <w:jc w:val="left"/>
        <w:outlineLvl w:val="1"/>
        <w:rPr>
          <w:rFonts w:ascii="宋体" w:hAnsi="宋体"/>
          <w:b/>
          <w:color w:val="auto"/>
          <w:kern w:val="0"/>
          <w:szCs w:val="21"/>
          <w:highlight w:val="none"/>
          <w:lang w:val="zh-CN"/>
        </w:rPr>
      </w:pPr>
      <w:bookmarkStart w:id="49" w:name="_Toc494561946"/>
      <w:bookmarkStart w:id="50" w:name="_Toc270"/>
      <w:bookmarkStart w:id="51" w:name="_Toc97815005"/>
      <w:r>
        <w:rPr>
          <w:rFonts w:hint="eastAsia" w:ascii="宋体" w:hAnsi="宋体"/>
          <w:b/>
          <w:color w:val="auto"/>
          <w:kern w:val="0"/>
          <w:szCs w:val="21"/>
          <w:highlight w:val="none"/>
          <w:lang w:val="zh-CN"/>
        </w:rPr>
        <w:t>质疑</w:t>
      </w:r>
      <w:bookmarkEnd w:id="44"/>
      <w:bookmarkEnd w:id="45"/>
      <w:r>
        <w:rPr>
          <w:rFonts w:hint="eastAsia" w:ascii="宋体" w:hAnsi="宋体"/>
          <w:b/>
          <w:color w:val="auto"/>
          <w:kern w:val="0"/>
          <w:szCs w:val="21"/>
          <w:highlight w:val="none"/>
          <w:lang w:val="zh-CN"/>
        </w:rPr>
        <w:t>及提交</w:t>
      </w:r>
      <w:bookmarkEnd w:id="49"/>
      <w:bookmarkEnd w:id="50"/>
      <w:bookmarkEnd w:id="51"/>
    </w:p>
    <w:p w14:paraId="0888F6B8">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质疑及提交</w:t>
      </w:r>
    </w:p>
    <w:p w14:paraId="5587E840">
      <w:pPr>
        <w:spacing w:line="276" w:lineRule="auto"/>
        <w:ind w:firstLine="420" w:firstLineChars="200"/>
        <w:rPr>
          <w:rFonts w:ascii="宋体" w:hAnsi="宋体"/>
          <w:color w:val="auto"/>
          <w:szCs w:val="21"/>
          <w:highlight w:val="none"/>
          <w:lang w:val="zh-CN"/>
        </w:rPr>
      </w:pPr>
      <w:r>
        <w:rPr>
          <w:rFonts w:hint="eastAsia" w:ascii="宋体" w:hAnsi="宋体"/>
          <w:color w:val="auto"/>
          <w:szCs w:val="21"/>
          <w:highlight w:val="none"/>
          <w:lang w:val="zh-CN"/>
        </w:rPr>
        <w:t>投标人认为招标文件、招标过程和中标结果使自己的权益受到损害的，可以在知道或者应知其权益受到损害之日起7个工作日内，以书面形式向采购人、采购代理机构一次性提出针对同一采购程序环节的质疑。质疑提交要求详见《投标人须知前附表》。</w:t>
      </w:r>
    </w:p>
    <w:p w14:paraId="3D3ACD08">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投标人应知其权益受到损害之日是指：</w:t>
      </w:r>
    </w:p>
    <w:p w14:paraId="6C04BE9C">
      <w:pPr>
        <w:numPr>
          <w:ilvl w:val="0"/>
          <w:numId w:val="36"/>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对可以质疑的招标文件提出质疑的，为收到招标文件之日或者招标文件公告期限届满之日；</w:t>
      </w:r>
    </w:p>
    <w:p w14:paraId="7AB99247">
      <w:pPr>
        <w:numPr>
          <w:ilvl w:val="0"/>
          <w:numId w:val="36"/>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对招标过程提出质疑的，为各招标程序环节结束之日；</w:t>
      </w:r>
    </w:p>
    <w:p w14:paraId="337B3DAD">
      <w:pPr>
        <w:numPr>
          <w:ilvl w:val="0"/>
          <w:numId w:val="36"/>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对中标结果提出质疑的，为中标公告期限届满之日。</w:t>
      </w:r>
    </w:p>
    <w:p w14:paraId="3F7BAA20">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质疑书应当包括下列主要内容：</w:t>
      </w:r>
    </w:p>
    <w:p w14:paraId="68408D56">
      <w:pPr>
        <w:numPr>
          <w:ilvl w:val="0"/>
          <w:numId w:val="37"/>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质疑人的名称或姓名、地址、</w:t>
      </w:r>
      <w:r>
        <w:rPr>
          <w:rFonts w:ascii="Arial" w:hAnsi="Arial" w:cs="Arial"/>
          <w:color w:val="auto"/>
          <w:highlight w:val="none"/>
          <w:shd w:val="clear" w:color="auto" w:fill="FFFFFF"/>
        </w:rPr>
        <w:t>邮编、</w:t>
      </w:r>
      <w:r>
        <w:rPr>
          <w:rFonts w:hint="eastAsia" w:ascii="宋体" w:hAnsi="宋体"/>
          <w:color w:val="auto"/>
          <w:szCs w:val="21"/>
          <w:highlight w:val="none"/>
          <w:lang w:val="zh-CN"/>
        </w:rPr>
        <w:t>联系人及联系电话等；</w:t>
      </w:r>
    </w:p>
    <w:p w14:paraId="183D0632">
      <w:pPr>
        <w:numPr>
          <w:ilvl w:val="0"/>
          <w:numId w:val="37"/>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被质疑人的名称、地址、</w:t>
      </w:r>
      <w:r>
        <w:rPr>
          <w:rFonts w:ascii="Arial" w:hAnsi="Arial" w:cs="Arial"/>
          <w:color w:val="auto"/>
          <w:highlight w:val="none"/>
          <w:shd w:val="clear" w:color="auto" w:fill="FFFFFF"/>
        </w:rPr>
        <w:t>邮编、</w:t>
      </w:r>
      <w:r>
        <w:rPr>
          <w:rFonts w:hint="eastAsia" w:ascii="宋体" w:hAnsi="宋体"/>
          <w:color w:val="auto"/>
          <w:szCs w:val="21"/>
          <w:highlight w:val="none"/>
          <w:lang w:val="zh-CN"/>
        </w:rPr>
        <w:t>联系人及联系电话等；</w:t>
      </w:r>
    </w:p>
    <w:p w14:paraId="2E6C883C">
      <w:pPr>
        <w:numPr>
          <w:ilvl w:val="0"/>
          <w:numId w:val="37"/>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质疑项目名称及编号/标包、质疑事项和明确的请求；</w:t>
      </w:r>
    </w:p>
    <w:p w14:paraId="642837D6">
      <w:pPr>
        <w:numPr>
          <w:ilvl w:val="0"/>
          <w:numId w:val="37"/>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质疑事项的事实根据、法律依据及其他必要的证明材料；</w:t>
      </w:r>
    </w:p>
    <w:p w14:paraId="6FDB138D">
      <w:pPr>
        <w:numPr>
          <w:ilvl w:val="0"/>
          <w:numId w:val="37"/>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提出质疑的日期；</w:t>
      </w:r>
    </w:p>
    <w:p w14:paraId="4FC4FD36">
      <w:pPr>
        <w:numPr>
          <w:ilvl w:val="0"/>
          <w:numId w:val="37"/>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质疑人的署名及签章（质疑人为自然人的，应当由本人签名；质疑人为法人或者其他组织的，应当由法定代表人或者主要负责人，</w:t>
      </w:r>
      <w:r>
        <w:rPr>
          <w:rFonts w:ascii="Arial" w:hAnsi="Arial" w:cs="Arial"/>
          <w:color w:val="auto"/>
          <w:highlight w:val="none"/>
          <w:shd w:val="clear" w:color="auto" w:fill="FFFFFF"/>
        </w:rPr>
        <w:t>或者其授权代表签字或者盖章，</w:t>
      </w:r>
      <w:r>
        <w:rPr>
          <w:rFonts w:hint="eastAsia" w:ascii="宋体" w:hAnsi="宋体"/>
          <w:color w:val="auto"/>
          <w:szCs w:val="21"/>
          <w:highlight w:val="none"/>
          <w:lang w:val="zh-CN"/>
        </w:rPr>
        <w:t>并加盖公章）；</w:t>
      </w:r>
    </w:p>
    <w:p w14:paraId="120840CC">
      <w:pPr>
        <w:numPr>
          <w:ilvl w:val="0"/>
          <w:numId w:val="37"/>
        </w:numPr>
        <w:spacing w:line="276" w:lineRule="auto"/>
        <w:ind w:left="616" w:hanging="616"/>
        <w:rPr>
          <w:rFonts w:ascii="宋体" w:hAnsi="宋体"/>
          <w:color w:val="auto"/>
          <w:szCs w:val="21"/>
          <w:highlight w:val="none"/>
          <w:lang w:val="zh-CN"/>
        </w:rPr>
      </w:pPr>
      <w:r>
        <w:rPr>
          <w:rFonts w:hint="eastAsia" w:ascii="宋体" w:hAnsi="宋体"/>
          <w:color w:val="auto"/>
          <w:szCs w:val="21"/>
          <w:highlight w:val="none"/>
          <w:lang w:val="zh-CN"/>
        </w:rPr>
        <w:t>法人授权委托书（质疑人或法人委托代理人办理质疑事务的，应当提供授权委托书，授权委托书应当载明委托代理的具体权限和事项）。</w:t>
      </w:r>
    </w:p>
    <w:p w14:paraId="4C07DF97">
      <w:pPr>
        <w:numPr>
          <w:ilvl w:val="0"/>
          <w:numId w:val="2"/>
        </w:numPr>
        <w:spacing w:line="276" w:lineRule="auto"/>
        <w:rPr>
          <w:rFonts w:ascii="宋体" w:hAnsi="宋体"/>
          <w:b/>
          <w:color w:val="auto"/>
          <w:szCs w:val="21"/>
          <w:highlight w:val="none"/>
          <w:lang w:val="zh-CN"/>
        </w:rPr>
      </w:pPr>
      <w:r>
        <w:rPr>
          <w:rFonts w:hint="eastAsia" w:ascii="宋体" w:hAnsi="宋体"/>
          <w:b/>
          <w:color w:val="auto"/>
          <w:szCs w:val="21"/>
          <w:highlight w:val="none"/>
          <w:lang w:val="zh-CN"/>
        </w:rPr>
        <w:t>不予受理的情形</w:t>
      </w:r>
    </w:p>
    <w:p w14:paraId="1931007E">
      <w:pPr>
        <w:spacing w:line="276" w:lineRule="auto"/>
        <w:ind w:firstLine="420" w:firstLineChars="200"/>
        <w:rPr>
          <w:rFonts w:ascii="宋体" w:hAnsi="宋体"/>
          <w:color w:val="auto"/>
          <w:szCs w:val="21"/>
          <w:highlight w:val="none"/>
          <w:lang w:val="zh-CN"/>
        </w:rPr>
      </w:pPr>
      <w:r>
        <w:rPr>
          <w:rFonts w:hint="eastAsia" w:ascii="宋体" w:hAnsi="宋体"/>
          <w:color w:val="auto"/>
          <w:szCs w:val="21"/>
          <w:highlight w:val="none"/>
          <w:lang w:val="zh-CN"/>
        </w:rPr>
        <w:t>投标人未按本章“质疑及提交”规定的时限、内容及方式进行质疑的，采购代理机构不予受理。</w:t>
      </w:r>
    </w:p>
    <w:p w14:paraId="6F190B76">
      <w:pPr>
        <w:keepNext/>
        <w:keepLines/>
        <w:numPr>
          <w:ilvl w:val="0"/>
          <w:numId w:val="1"/>
        </w:numPr>
        <w:spacing w:line="276" w:lineRule="auto"/>
        <w:ind w:left="426" w:hanging="426"/>
        <w:jc w:val="left"/>
        <w:outlineLvl w:val="1"/>
        <w:rPr>
          <w:rFonts w:ascii="宋体" w:hAnsi="宋体"/>
          <w:b/>
          <w:color w:val="auto"/>
          <w:kern w:val="0"/>
          <w:szCs w:val="21"/>
          <w:highlight w:val="none"/>
          <w:lang w:val="zh-CN"/>
        </w:rPr>
      </w:pPr>
      <w:bookmarkStart w:id="52" w:name="_Toc97815006"/>
      <w:bookmarkStart w:id="53" w:name="_Toc1327"/>
      <w:r>
        <w:rPr>
          <w:rFonts w:hint="eastAsia" w:ascii="宋体" w:hAnsi="宋体"/>
          <w:b/>
          <w:color w:val="auto"/>
          <w:kern w:val="0"/>
          <w:szCs w:val="21"/>
          <w:highlight w:val="none"/>
          <w:lang w:val="zh-CN"/>
        </w:rPr>
        <w:t>保密</w:t>
      </w:r>
      <w:bookmarkEnd w:id="52"/>
      <w:bookmarkEnd w:id="53"/>
    </w:p>
    <w:p w14:paraId="79D2C981">
      <w:pPr>
        <w:numPr>
          <w:ilvl w:val="0"/>
          <w:numId w:val="2"/>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凡是属于审查、澄清、评价和比较的有关资料以及授标意向等，采购人、采购代理机构、监管人员、评标委员会及有关工作人员均不得向投标人或其它无关的人员透露。</w:t>
      </w:r>
    </w:p>
    <w:p w14:paraId="00CA8FA8">
      <w:pPr>
        <w:keepNext/>
        <w:keepLines/>
        <w:numPr>
          <w:ilvl w:val="0"/>
          <w:numId w:val="1"/>
        </w:numPr>
        <w:spacing w:line="276" w:lineRule="auto"/>
        <w:ind w:left="426" w:hanging="426"/>
        <w:jc w:val="left"/>
        <w:outlineLvl w:val="1"/>
        <w:rPr>
          <w:rFonts w:ascii="宋体" w:hAnsi="宋体"/>
          <w:b/>
          <w:color w:val="auto"/>
          <w:kern w:val="0"/>
          <w:szCs w:val="21"/>
          <w:highlight w:val="none"/>
          <w:lang w:val="zh-CN"/>
        </w:rPr>
      </w:pPr>
      <w:bookmarkStart w:id="54" w:name="_Toc30052"/>
      <w:bookmarkStart w:id="55" w:name="_Toc97815007"/>
      <w:bookmarkStart w:id="56" w:name="_Toc494561947"/>
      <w:r>
        <w:rPr>
          <w:rFonts w:hint="eastAsia" w:ascii="宋体" w:hAnsi="宋体"/>
          <w:b/>
          <w:color w:val="auto"/>
          <w:kern w:val="0"/>
          <w:szCs w:val="21"/>
          <w:highlight w:val="none"/>
          <w:lang w:val="zh-CN"/>
        </w:rPr>
        <w:t>相关条文解读</w:t>
      </w:r>
      <w:bookmarkEnd w:id="54"/>
      <w:bookmarkEnd w:id="55"/>
    </w:p>
    <w:p w14:paraId="7DC76FAC">
      <w:pPr>
        <w:numPr>
          <w:ilvl w:val="0"/>
          <w:numId w:val="2"/>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中华人民共和国政府采购法》第二十二条第五项所称重大违法记录，是指投标人因违法经营受到刑事处罚或者责令停产停业、吊销许可证或者执照、较大数额（根据财政部关于《中华人民共和国政府采购法实施条例》第十九条第一款“较大数额罚款”具体适用问题的意见（财库[2022]3号），“较大数额罚款”认定为200万元以上的罚款，法律、行政法规以及国务院有关部门明确规定相关领域“较大数额罚款”标准高于200万元的，从其规定）罚款等行政处罚。</w:t>
      </w:r>
    </w:p>
    <w:p w14:paraId="65B16C3F">
      <w:pPr>
        <w:numPr>
          <w:ilvl w:val="0"/>
          <w:numId w:val="2"/>
        </w:numPr>
        <w:spacing w:line="276" w:lineRule="auto"/>
        <w:ind w:left="426" w:hanging="426"/>
        <w:rPr>
          <w:rFonts w:ascii="宋体" w:hAnsi="宋体"/>
          <w:color w:val="auto"/>
          <w:szCs w:val="21"/>
          <w:highlight w:val="none"/>
          <w:lang w:val="zh-CN"/>
        </w:rPr>
      </w:pPr>
      <w:r>
        <w:rPr>
          <w:rFonts w:hint="eastAsia" w:ascii="宋体" w:hAnsi="宋体"/>
          <w:color w:val="auto"/>
          <w:szCs w:val="21"/>
          <w:highlight w:val="none"/>
          <w:lang w:val="zh-CN"/>
        </w:rPr>
        <w:t>按照财政部《关于规范政府采购行政处罚有关问题的通知》的规定，各级人民政府财政部门依法对参加政府采购活动的投标人作出的禁止参加政府采购活动等行政处罚决定在全国范围内生效。</w:t>
      </w:r>
    </w:p>
    <w:p w14:paraId="57DD83CE">
      <w:pPr>
        <w:numPr>
          <w:ilvl w:val="0"/>
          <w:numId w:val="2"/>
        </w:numPr>
        <w:spacing w:line="276" w:lineRule="auto"/>
        <w:ind w:left="426" w:hanging="426"/>
        <w:rPr>
          <w:rFonts w:ascii="宋体" w:hAnsi="宋体"/>
          <w:color w:val="auto"/>
          <w:szCs w:val="21"/>
          <w:highlight w:val="none"/>
          <w:lang w:val="zh-CN"/>
        </w:rPr>
      </w:pPr>
      <w:r>
        <w:rPr>
          <w:rFonts w:hint="eastAsia" w:ascii="宋体" w:hAnsi="宋体"/>
          <w:color w:val="auto"/>
          <w:szCs w:val="21"/>
          <w:highlight w:val="none"/>
          <w:lang w:val="zh-CN"/>
        </w:rPr>
        <w:t>投标人在参加政府采购活动前3年内因违法经营被禁止在一定期限内参加政府采购活动，期限届满的，可以参加政府采购活动。</w:t>
      </w:r>
    </w:p>
    <w:bookmarkEnd w:id="56"/>
    <w:p w14:paraId="4BB2695C">
      <w:pPr>
        <w:keepNext/>
        <w:keepLines/>
        <w:numPr>
          <w:ilvl w:val="0"/>
          <w:numId w:val="1"/>
        </w:numPr>
        <w:spacing w:line="276" w:lineRule="auto"/>
        <w:ind w:left="658" w:hanging="658"/>
        <w:jc w:val="left"/>
        <w:outlineLvl w:val="1"/>
        <w:rPr>
          <w:rFonts w:ascii="宋体" w:hAnsi="宋体"/>
          <w:b/>
          <w:color w:val="auto"/>
          <w:kern w:val="0"/>
          <w:szCs w:val="21"/>
          <w:highlight w:val="none"/>
          <w:lang w:val="zh-CN"/>
        </w:rPr>
      </w:pPr>
      <w:bookmarkStart w:id="57" w:name="_Toc278891598"/>
      <w:bookmarkStart w:id="58" w:name="_Toc272247701"/>
      <w:bookmarkStart w:id="59" w:name="_Toc494561949"/>
      <w:bookmarkStart w:id="60" w:name="_Toc97815008"/>
      <w:bookmarkStart w:id="61" w:name="_Toc23914"/>
      <w:r>
        <w:rPr>
          <w:rFonts w:hint="eastAsia" w:ascii="宋体" w:hAnsi="宋体"/>
          <w:b/>
          <w:color w:val="auto"/>
          <w:kern w:val="0"/>
          <w:szCs w:val="21"/>
          <w:highlight w:val="none"/>
          <w:lang w:val="zh-CN"/>
        </w:rPr>
        <w:t>适用法律</w:t>
      </w:r>
      <w:bookmarkEnd w:id="57"/>
      <w:bookmarkEnd w:id="58"/>
      <w:bookmarkEnd w:id="59"/>
      <w:r>
        <w:rPr>
          <w:rFonts w:hint="eastAsia" w:ascii="宋体" w:hAnsi="宋体"/>
          <w:b/>
          <w:color w:val="auto"/>
          <w:kern w:val="0"/>
          <w:szCs w:val="21"/>
          <w:highlight w:val="none"/>
          <w:lang w:val="zh-CN"/>
        </w:rPr>
        <w:t>、法规、规章及规范性文件</w:t>
      </w:r>
      <w:bookmarkEnd w:id="60"/>
      <w:bookmarkEnd w:id="61"/>
    </w:p>
    <w:p w14:paraId="041E3ACD">
      <w:pPr>
        <w:numPr>
          <w:ilvl w:val="0"/>
          <w:numId w:val="2"/>
        </w:numPr>
        <w:spacing w:line="276" w:lineRule="auto"/>
        <w:rPr>
          <w:rFonts w:ascii="宋体" w:hAnsi="宋体"/>
          <w:color w:val="auto"/>
          <w:szCs w:val="21"/>
          <w:highlight w:val="none"/>
          <w:lang w:val="zh-CN"/>
        </w:rPr>
      </w:pPr>
      <w:r>
        <w:rPr>
          <w:rFonts w:hint="eastAsia" w:ascii="宋体" w:hAnsi="宋体"/>
          <w:color w:val="auto"/>
          <w:szCs w:val="21"/>
          <w:highlight w:val="none"/>
          <w:lang w:val="zh-CN"/>
        </w:rPr>
        <w:t>采购人、采购代理机构及投标人的一切招标投标活动均适用《中华人民共和国政府采购法》、</w:t>
      </w:r>
      <w:r>
        <w:rPr>
          <w:rFonts w:hint="eastAsia" w:ascii="宋体" w:hAnsi="宋体"/>
          <w:bCs/>
          <w:color w:val="auto"/>
          <w:szCs w:val="21"/>
          <w:highlight w:val="none"/>
          <w:lang w:val="zh-CN"/>
        </w:rPr>
        <w:t>《中华人民共和国政府采购法实施条例》</w:t>
      </w:r>
      <w:r>
        <w:rPr>
          <w:rFonts w:hint="eastAsia" w:ascii="宋体" w:hAnsi="宋体"/>
          <w:color w:val="auto"/>
          <w:szCs w:val="21"/>
          <w:highlight w:val="none"/>
          <w:lang w:val="zh-CN"/>
        </w:rPr>
        <w:t>、</w:t>
      </w:r>
      <w:r>
        <w:rPr>
          <w:rFonts w:hint="eastAsia" w:ascii="宋体" w:hAnsi="宋体"/>
          <w:bCs/>
          <w:color w:val="auto"/>
          <w:szCs w:val="21"/>
          <w:highlight w:val="none"/>
          <w:lang w:val="zh-CN"/>
        </w:rPr>
        <w:t>《政府采购货物和服务招标投标管理办法》（财政部令第87号）</w:t>
      </w:r>
      <w:r>
        <w:rPr>
          <w:rFonts w:hint="eastAsia" w:ascii="宋体" w:hAnsi="宋体"/>
          <w:color w:val="auto"/>
          <w:szCs w:val="21"/>
          <w:highlight w:val="none"/>
          <w:lang w:val="zh-CN"/>
        </w:rPr>
        <w:t>及相关法律法规。</w:t>
      </w:r>
    </w:p>
    <w:p w14:paraId="4637CD4C">
      <w:pPr>
        <w:numPr>
          <w:ilvl w:val="0"/>
          <w:numId w:val="2"/>
        </w:numPr>
        <w:spacing w:line="276" w:lineRule="auto"/>
        <w:ind w:left="426" w:hanging="426"/>
        <w:rPr>
          <w:rFonts w:ascii="宋体" w:hAnsi="宋体"/>
          <w:color w:val="auto"/>
          <w:szCs w:val="21"/>
          <w:highlight w:val="none"/>
          <w:lang w:val="zh-CN"/>
        </w:rPr>
      </w:pPr>
      <w:r>
        <w:rPr>
          <w:rFonts w:hint="eastAsia" w:ascii="宋体" w:hAnsi="宋体"/>
          <w:color w:val="auto"/>
          <w:szCs w:val="21"/>
          <w:highlight w:val="none"/>
          <w:lang w:val="zh-CN"/>
        </w:rPr>
        <w:t>政府采购合同的履行</w:t>
      </w:r>
      <w:r>
        <w:rPr>
          <w:rFonts w:hint="eastAsia" w:ascii="宋体" w:hAnsi="宋体" w:cs="Helvetica"/>
          <w:color w:val="auto"/>
          <w:kern w:val="0"/>
          <w:szCs w:val="21"/>
          <w:highlight w:val="none"/>
          <w:lang w:val="zh-CN"/>
        </w:rPr>
        <w:t>、违约责任和解决争议的方法等适用《中华人民共和国民法典》。</w:t>
      </w:r>
    </w:p>
    <w:p w14:paraId="19D1D6BC">
      <w:pPr>
        <w:keepNext/>
        <w:keepLines/>
        <w:numPr>
          <w:ilvl w:val="0"/>
          <w:numId w:val="1"/>
        </w:numPr>
        <w:spacing w:line="276" w:lineRule="auto"/>
        <w:ind w:left="658" w:hanging="658"/>
        <w:jc w:val="left"/>
        <w:outlineLvl w:val="1"/>
        <w:rPr>
          <w:rFonts w:ascii="宋体" w:hAnsi="宋体"/>
          <w:b/>
          <w:color w:val="auto"/>
          <w:kern w:val="0"/>
          <w:szCs w:val="21"/>
          <w:highlight w:val="none"/>
          <w:lang w:val="zh-CN"/>
        </w:rPr>
      </w:pPr>
      <w:bookmarkStart w:id="62" w:name="_Toc494561950"/>
      <w:bookmarkStart w:id="63" w:name="_Toc272247702"/>
      <w:bookmarkStart w:id="64" w:name="_Toc97815009"/>
      <w:bookmarkStart w:id="65" w:name="_Toc278891599"/>
      <w:bookmarkStart w:id="66" w:name="_Toc12312"/>
      <w:r>
        <w:rPr>
          <w:rFonts w:hint="eastAsia" w:ascii="宋体" w:hAnsi="宋体"/>
          <w:b/>
          <w:color w:val="auto"/>
          <w:kern w:val="0"/>
          <w:szCs w:val="21"/>
          <w:highlight w:val="none"/>
          <w:lang w:val="zh-CN"/>
        </w:rPr>
        <w:t>招标文件的解释权</w:t>
      </w:r>
      <w:bookmarkEnd w:id="62"/>
      <w:bookmarkEnd w:id="63"/>
      <w:bookmarkEnd w:id="64"/>
      <w:bookmarkEnd w:id="65"/>
      <w:bookmarkEnd w:id="66"/>
    </w:p>
    <w:p w14:paraId="747BCCE4">
      <w:pPr>
        <w:numPr>
          <w:ilvl w:val="0"/>
          <w:numId w:val="2"/>
        </w:numPr>
        <w:spacing w:line="276" w:lineRule="auto"/>
        <w:ind w:left="426" w:hanging="426"/>
        <w:rPr>
          <w:rFonts w:ascii="宋体" w:hAnsi="宋体"/>
          <w:color w:val="auto"/>
          <w:szCs w:val="21"/>
          <w:highlight w:val="none"/>
          <w:lang w:val="zh-CN"/>
        </w:rPr>
      </w:pPr>
      <w:r>
        <w:rPr>
          <w:rFonts w:hint="eastAsia" w:ascii="宋体" w:hAnsi="宋体"/>
          <w:color w:val="auto"/>
          <w:szCs w:val="21"/>
          <w:highlight w:val="none"/>
          <w:lang w:val="zh-CN"/>
        </w:rPr>
        <w:t>招标文件的最终解释权为采购人、采购代理机构所有。</w:t>
      </w:r>
    </w:p>
    <w:p w14:paraId="6D7260AF">
      <w:pPr>
        <w:pStyle w:val="20"/>
        <w:rPr>
          <w:color w:val="auto"/>
          <w:highlight w:val="none"/>
          <w:lang w:val="zh-CN"/>
        </w:rPr>
      </w:pPr>
    </w:p>
    <w:p w14:paraId="5A6751F0">
      <w:pPr>
        <w:widowControl/>
        <w:jc w:val="left"/>
        <w:rPr>
          <w:rFonts w:ascii="黑体" w:hAnsi="黑体" w:eastAsia="黑体"/>
          <w:color w:val="auto"/>
          <w:sz w:val="28"/>
          <w:szCs w:val="28"/>
          <w:highlight w:val="none"/>
        </w:rPr>
      </w:pPr>
      <w:r>
        <w:rPr>
          <w:rFonts w:hint="eastAsia" w:ascii="黑体" w:hAnsi="黑体" w:eastAsia="黑体"/>
          <w:color w:val="auto"/>
          <w:kern w:val="0"/>
          <w:sz w:val="28"/>
          <w:szCs w:val="28"/>
          <w:highlight w:val="none"/>
        </w:rPr>
        <w:br w:type="page"/>
      </w:r>
    </w:p>
    <w:p w14:paraId="27308F30">
      <w:pPr>
        <w:spacing w:line="276" w:lineRule="auto"/>
        <w:jc w:val="center"/>
        <w:outlineLvl w:val="0"/>
        <w:rPr>
          <w:rFonts w:ascii="黑体" w:hAnsi="黑体" w:eastAsia="黑体"/>
          <w:color w:val="auto"/>
          <w:sz w:val="28"/>
          <w:szCs w:val="28"/>
          <w:highlight w:val="none"/>
        </w:rPr>
      </w:pPr>
      <w:bookmarkStart w:id="67" w:name="_Toc14782"/>
      <w:bookmarkStart w:id="68" w:name="_Toc97815010"/>
      <w:r>
        <w:rPr>
          <w:rFonts w:hint="eastAsia" w:ascii="黑体" w:hAnsi="黑体" w:eastAsia="黑体"/>
          <w:color w:val="auto"/>
          <w:sz w:val="28"/>
          <w:szCs w:val="28"/>
          <w:highlight w:val="none"/>
        </w:rPr>
        <w:t>第三章 技术、服务及商务要求</w:t>
      </w:r>
      <w:bookmarkEnd w:id="67"/>
      <w:bookmarkEnd w:id="68"/>
    </w:p>
    <w:p w14:paraId="46227D7A">
      <w:pPr>
        <w:pStyle w:val="20"/>
        <w:rPr>
          <w:color w:val="auto"/>
          <w:highlight w:val="none"/>
        </w:rPr>
      </w:pPr>
    </w:p>
    <w:p w14:paraId="55500999">
      <w:pPr>
        <w:tabs>
          <w:tab w:val="center" w:pos="4153"/>
          <w:tab w:val="right" w:pos="8306"/>
        </w:tabs>
        <w:adjustRightInd w:val="0"/>
        <w:snapToGrid w:val="0"/>
        <w:spacing w:line="360" w:lineRule="auto"/>
        <w:textAlignment w:val="baseline"/>
        <w:outlineLvl w:val="1"/>
        <w:rPr>
          <w:rFonts w:ascii="宋体" w:hAnsi="宋体" w:cs="宋体"/>
          <w:b/>
          <w:color w:val="auto"/>
          <w:szCs w:val="21"/>
          <w:highlight w:val="none"/>
        </w:rPr>
      </w:pPr>
      <w:bookmarkStart w:id="69" w:name="_Toc29162"/>
      <w:r>
        <w:rPr>
          <w:rFonts w:hint="eastAsia" w:ascii="宋体" w:hAnsi="宋体" w:cs="宋体"/>
          <w:b/>
          <w:color w:val="auto"/>
          <w:szCs w:val="21"/>
          <w:highlight w:val="none"/>
        </w:rPr>
        <w:t>一、综 述</w:t>
      </w:r>
      <w:bookmarkEnd w:id="69"/>
    </w:p>
    <w:tbl>
      <w:tblPr>
        <w:tblStyle w:val="21"/>
        <w:tblW w:w="10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6"/>
        <w:gridCol w:w="1363"/>
        <w:gridCol w:w="6225"/>
        <w:gridCol w:w="462"/>
        <w:gridCol w:w="1025"/>
        <w:gridCol w:w="460"/>
      </w:tblGrid>
      <w:tr w14:paraId="37D71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36" w:type="dxa"/>
            <w:vAlign w:val="center"/>
          </w:tcPr>
          <w:p w14:paraId="09163223">
            <w:pPr>
              <w:pStyle w:val="18"/>
              <w:spacing w:before="0" w:beforeAutospacing="0" w:after="0" w:afterAutospacing="0" w:line="360" w:lineRule="auto"/>
              <w:jc w:val="center"/>
              <w:rPr>
                <w:color w:val="auto"/>
                <w:sz w:val="21"/>
                <w:szCs w:val="21"/>
                <w:highlight w:val="none"/>
              </w:rPr>
            </w:pPr>
            <w:r>
              <w:rPr>
                <w:rFonts w:hint="eastAsia"/>
                <w:color w:val="auto"/>
                <w:sz w:val="21"/>
                <w:szCs w:val="21"/>
                <w:highlight w:val="none"/>
                <w:lang w:val="en-US" w:eastAsia="zh-CN"/>
              </w:rPr>
              <w:t>序</w:t>
            </w:r>
            <w:r>
              <w:rPr>
                <w:rFonts w:hint="eastAsia"/>
                <w:color w:val="auto"/>
                <w:sz w:val="21"/>
                <w:szCs w:val="21"/>
                <w:highlight w:val="none"/>
              </w:rPr>
              <w:t>号</w:t>
            </w:r>
          </w:p>
        </w:tc>
        <w:tc>
          <w:tcPr>
            <w:tcW w:w="1363" w:type="dxa"/>
            <w:vAlign w:val="center"/>
          </w:tcPr>
          <w:p w14:paraId="6B437F35">
            <w:pPr>
              <w:pStyle w:val="18"/>
              <w:spacing w:before="0" w:beforeAutospacing="0" w:after="0" w:afterAutospacing="0" w:line="360" w:lineRule="auto"/>
              <w:jc w:val="center"/>
              <w:rPr>
                <w:color w:val="auto"/>
                <w:sz w:val="21"/>
                <w:szCs w:val="21"/>
                <w:highlight w:val="none"/>
              </w:rPr>
            </w:pPr>
            <w:r>
              <w:rPr>
                <w:rFonts w:hint="eastAsia"/>
                <w:color w:val="auto"/>
                <w:sz w:val="21"/>
                <w:szCs w:val="21"/>
                <w:highlight w:val="none"/>
              </w:rPr>
              <w:t>名称</w:t>
            </w:r>
          </w:p>
        </w:tc>
        <w:tc>
          <w:tcPr>
            <w:tcW w:w="6225" w:type="dxa"/>
            <w:vAlign w:val="center"/>
          </w:tcPr>
          <w:p w14:paraId="4449169B">
            <w:pPr>
              <w:pStyle w:val="18"/>
              <w:spacing w:before="0" w:beforeAutospacing="0" w:after="0" w:afterAutospacing="0" w:line="360" w:lineRule="auto"/>
              <w:jc w:val="center"/>
              <w:rPr>
                <w:color w:val="auto"/>
                <w:sz w:val="21"/>
                <w:szCs w:val="21"/>
                <w:highlight w:val="none"/>
              </w:rPr>
            </w:pPr>
            <w:r>
              <w:rPr>
                <w:rFonts w:hint="eastAsia"/>
                <w:color w:val="auto"/>
                <w:sz w:val="21"/>
                <w:szCs w:val="21"/>
                <w:highlight w:val="none"/>
              </w:rPr>
              <w:t>采购内容</w:t>
            </w:r>
          </w:p>
        </w:tc>
        <w:tc>
          <w:tcPr>
            <w:tcW w:w="462" w:type="dxa"/>
            <w:vAlign w:val="center"/>
          </w:tcPr>
          <w:p w14:paraId="2267EB97">
            <w:pPr>
              <w:pStyle w:val="18"/>
              <w:spacing w:before="0" w:beforeAutospacing="0" w:after="0" w:afterAutospacing="0" w:line="360" w:lineRule="auto"/>
              <w:jc w:val="center"/>
              <w:rPr>
                <w:color w:val="auto"/>
                <w:sz w:val="21"/>
                <w:szCs w:val="21"/>
                <w:highlight w:val="none"/>
              </w:rPr>
            </w:pPr>
            <w:r>
              <w:rPr>
                <w:rFonts w:hint="eastAsia"/>
                <w:color w:val="auto"/>
                <w:sz w:val="21"/>
                <w:szCs w:val="21"/>
                <w:highlight w:val="none"/>
              </w:rPr>
              <w:t>数量</w:t>
            </w:r>
          </w:p>
        </w:tc>
        <w:tc>
          <w:tcPr>
            <w:tcW w:w="1025" w:type="dxa"/>
            <w:vAlign w:val="center"/>
          </w:tcPr>
          <w:p w14:paraId="550941D2">
            <w:pPr>
              <w:pStyle w:val="18"/>
              <w:spacing w:before="0" w:beforeAutospacing="0" w:after="0" w:afterAutospacing="0" w:line="360" w:lineRule="auto"/>
              <w:jc w:val="center"/>
              <w:rPr>
                <w:color w:val="auto"/>
                <w:sz w:val="21"/>
                <w:szCs w:val="21"/>
                <w:highlight w:val="none"/>
              </w:rPr>
            </w:pPr>
            <w:r>
              <w:rPr>
                <w:rFonts w:hint="eastAsia"/>
                <w:color w:val="auto"/>
                <w:sz w:val="21"/>
                <w:szCs w:val="21"/>
                <w:highlight w:val="none"/>
              </w:rPr>
              <w:t>预算金额（万元）</w:t>
            </w:r>
          </w:p>
        </w:tc>
        <w:tc>
          <w:tcPr>
            <w:tcW w:w="460" w:type="dxa"/>
            <w:vAlign w:val="center"/>
          </w:tcPr>
          <w:p w14:paraId="5239D261">
            <w:pPr>
              <w:pStyle w:val="18"/>
              <w:spacing w:before="0" w:beforeAutospacing="0" w:after="0" w:afterAutospacing="0" w:line="360" w:lineRule="auto"/>
              <w:jc w:val="center"/>
              <w:rPr>
                <w:color w:val="auto"/>
                <w:sz w:val="21"/>
                <w:szCs w:val="21"/>
                <w:highlight w:val="none"/>
              </w:rPr>
            </w:pPr>
            <w:r>
              <w:rPr>
                <w:rFonts w:hint="eastAsia"/>
                <w:color w:val="auto"/>
                <w:sz w:val="21"/>
                <w:szCs w:val="21"/>
                <w:highlight w:val="none"/>
              </w:rPr>
              <w:t>备注</w:t>
            </w:r>
          </w:p>
        </w:tc>
      </w:tr>
      <w:tr w14:paraId="10D1E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36" w:type="dxa"/>
            <w:vAlign w:val="center"/>
          </w:tcPr>
          <w:p w14:paraId="4DC05B6E">
            <w:pPr>
              <w:pStyle w:val="18"/>
              <w:spacing w:before="0" w:beforeAutospacing="0" w:after="0" w:afterAutospacing="0" w:line="360" w:lineRule="auto"/>
              <w:jc w:val="center"/>
              <w:rPr>
                <w:rFonts w:hint="eastAsia" w:eastAsia="宋体"/>
                <w:color w:val="auto"/>
                <w:sz w:val="21"/>
                <w:szCs w:val="21"/>
                <w:highlight w:val="none"/>
                <w:lang w:eastAsia="zh-CN"/>
              </w:rPr>
            </w:pPr>
            <w:r>
              <w:rPr>
                <w:rFonts w:hint="eastAsia"/>
                <w:color w:val="auto"/>
                <w:sz w:val="21"/>
                <w:szCs w:val="21"/>
                <w:highlight w:val="none"/>
                <w:u w:val="single"/>
                <w:lang w:val="en-US" w:eastAsia="zh-CN"/>
              </w:rPr>
              <w:t>1</w:t>
            </w:r>
          </w:p>
        </w:tc>
        <w:tc>
          <w:tcPr>
            <w:tcW w:w="1363" w:type="dxa"/>
            <w:vAlign w:val="center"/>
          </w:tcPr>
          <w:p w14:paraId="65ABF211">
            <w:pPr>
              <w:pStyle w:val="18"/>
              <w:spacing w:before="0" w:beforeAutospacing="0" w:after="0" w:afterAutospacing="0" w:line="360" w:lineRule="auto"/>
              <w:jc w:val="center"/>
              <w:rPr>
                <w:color w:val="auto"/>
                <w:sz w:val="21"/>
                <w:szCs w:val="21"/>
                <w:highlight w:val="none"/>
              </w:rPr>
            </w:pPr>
            <w:r>
              <w:rPr>
                <w:rFonts w:hint="eastAsia"/>
                <w:color w:val="auto"/>
                <w:sz w:val="21"/>
                <w:szCs w:val="21"/>
                <w:highlight w:val="none"/>
              </w:rPr>
              <w:t>南湖校区供配电设备设施运维服务项目</w:t>
            </w:r>
          </w:p>
        </w:tc>
        <w:tc>
          <w:tcPr>
            <w:tcW w:w="6225" w:type="dxa"/>
            <w:vAlign w:val="center"/>
          </w:tcPr>
          <w:p w14:paraId="7484A912">
            <w:pPr>
              <w:pStyle w:val="18"/>
              <w:spacing w:before="0" w:beforeAutospacing="0" w:after="0" w:afterAutospacing="0" w:line="360" w:lineRule="auto"/>
              <w:jc w:val="left"/>
              <w:rPr>
                <w:rFonts w:hint="eastAsia"/>
                <w:color w:val="auto"/>
                <w:sz w:val="21"/>
                <w:szCs w:val="21"/>
                <w:highlight w:val="none"/>
              </w:rPr>
            </w:pPr>
            <w:r>
              <w:rPr>
                <w:rFonts w:hint="eastAsia"/>
                <w:color w:val="auto"/>
                <w:sz w:val="21"/>
                <w:szCs w:val="21"/>
                <w:highlight w:val="none"/>
              </w:rPr>
              <w:t>武汉理工大学南湖校区供配电设施运维服务范围：110KV变电站2座，配电房（室）17座、开闭所2座、10KV环网箱5座、箱式变电站45座、电缆沟约8000米。</w:t>
            </w:r>
          </w:p>
          <w:p w14:paraId="4138577A">
            <w:pPr>
              <w:pStyle w:val="18"/>
              <w:spacing w:before="0" w:beforeAutospacing="0" w:after="0" w:afterAutospacing="0" w:line="360" w:lineRule="auto"/>
              <w:jc w:val="left"/>
              <w:rPr>
                <w:rFonts w:hint="eastAsia"/>
                <w:color w:val="auto"/>
                <w:sz w:val="21"/>
                <w:szCs w:val="21"/>
                <w:highlight w:val="none"/>
              </w:rPr>
            </w:pPr>
            <w:r>
              <w:rPr>
                <w:rFonts w:hint="eastAsia"/>
                <w:color w:val="auto"/>
                <w:sz w:val="21"/>
                <w:szCs w:val="21"/>
                <w:highlight w:val="none"/>
              </w:rPr>
              <w:t>运维服务内容：</w:t>
            </w:r>
          </w:p>
          <w:p w14:paraId="77463EDA">
            <w:pPr>
              <w:pStyle w:val="18"/>
              <w:spacing w:before="0" w:beforeAutospacing="0" w:after="0" w:afterAutospacing="0" w:line="360" w:lineRule="auto"/>
              <w:jc w:val="left"/>
              <w:rPr>
                <w:rFonts w:hint="eastAsia"/>
                <w:color w:val="auto"/>
                <w:sz w:val="21"/>
                <w:szCs w:val="21"/>
                <w:highlight w:val="none"/>
              </w:rPr>
            </w:pPr>
            <w:r>
              <w:rPr>
                <w:rFonts w:hint="eastAsia"/>
                <w:color w:val="auto"/>
                <w:sz w:val="21"/>
                <w:szCs w:val="21"/>
                <w:highlight w:val="none"/>
              </w:rPr>
              <w:t>1.有人值守配电房：24小时双岗值班、设备日常维护、预防性试验（2年1次）、安全管理、资产管理、环境卫生、小额维修（材料费1000元以下）、配合停送电、停电应急处置等；</w:t>
            </w:r>
          </w:p>
          <w:p w14:paraId="1A18DF16">
            <w:pPr>
              <w:pStyle w:val="18"/>
              <w:spacing w:before="0" w:beforeAutospacing="0" w:after="0" w:afterAutospacing="0" w:line="360" w:lineRule="auto"/>
              <w:jc w:val="left"/>
              <w:rPr>
                <w:rFonts w:hint="eastAsia"/>
                <w:color w:val="auto"/>
                <w:sz w:val="21"/>
                <w:szCs w:val="21"/>
                <w:highlight w:val="none"/>
              </w:rPr>
            </w:pPr>
            <w:r>
              <w:rPr>
                <w:rFonts w:hint="eastAsia"/>
                <w:color w:val="auto"/>
                <w:sz w:val="21"/>
                <w:szCs w:val="21"/>
                <w:highlight w:val="none"/>
              </w:rPr>
              <w:t>2.无人值守配电房（室）、开闭所、箱变：每天巡查1次及以上、设备日常维护、安全管理、资产管理、环境卫生、小额维修（材料费1000元以下）、配合停送电、停电应急处置等；</w:t>
            </w:r>
          </w:p>
          <w:p w14:paraId="1F965463">
            <w:pPr>
              <w:pStyle w:val="18"/>
              <w:spacing w:before="0" w:beforeAutospacing="0" w:after="0" w:afterAutospacing="0" w:line="360" w:lineRule="auto"/>
              <w:jc w:val="left"/>
              <w:rPr>
                <w:color w:val="auto"/>
                <w:sz w:val="21"/>
                <w:szCs w:val="21"/>
                <w:highlight w:val="none"/>
              </w:rPr>
            </w:pPr>
            <w:r>
              <w:rPr>
                <w:rFonts w:hint="eastAsia"/>
                <w:color w:val="auto"/>
                <w:sz w:val="21"/>
                <w:szCs w:val="21"/>
                <w:highlight w:val="none"/>
              </w:rPr>
              <w:t>3.室外电缆沟：每天巡查1次及以上、配合停送电、停电应急处置等；4.其他：重大活动保障、配合基建维修施工（含高压定值系统维护）、提供供电应急抢修支援、提供供电技术咨询、配合甲方进行线路检查等。</w:t>
            </w:r>
          </w:p>
        </w:tc>
        <w:tc>
          <w:tcPr>
            <w:tcW w:w="462" w:type="dxa"/>
            <w:vAlign w:val="center"/>
          </w:tcPr>
          <w:p w14:paraId="55A3AD0E">
            <w:pPr>
              <w:pStyle w:val="18"/>
              <w:spacing w:before="0" w:beforeAutospacing="0" w:after="0" w:afterAutospacing="0" w:line="360" w:lineRule="auto"/>
              <w:jc w:val="center"/>
              <w:rPr>
                <w:rFonts w:hint="default" w:eastAsia="宋体"/>
                <w:color w:val="auto"/>
                <w:sz w:val="21"/>
                <w:szCs w:val="21"/>
                <w:highlight w:val="none"/>
                <w:lang w:val="en-US" w:eastAsia="zh-CN"/>
              </w:rPr>
            </w:pPr>
            <w:r>
              <w:rPr>
                <w:rFonts w:hint="eastAsia"/>
                <w:color w:val="auto"/>
                <w:sz w:val="21"/>
                <w:szCs w:val="21"/>
                <w:highlight w:val="none"/>
                <w:u w:val="single"/>
                <w:lang w:val="en-US" w:eastAsia="zh-CN"/>
              </w:rPr>
              <w:t>1年</w:t>
            </w:r>
          </w:p>
        </w:tc>
        <w:tc>
          <w:tcPr>
            <w:tcW w:w="1025" w:type="dxa"/>
            <w:vAlign w:val="center"/>
          </w:tcPr>
          <w:p w14:paraId="4B33A363">
            <w:pPr>
              <w:pStyle w:val="18"/>
              <w:spacing w:before="0" w:beforeAutospacing="0" w:after="0" w:afterAutospacing="0" w:line="360" w:lineRule="auto"/>
              <w:jc w:val="center"/>
              <w:rPr>
                <w:color w:val="auto"/>
                <w:sz w:val="21"/>
                <w:szCs w:val="21"/>
                <w:highlight w:val="none"/>
              </w:rPr>
            </w:pPr>
            <w:r>
              <w:rPr>
                <w:rFonts w:hint="eastAsia"/>
                <w:color w:val="auto"/>
                <w:sz w:val="21"/>
                <w:szCs w:val="21"/>
                <w:highlight w:val="none"/>
              </w:rPr>
              <w:t>84.19万元/年</w:t>
            </w:r>
            <w:r>
              <w:rPr>
                <w:rFonts w:hint="eastAsia"/>
                <w:color w:val="auto"/>
                <w:sz w:val="21"/>
                <w:szCs w:val="21"/>
                <w:highlight w:val="none"/>
                <w:lang w:eastAsia="zh-CN"/>
              </w:rPr>
              <w:t>；</w:t>
            </w:r>
            <w:r>
              <w:rPr>
                <w:rFonts w:hint="eastAsia"/>
                <w:color w:val="auto"/>
                <w:sz w:val="21"/>
                <w:szCs w:val="21"/>
                <w:highlight w:val="none"/>
              </w:rPr>
              <w:t>投标人报价均不得超过该包预算金额（最高限价），否则按无效投标文件处理。</w:t>
            </w:r>
          </w:p>
        </w:tc>
        <w:tc>
          <w:tcPr>
            <w:tcW w:w="460" w:type="dxa"/>
            <w:vAlign w:val="center"/>
          </w:tcPr>
          <w:p w14:paraId="0C76BA07">
            <w:pPr>
              <w:pStyle w:val="18"/>
              <w:spacing w:before="0" w:beforeAutospacing="0" w:after="0" w:afterAutospacing="0" w:line="360" w:lineRule="auto"/>
              <w:jc w:val="center"/>
              <w:rPr>
                <w:rFonts w:hint="eastAsia" w:eastAsia="宋体"/>
                <w:color w:val="auto"/>
                <w:sz w:val="21"/>
                <w:szCs w:val="21"/>
                <w:highlight w:val="none"/>
                <w:lang w:eastAsia="zh-CN"/>
              </w:rPr>
            </w:pPr>
            <w:r>
              <w:rPr>
                <w:rFonts w:hint="eastAsia"/>
                <w:color w:val="auto"/>
                <w:sz w:val="21"/>
                <w:szCs w:val="21"/>
                <w:highlight w:val="none"/>
                <w:lang w:val="en-US" w:eastAsia="zh-CN"/>
              </w:rPr>
              <w:t>无</w:t>
            </w:r>
          </w:p>
        </w:tc>
      </w:tr>
    </w:tbl>
    <w:p w14:paraId="361DCAC2">
      <w:pPr>
        <w:tabs>
          <w:tab w:val="center" w:pos="4153"/>
          <w:tab w:val="right" w:pos="8306"/>
        </w:tabs>
        <w:adjustRightInd w:val="0"/>
        <w:snapToGrid w:val="0"/>
        <w:spacing w:line="360" w:lineRule="auto"/>
        <w:textAlignment w:val="baseline"/>
        <w:outlineLvl w:val="1"/>
        <w:rPr>
          <w:rFonts w:ascii="宋体" w:hAnsi="宋体" w:cs="宋体"/>
          <w:b/>
          <w:color w:val="auto"/>
          <w:szCs w:val="21"/>
          <w:highlight w:val="none"/>
        </w:rPr>
      </w:pPr>
      <w:bookmarkStart w:id="70" w:name="_Toc31615"/>
      <w:r>
        <w:rPr>
          <w:rFonts w:hint="eastAsia" w:ascii="宋体" w:hAnsi="宋体" w:cs="宋体"/>
          <w:b/>
          <w:color w:val="auto"/>
          <w:szCs w:val="21"/>
          <w:highlight w:val="none"/>
        </w:rPr>
        <w:t>二、技术、服务要求</w:t>
      </w:r>
      <w:bookmarkEnd w:id="70"/>
    </w:p>
    <w:tbl>
      <w:tblPr>
        <w:tblStyle w:val="21"/>
        <w:tblW w:w="9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0"/>
        <w:gridCol w:w="3261"/>
        <w:gridCol w:w="3019"/>
      </w:tblGrid>
      <w:tr w14:paraId="6B406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2830" w:type="dxa"/>
            <w:vAlign w:val="center"/>
          </w:tcPr>
          <w:p w14:paraId="5A026C60">
            <w:pPr>
              <w:widowControl/>
              <w:spacing w:line="360" w:lineRule="auto"/>
              <w:jc w:val="center"/>
              <w:rPr>
                <w:rFonts w:ascii="宋体" w:hAnsi="宋体" w:cs="Times New Roman"/>
                <w:b/>
                <w:color w:val="auto"/>
                <w:szCs w:val="24"/>
                <w:highlight w:val="none"/>
              </w:rPr>
            </w:pPr>
            <w:r>
              <w:rPr>
                <w:rFonts w:hint="eastAsia" w:ascii="宋体" w:hAnsi="宋体" w:cs="Times New Roman"/>
                <w:b/>
                <w:color w:val="auto"/>
                <w:szCs w:val="24"/>
                <w:highlight w:val="none"/>
              </w:rPr>
              <w:t>1</w:t>
            </w:r>
            <w:r>
              <w:rPr>
                <w:rFonts w:ascii="宋体" w:hAnsi="宋体" w:cs="Times New Roman"/>
                <w:b/>
                <w:color w:val="auto"/>
                <w:szCs w:val="24"/>
                <w:highlight w:val="none"/>
              </w:rPr>
              <w:t>.</w:t>
            </w:r>
            <w:r>
              <w:rPr>
                <w:rFonts w:hint="eastAsia" w:ascii="宋体" w:hAnsi="宋体" w:cs="Times New Roman"/>
                <w:b/>
                <w:color w:val="auto"/>
                <w:szCs w:val="24"/>
                <w:highlight w:val="none"/>
              </w:rPr>
              <w:t>服务名称</w:t>
            </w:r>
          </w:p>
        </w:tc>
        <w:tc>
          <w:tcPr>
            <w:tcW w:w="3261" w:type="dxa"/>
            <w:vAlign w:val="center"/>
          </w:tcPr>
          <w:p w14:paraId="2A047DF6">
            <w:pPr>
              <w:widowControl/>
              <w:jc w:val="center"/>
              <w:rPr>
                <w:rFonts w:ascii="宋体" w:hAnsi="宋体" w:cs="Times New Roman"/>
                <w:b/>
                <w:color w:val="auto"/>
                <w:szCs w:val="24"/>
                <w:highlight w:val="none"/>
              </w:rPr>
            </w:pPr>
            <w:r>
              <w:rPr>
                <w:rFonts w:hint="eastAsia" w:ascii="宋体" w:hAnsi="宋体" w:cs="Times New Roman"/>
                <w:color w:val="auto"/>
                <w:szCs w:val="24"/>
                <w:highlight w:val="none"/>
                <w:lang w:val="en-US" w:eastAsia="zh-CN"/>
              </w:rPr>
              <w:t>南湖校区</w:t>
            </w:r>
            <w:r>
              <w:rPr>
                <w:rFonts w:hint="eastAsia" w:ascii="宋体" w:hAnsi="宋体" w:cs="Times New Roman"/>
                <w:color w:val="auto"/>
                <w:szCs w:val="24"/>
                <w:highlight w:val="none"/>
              </w:rPr>
              <w:t>供配电设备设施运维服务项目</w:t>
            </w:r>
          </w:p>
        </w:tc>
        <w:tc>
          <w:tcPr>
            <w:tcW w:w="3019" w:type="dxa"/>
            <w:vAlign w:val="center"/>
          </w:tcPr>
          <w:p w14:paraId="09610D1A">
            <w:pPr>
              <w:widowControl/>
              <w:spacing w:line="360" w:lineRule="auto"/>
              <w:jc w:val="center"/>
              <w:rPr>
                <w:rFonts w:ascii="宋体" w:hAnsi="宋体" w:cs="Times New Roman"/>
                <w:b/>
                <w:color w:val="auto"/>
                <w:szCs w:val="24"/>
                <w:highlight w:val="none"/>
              </w:rPr>
            </w:pPr>
            <w:r>
              <w:rPr>
                <w:rFonts w:hint="eastAsia" w:ascii="宋体" w:hAnsi="宋体" w:cs="Times New Roman"/>
                <w:b/>
                <w:color w:val="auto"/>
                <w:szCs w:val="24"/>
                <w:highlight w:val="none"/>
              </w:rPr>
              <w:t>数量：1年</w:t>
            </w:r>
          </w:p>
        </w:tc>
      </w:tr>
      <w:tr w14:paraId="02EA5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2830" w:type="dxa"/>
            <w:vAlign w:val="center"/>
          </w:tcPr>
          <w:p w14:paraId="20457D5F">
            <w:pPr>
              <w:widowControl/>
              <w:spacing w:line="400" w:lineRule="exact"/>
              <w:jc w:val="center"/>
              <w:rPr>
                <w:rFonts w:ascii="宋体" w:hAnsi="宋体" w:cs="Times New Roman"/>
                <w:b/>
                <w:color w:val="auto"/>
                <w:szCs w:val="24"/>
                <w:highlight w:val="none"/>
              </w:rPr>
            </w:pPr>
            <w:r>
              <w:rPr>
                <w:rFonts w:hint="eastAsia" w:ascii="宋体" w:hAnsi="宋体" w:cs="Times New Roman"/>
                <w:color w:val="auto"/>
                <w:szCs w:val="24"/>
                <w:highlight w:val="none"/>
              </w:rPr>
              <w:t>主要服务要求</w:t>
            </w:r>
          </w:p>
        </w:tc>
        <w:tc>
          <w:tcPr>
            <w:tcW w:w="6280" w:type="dxa"/>
            <w:gridSpan w:val="2"/>
            <w:vAlign w:val="center"/>
          </w:tcPr>
          <w:p w14:paraId="24E76115">
            <w:pPr>
              <w:widowControl/>
              <w:jc w:val="left"/>
              <w:rPr>
                <w:rFonts w:ascii="宋体" w:hAnsi="宋体" w:cs="Times New Roman"/>
                <w:color w:val="auto"/>
                <w:szCs w:val="24"/>
                <w:highlight w:val="none"/>
                <w:u w:val="single"/>
              </w:rPr>
            </w:pPr>
            <w:r>
              <w:rPr>
                <w:rFonts w:hint="eastAsia" w:ascii="宋体" w:hAnsi="宋体" w:cs="Times New Roman"/>
                <w:color w:val="auto"/>
                <w:szCs w:val="24"/>
                <w:highlight w:val="none"/>
              </w:rPr>
              <w:t>武汉理工大学</w:t>
            </w:r>
            <w:r>
              <w:rPr>
                <w:rFonts w:hint="eastAsia" w:ascii="宋体" w:hAnsi="宋体" w:cs="Times New Roman"/>
                <w:color w:val="auto"/>
                <w:szCs w:val="24"/>
                <w:highlight w:val="none"/>
                <w:lang w:val="en-US" w:eastAsia="zh-CN"/>
              </w:rPr>
              <w:t>南湖</w:t>
            </w:r>
            <w:r>
              <w:rPr>
                <w:rFonts w:hint="eastAsia" w:ascii="宋体" w:hAnsi="宋体" w:cs="Times New Roman"/>
                <w:color w:val="auto"/>
                <w:szCs w:val="24"/>
                <w:highlight w:val="none"/>
              </w:rPr>
              <w:t>校区供配电设施运维服务范围：</w:t>
            </w:r>
            <w:r>
              <w:rPr>
                <w:rFonts w:hint="eastAsia"/>
                <w:color w:val="auto"/>
                <w:sz w:val="21"/>
                <w:szCs w:val="21"/>
                <w:highlight w:val="none"/>
                <w:u w:val="single"/>
              </w:rPr>
              <w:t>110KV变电站2座</w:t>
            </w:r>
            <w:r>
              <w:rPr>
                <w:rFonts w:hint="eastAsia"/>
                <w:color w:val="auto"/>
                <w:sz w:val="21"/>
                <w:szCs w:val="21"/>
                <w:highlight w:val="none"/>
                <w:u w:val="single"/>
                <w:lang w:eastAsia="zh-CN"/>
              </w:rPr>
              <w:t>，</w:t>
            </w:r>
            <w:r>
              <w:rPr>
                <w:rFonts w:hint="eastAsia" w:ascii="宋体" w:hAnsi="宋体" w:cs="Times New Roman"/>
                <w:color w:val="auto"/>
                <w:szCs w:val="24"/>
                <w:highlight w:val="none"/>
                <w:u w:val="single"/>
              </w:rPr>
              <w:t>配电房（室）17座、开闭所2座、10KV环网箱5座、箱式变电站45座、电缆沟约8000米。</w:t>
            </w:r>
          </w:p>
          <w:p w14:paraId="5B84259D">
            <w:pPr>
              <w:widowControl/>
              <w:jc w:val="left"/>
              <w:rPr>
                <w:rFonts w:ascii="宋体" w:hAnsi="宋体" w:cs="Times New Roman"/>
                <w:color w:val="auto"/>
                <w:szCs w:val="24"/>
                <w:highlight w:val="none"/>
                <w:u w:val="single"/>
              </w:rPr>
            </w:pPr>
            <w:r>
              <w:rPr>
                <w:rFonts w:hint="eastAsia" w:ascii="宋体" w:hAnsi="宋体" w:cs="Times New Roman"/>
                <w:color w:val="auto"/>
                <w:szCs w:val="24"/>
                <w:highlight w:val="none"/>
                <w:u w:val="single"/>
              </w:rPr>
              <w:t>运维服务内容：</w:t>
            </w:r>
          </w:p>
          <w:p w14:paraId="30FD5D20">
            <w:pPr>
              <w:widowControl/>
              <w:jc w:val="left"/>
              <w:rPr>
                <w:rFonts w:ascii="宋体" w:hAnsi="宋体" w:cs="Times New Roman"/>
                <w:color w:val="auto"/>
                <w:szCs w:val="24"/>
                <w:highlight w:val="none"/>
                <w:u w:val="single"/>
              </w:rPr>
            </w:pPr>
            <w:r>
              <w:rPr>
                <w:rFonts w:hint="eastAsia" w:ascii="宋体" w:hAnsi="宋体" w:cs="Times New Roman"/>
                <w:color w:val="auto"/>
                <w:szCs w:val="24"/>
                <w:highlight w:val="none"/>
                <w:u w:val="single"/>
              </w:rPr>
              <w:t>1.</w:t>
            </w:r>
            <w:r>
              <w:rPr>
                <w:rFonts w:hint="eastAsia" w:ascii="宋体" w:hAnsi="宋体" w:cs="Times New Roman"/>
                <w:color w:val="auto"/>
                <w:szCs w:val="24"/>
                <w:highlight w:val="none"/>
                <w:u w:val="single"/>
                <w:lang w:val="en-US" w:eastAsia="zh-CN"/>
              </w:rPr>
              <w:t>有人</w:t>
            </w:r>
            <w:r>
              <w:rPr>
                <w:rFonts w:hint="eastAsia" w:ascii="宋体" w:hAnsi="宋体" w:cs="Times New Roman"/>
                <w:color w:val="auto"/>
                <w:szCs w:val="24"/>
                <w:highlight w:val="none"/>
                <w:u w:val="single"/>
              </w:rPr>
              <w:t>值守配电房：24小时双岗值班、设备日常维护、预防性试验（2年1次）</w:t>
            </w:r>
            <w:r>
              <w:rPr>
                <w:rFonts w:hint="eastAsia" w:ascii="宋体" w:hAnsi="宋体" w:cs="Times New Roman"/>
                <w:color w:val="auto"/>
                <w:szCs w:val="24"/>
                <w:highlight w:val="none"/>
                <w:u w:val="single"/>
                <w:lang w:eastAsia="zh-CN"/>
              </w:rPr>
              <w:t>、</w:t>
            </w:r>
            <w:r>
              <w:rPr>
                <w:rFonts w:hint="eastAsia" w:ascii="宋体" w:hAnsi="宋体" w:cs="Times New Roman"/>
                <w:color w:val="auto"/>
                <w:szCs w:val="24"/>
                <w:highlight w:val="none"/>
                <w:u w:val="single"/>
              </w:rPr>
              <w:t>安全管理、资产管理、环境卫生、小额维修（材料费1000元以下）、配合停送电、停电应急处置等；2.无人值守配电房（室）、开闭所、箱变：每天巡查1次及以上、设备日常维护、安全管理、资产管理、环境卫生、小额维修（材料费1000元以下）、配合停送电、停电应急处置等；3.室外电缆沟：每天巡查1次及以上、配合停送电、停电应急处置等；4.其他：重大活动保障、配合基建维修施工（含高压定值系统维护）、提供供电应急抢修支援、提供供电技术咨询</w:t>
            </w:r>
            <w:r>
              <w:rPr>
                <w:rFonts w:hint="eastAsia" w:ascii="宋体" w:hAnsi="宋体" w:cs="Times New Roman"/>
                <w:color w:val="auto"/>
                <w:szCs w:val="24"/>
                <w:highlight w:val="none"/>
                <w:u w:val="single"/>
                <w:lang w:eastAsia="zh-CN"/>
              </w:rPr>
              <w:t>、配合甲方进行线路检查</w:t>
            </w:r>
            <w:r>
              <w:rPr>
                <w:rFonts w:hint="eastAsia" w:ascii="宋体" w:hAnsi="宋体" w:cs="Times New Roman"/>
                <w:color w:val="auto"/>
                <w:szCs w:val="24"/>
                <w:highlight w:val="none"/>
                <w:u w:val="single"/>
              </w:rPr>
              <w:t>等。</w:t>
            </w:r>
          </w:p>
        </w:tc>
      </w:tr>
      <w:tr w14:paraId="1CDCF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2830" w:type="dxa"/>
            <w:vAlign w:val="center"/>
          </w:tcPr>
          <w:p w14:paraId="73834098">
            <w:pPr>
              <w:widowControl/>
              <w:spacing w:line="300" w:lineRule="exact"/>
              <w:jc w:val="center"/>
              <w:rPr>
                <w:rFonts w:ascii="宋体" w:hAnsi="宋体" w:cs="Times New Roman"/>
                <w:color w:val="auto"/>
                <w:szCs w:val="24"/>
                <w:highlight w:val="none"/>
              </w:rPr>
            </w:pPr>
            <w:r>
              <w:rPr>
                <w:rFonts w:hint="eastAsia"/>
                <w:color w:val="auto"/>
                <w:highlight w:val="none"/>
                <w:lang w:val="en"/>
              </w:rPr>
              <w:t>应遵循的相关国家标准、行业标准等标准、规范</w:t>
            </w:r>
          </w:p>
        </w:tc>
        <w:tc>
          <w:tcPr>
            <w:tcW w:w="6280" w:type="dxa"/>
            <w:gridSpan w:val="2"/>
            <w:vAlign w:val="center"/>
          </w:tcPr>
          <w:p w14:paraId="3D7618E4">
            <w:pPr>
              <w:rPr>
                <w:rFonts w:hint="eastAsia" w:ascii="宋体" w:hAnsi="宋体" w:cs="Times New Roman"/>
                <w:color w:val="auto"/>
                <w:szCs w:val="24"/>
                <w:highlight w:val="none"/>
              </w:rPr>
            </w:pPr>
            <w:r>
              <w:rPr>
                <w:rFonts w:hint="eastAsia" w:ascii="Segoe UI Symbol" w:hAnsi="Segoe UI Symbol" w:cs="Segoe UI Symbol"/>
                <w:color w:val="auto"/>
                <w:szCs w:val="24"/>
                <w:highlight w:val="none"/>
              </w:rPr>
              <w:t>□</w:t>
            </w: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rPr>
              <w:t>☑有，要求：</w:t>
            </w:r>
          </w:p>
          <w:p w14:paraId="6EB15208">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GB/T 37136-2018 电力用户供配电设施运行维护规范</w:t>
            </w:r>
          </w:p>
          <w:p w14:paraId="764E6FF8">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GB/T 13869-2017 用电安全导则</w:t>
            </w:r>
          </w:p>
          <w:p w14:paraId="41E1EA26">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GB/T 32893-2016 10kV及以上电力用户变电站运行管理规范</w:t>
            </w:r>
          </w:p>
          <w:p w14:paraId="18D308C6">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GB 26859-2011 电力安全工作规程 电力线路部分</w:t>
            </w:r>
          </w:p>
          <w:p w14:paraId="7EED17DE">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GB 26860-2011 电力安全工作规程 发电厂和变电站电气部分</w:t>
            </w:r>
          </w:p>
          <w:p w14:paraId="7BA29B26">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DL/T 393-2021 输变电设备状态检修试验规程</w:t>
            </w:r>
          </w:p>
          <w:p w14:paraId="1768A85B">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DL/T 572 电力变压器运行规程</w:t>
            </w:r>
          </w:p>
          <w:p w14:paraId="3F7DCCF3">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DL/T 596-2021 电力设备预防性试验规程</w:t>
            </w:r>
          </w:p>
          <w:p w14:paraId="7AC0BB5E">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DL/T 969-2005 变电站运行导则</w:t>
            </w:r>
          </w:p>
          <w:p w14:paraId="2786B75D">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DL/T 1253-2013 电力电缆线路运行规程；</w:t>
            </w:r>
          </w:p>
          <w:p w14:paraId="67D28E8A">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DL/T 1475-2015 电力安全工器具配置与存放技术要求</w:t>
            </w:r>
          </w:p>
          <w:p w14:paraId="665A4F66">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DL/T 1476-2023 电力安全工器具预防性试验规程</w:t>
            </w:r>
          </w:p>
          <w:p w14:paraId="04ADDDDF">
            <w:pPr>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《关于印发&lt;值守变电站管理规范（试行）&gt;的通知》</w:t>
            </w:r>
          </w:p>
          <w:p w14:paraId="0D51F97D">
            <w:pPr>
              <w:ind w:firstLine="420" w:firstLineChars="200"/>
              <w:rPr>
                <w:rFonts w:ascii="宋体" w:hAnsi="宋体" w:cs="Times New Roman"/>
                <w:b/>
                <w:color w:val="auto"/>
                <w:szCs w:val="24"/>
                <w:highlight w:val="none"/>
              </w:rPr>
            </w:pPr>
            <w:r>
              <w:rPr>
                <w:rFonts w:hint="eastAsia" w:ascii="宋体" w:hAnsi="宋体" w:cs="宋体"/>
                <w:color w:val="auto"/>
                <w:kern w:val="0"/>
                <w:szCs w:val="21"/>
                <w:highlight w:val="none"/>
              </w:rPr>
              <w:t>《华中区域电力用户变（配）电站运行值班和维护人员配置标准》</w:t>
            </w:r>
          </w:p>
        </w:tc>
      </w:tr>
      <w:tr w14:paraId="35967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110" w:type="dxa"/>
            <w:gridSpan w:val="3"/>
            <w:vAlign w:val="center"/>
          </w:tcPr>
          <w:p w14:paraId="6494A54D">
            <w:pPr>
              <w:widowControl/>
              <w:spacing w:line="400" w:lineRule="exact"/>
              <w:jc w:val="center"/>
              <w:rPr>
                <w:rFonts w:ascii="宋体" w:hAnsi="宋体" w:cs="Times New Roman"/>
                <w:b/>
                <w:color w:val="auto"/>
                <w:szCs w:val="24"/>
                <w:highlight w:val="none"/>
              </w:rPr>
            </w:pPr>
            <w:r>
              <w:rPr>
                <w:rFonts w:hint="eastAsia" w:ascii="宋体" w:hAnsi="宋体" w:cs="Times New Roman"/>
                <w:b/>
                <w:color w:val="auto"/>
                <w:szCs w:val="24"/>
                <w:highlight w:val="none"/>
              </w:rPr>
              <w:t>技术指标</w:t>
            </w:r>
          </w:p>
        </w:tc>
      </w:tr>
    </w:tbl>
    <w:p w14:paraId="3045EF30">
      <w:pPr>
        <w:spacing w:line="360" w:lineRule="auto"/>
        <w:jc w:val="left"/>
        <w:rPr>
          <w:rFonts w:ascii="Times New Roman" w:hAnsi="Times New Roman" w:eastAsia="宋体" w:cs="Times New Roman"/>
          <w:b/>
          <w:color w:val="auto"/>
          <w:kern w:val="0"/>
          <w:szCs w:val="21"/>
          <w:highlight w:val="none"/>
        </w:rPr>
      </w:pPr>
      <w:r>
        <w:rPr>
          <w:rFonts w:hint="eastAsia" w:ascii="Times New Roman" w:hAnsi="Times New Roman" w:eastAsia="宋体" w:cs="Times New Roman"/>
          <w:b/>
          <w:color w:val="auto"/>
          <w:kern w:val="0"/>
          <w:szCs w:val="21"/>
          <w:highlight w:val="none"/>
          <w:lang w:eastAsia="zh-CN"/>
        </w:rPr>
        <w:t>（</w:t>
      </w:r>
      <w:r>
        <w:rPr>
          <w:rFonts w:hint="eastAsia" w:ascii="Times New Roman" w:hAnsi="Times New Roman" w:eastAsia="宋体" w:cs="Times New Roman"/>
          <w:b/>
          <w:color w:val="auto"/>
          <w:kern w:val="0"/>
          <w:szCs w:val="21"/>
          <w:highlight w:val="none"/>
        </w:rPr>
        <w:t>一</w:t>
      </w:r>
      <w:r>
        <w:rPr>
          <w:rFonts w:hint="eastAsia" w:ascii="Times New Roman" w:hAnsi="Times New Roman" w:eastAsia="宋体" w:cs="Times New Roman"/>
          <w:b/>
          <w:color w:val="auto"/>
          <w:kern w:val="0"/>
          <w:szCs w:val="21"/>
          <w:highlight w:val="none"/>
          <w:lang w:eastAsia="zh-CN"/>
        </w:rPr>
        <w:t>）</w:t>
      </w:r>
      <w:r>
        <w:rPr>
          <w:rFonts w:hint="eastAsia" w:ascii="Times New Roman" w:hAnsi="Times New Roman" w:eastAsia="宋体" w:cs="Times New Roman"/>
          <w:b/>
          <w:color w:val="auto"/>
          <w:kern w:val="0"/>
          <w:szCs w:val="21"/>
          <w:highlight w:val="none"/>
        </w:rPr>
        <w:t>、</w:t>
      </w:r>
      <w:r>
        <w:rPr>
          <w:rFonts w:ascii="Times New Roman" w:hAnsi="Times New Roman" w:eastAsia="宋体" w:cs="Times New Roman"/>
          <w:b/>
          <w:color w:val="auto"/>
          <w:kern w:val="0"/>
          <w:szCs w:val="21"/>
          <w:highlight w:val="none"/>
        </w:rPr>
        <w:t>服务</w:t>
      </w:r>
      <w:r>
        <w:rPr>
          <w:rFonts w:hint="eastAsia" w:ascii="Times New Roman" w:hAnsi="Times New Roman" w:eastAsia="宋体" w:cs="Times New Roman"/>
          <w:b/>
          <w:color w:val="auto"/>
          <w:kern w:val="0"/>
          <w:szCs w:val="21"/>
          <w:highlight w:val="none"/>
        </w:rPr>
        <w:t>项目</w:t>
      </w:r>
    </w:p>
    <w:p w14:paraId="6984657E">
      <w:pPr>
        <w:spacing w:line="360" w:lineRule="auto"/>
        <w:ind w:firstLine="420" w:firstLineChars="200"/>
        <w:rPr>
          <w:rFonts w:hint="eastAsia" w:ascii="宋体" w:hAnsi="宋体" w:eastAsia="宋体" w:cs="宋体"/>
          <w:color w:val="auto"/>
          <w:szCs w:val="21"/>
          <w:highlight w:val="none"/>
          <w:lang w:eastAsia="zh-CN"/>
        </w:rPr>
      </w:pPr>
      <w:r>
        <w:rPr>
          <w:rFonts w:hint="eastAsia" w:ascii="Times New Roman" w:hAnsi="Times New Roman" w:eastAsia="宋体" w:cs="Times New Roman"/>
          <w:color w:val="auto"/>
          <w:szCs w:val="21"/>
          <w:highlight w:val="none"/>
          <w:lang w:val="en-US" w:eastAsia="zh-CN"/>
        </w:rPr>
        <w:t>南湖校区</w:t>
      </w:r>
      <w:r>
        <w:rPr>
          <w:rFonts w:hint="eastAsia" w:ascii="Times New Roman" w:hAnsi="Times New Roman" w:eastAsia="宋体" w:cs="Times New Roman"/>
          <w:color w:val="auto"/>
          <w:szCs w:val="21"/>
          <w:highlight w:val="none"/>
        </w:rPr>
        <w:t>供配电设备设施运维服务项目</w:t>
      </w:r>
      <w:r>
        <w:rPr>
          <w:rFonts w:hint="eastAsia" w:ascii="宋体" w:hAnsi="宋体" w:eastAsia="宋体" w:cs="宋体"/>
          <w:color w:val="auto"/>
          <w:szCs w:val="21"/>
          <w:highlight w:val="none"/>
        </w:rPr>
        <w:t>包含</w:t>
      </w:r>
      <w:r>
        <w:rPr>
          <w:rFonts w:hint="eastAsia" w:ascii="宋体" w:hAnsi="宋体" w:eastAsia="宋体" w:cs="宋体"/>
          <w:color w:val="auto"/>
          <w:szCs w:val="21"/>
          <w:highlight w:val="none"/>
          <w:lang w:eastAsia="zh-CN"/>
        </w:rPr>
        <w:t>南湖校区</w:t>
      </w:r>
      <w:r>
        <w:rPr>
          <w:rFonts w:hint="eastAsia" w:ascii="宋体" w:hAnsi="宋体" w:eastAsia="宋体" w:cs="宋体"/>
          <w:color w:val="auto"/>
          <w:szCs w:val="21"/>
          <w:highlight w:val="none"/>
        </w:rPr>
        <w:t>校区所有供配电设备设施。本次招标服务范围为：</w:t>
      </w:r>
      <w:r>
        <w:rPr>
          <w:rFonts w:hint="eastAsia" w:ascii="宋体" w:hAnsi="宋体" w:eastAsia="宋体" w:cs="Times New Roman"/>
          <w:color w:val="auto"/>
          <w:szCs w:val="24"/>
          <w:highlight w:val="none"/>
          <w:u w:val="single"/>
        </w:rPr>
        <w:t>110KV变电站2座，配电房（室）17座、开闭所2座、10KV环网箱5座、箱式变电站45座、电缆沟约8000米</w:t>
      </w:r>
      <w:r>
        <w:rPr>
          <w:rFonts w:hint="eastAsia" w:ascii="宋体" w:hAnsi="宋体" w:eastAsia="宋体" w:cs="Times New Roman"/>
          <w:color w:val="auto"/>
          <w:szCs w:val="24"/>
          <w:highlight w:val="none"/>
          <w:u w:val="single"/>
          <w:lang w:eastAsia="zh-CN"/>
        </w:rPr>
        <w:t>。</w:t>
      </w:r>
    </w:p>
    <w:p w14:paraId="6D2F06E0">
      <w:pPr>
        <w:spacing w:line="360" w:lineRule="auto"/>
        <w:ind w:firstLine="420" w:firstLineChars="200"/>
        <w:rPr>
          <w:rFonts w:ascii="Times New Roman" w:hAnsi="Times New Roman" w:eastAsia="宋体" w:cs="宋体"/>
          <w:b/>
          <w:bCs/>
          <w:color w:val="auto"/>
          <w:szCs w:val="21"/>
          <w:highlight w:val="none"/>
        </w:rPr>
      </w:pPr>
      <w:r>
        <w:rPr>
          <w:rFonts w:hint="eastAsia" w:ascii="Times New Roman" w:hAnsi="Times New Roman" w:eastAsia="宋体" w:cs="宋体"/>
          <w:color w:val="auto"/>
          <w:szCs w:val="21"/>
          <w:highlight w:val="none"/>
        </w:rPr>
        <w:t>服务方需要配合的内容：</w:t>
      </w:r>
      <w:r>
        <w:rPr>
          <w:rFonts w:hint="eastAsia" w:ascii="宋体" w:hAnsi="宋体" w:eastAsia="宋体" w:cs="Times New Roman"/>
          <w:color w:val="auto"/>
          <w:szCs w:val="24"/>
          <w:highlight w:val="none"/>
          <w:u w:val="single"/>
        </w:rPr>
        <w:t>1.值守配电房</w:t>
      </w:r>
      <w:r>
        <w:rPr>
          <w:rFonts w:hint="eastAsia" w:ascii="宋体" w:hAnsi="宋体" w:eastAsia="宋体" w:cs="Times New Roman"/>
          <w:color w:val="auto"/>
          <w:szCs w:val="24"/>
          <w:highlight w:val="none"/>
          <w:u w:val="single"/>
          <w:lang w:eastAsia="zh-CN"/>
        </w:rPr>
        <w:t>（</w:t>
      </w:r>
      <w:r>
        <w:rPr>
          <w:rFonts w:hint="eastAsia" w:ascii="宋体" w:hAnsi="宋体" w:eastAsia="宋体" w:cs="Times New Roman"/>
          <w:color w:val="auto"/>
          <w:szCs w:val="24"/>
          <w:highlight w:val="none"/>
          <w:u w:val="single"/>
          <w:lang w:val="en-US" w:eastAsia="zh-CN"/>
        </w:rPr>
        <w:t>1座</w:t>
      </w:r>
      <w:r>
        <w:rPr>
          <w:rFonts w:hint="eastAsia" w:ascii="宋体" w:hAnsi="宋体" w:eastAsia="宋体" w:cs="Times New Roman"/>
          <w:color w:val="auto"/>
          <w:szCs w:val="24"/>
          <w:highlight w:val="none"/>
          <w:u w:val="single"/>
          <w:lang w:eastAsia="zh-CN"/>
        </w:rPr>
        <w:t>）</w:t>
      </w:r>
      <w:r>
        <w:rPr>
          <w:rFonts w:hint="eastAsia" w:ascii="宋体" w:hAnsi="宋体" w:eastAsia="宋体" w:cs="Times New Roman"/>
          <w:color w:val="auto"/>
          <w:szCs w:val="24"/>
          <w:highlight w:val="none"/>
          <w:u w:val="single"/>
        </w:rPr>
        <w:t>：24小时双岗值班、设备日常维护、预防性试验（2年1次）、安全管理、资产管理、环境卫生、小额维修（材料费1000元以下）、配合停送电、停电应急处置等；2.无人值守配电房（室）、开闭所、箱变：每天巡查1次及以上、设备日常维护、安全管理、资产管理、环境卫生、小额维修（材料费1000元以下）、配合停送电、停电应急处置等；3.室外电缆沟：每天巡查1次及以上、配合停送电、停电应急处置等；4.其他：重大活动保障、配合基建维修施工（含高压定值系统维护）、提供供电应急抢修支援、提供供电技术咨询、配合甲方进行线路检查等。</w:t>
      </w:r>
    </w:p>
    <w:p w14:paraId="524EF62D">
      <w:pPr>
        <w:spacing w:line="360" w:lineRule="auto"/>
        <w:jc w:val="left"/>
        <w:rPr>
          <w:rFonts w:ascii="Times New Roman" w:hAnsi="Times New Roman" w:eastAsia="宋体" w:cs="Times New Roman"/>
          <w:b/>
          <w:color w:val="auto"/>
          <w:kern w:val="0"/>
          <w:szCs w:val="21"/>
          <w:highlight w:val="none"/>
        </w:rPr>
      </w:pPr>
      <w:r>
        <w:rPr>
          <w:rFonts w:hint="eastAsia" w:ascii="Times New Roman" w:hAnsi="Times New Roman" w:eastAsia="宋体" w:cs="Times New Roman"/>
          <w:b/>
          <w:color w:val="auto"/>
          <w:kern w:val="0"/>
          <w:szCs w:val="21"/>
          <w:highlight w:val="none"/>
          <w:lang w:eastAsia="zh-CN"/>
        </w:rPr>
        <w:t>（</w:t>
      </w:r>
      <w:r>
        <w:rPr>
          <w:rFonts w:hint="eastAsia" w:ascii="Times New Roman" w:hAnsi="Times New Roman" w:eastAsia="宋体" w:cs="Times New Roman"/>
          <w:b/>
          <w:color w:val="auto"/>
          <w:kern w:val="0"/>
          <w:szCs w:val="21"/>
          <w:highlight w:val="none"/>
        </w:rPr>
        <w:t>二</w:t>
      </w:r>
      <w:r>
        <w:rPr>
          <w:rFonts w:hint="eastAsia" w:ascii="Times New Roman" w:hAnsi="Times New Roman" w:eastAsia="宋体" w:cs="Times New Roman"/>
          <w:b/>
          <w:color w:val="auto"/>
          <w:kern w:val="0"/>
          <w:szCs w:val="21"/>
          <w:highlight w:val="none"/>
          <w:lang w:eastAsia="zh-CN"/>
        </w:rPr>
        <w:t>）</w:t>
      </w:r>
      <w:r>
        <w:rPr>
          <w:rFonts w:hint="eastAsia" w:ascii="Times New Roman" w:hAnsi="Times New Roman" w:eastAsia="宋体" w:cs="Times New Roman"/>
          <w:b/>
          <w:color w:val="auto"/>
          <w:kern w:val="0"/>
          <w:szCs w:val="21"/>
          <w:highlight w:val="none"/>
        </w:rPr>
        <w:t>、服务</w:t>
      </w:r>
      <w:r>
        <w:rPr>
          <w:rFonts w:ascii="Times New Roman" w:hAnsi="Times New Roman" w:eastAsia="宋体" w:cs="Times New Roman"/>
          <w:b/>
          <w:color w:val="auto"/>
          <w:kern w:val="0"/>
          <w:szCs w:val="21"/>
          <w:highlight w:val="none"/>
        </w:rPr>
        <w:t>标准</w:t>
      </w:r>
    </w:p>
    <w:p w14:paraId="4A57A6BD">
      <w:pPr>
        <w:spacing w:line="360" w:lineRule="auto"/>
        <w:ind w:firstLine="420" w:firstLineChars="200"/>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一）运维服务工作</w:t>
      </w:r>
    </w:p>
    <w:p w14:paraId="6C7E76AB">
      <w:pPr>
        <w:spacing w:line="360" w:lineRule="auto"/>
        <w:ind w:firstLine="420" w:firstLineChars="200"/>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1、</w:t>
      </w:r>
      <w:r>
        <w:rPr>
          <w:rFonts w:ascii="Times New Roman" w:hAnsi="Times New Roman" w:eastAsia="宋体" w:cs="Times New Roman"/>
          <w:b/>
          <w:color w:val="auto"/>
          <w:szCs w:val="21"/>
          <w:highlight w:val="none"/>
        </w:rPr>
        <w:t>协调与配合</w:t>
      </w:r>
    </w:p>
    <w:p w14:paraId="0973FBC4">
      <w:pPr>
        <w:tabs>
          <w:tab w:val="left" w:pos="851"/>
        </w:tabs>
        <w:snapToGrid w:val="0"/>
        <w:spacing w:line="360" w:lineRule="auto"/>
        <w:ind w:firstLine="420" w:firstLineChars="20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（1）负责协调送、停电和维护的联系工作；</w:t>
      </w:r>
    </w:p>
    <w:p w14:paraId="6D905355">
      <w:pPr>
        <w:tabs>
          <w:tab w:val="left" w:pos="851"/>
        </w:tabs>
        <w:snapToGrid w:val="0"/>
        <w:spacing w:line="360" w:lineRule="auto"/>
        <w:ind w:firstLine="420" w:firstLineChars="20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2</w:t>
      </w:r>
      <w:r>
        <w:rPr>
          <w:rFonts w:ascii="Times New Roman" w:hAnsi="Times New Roman" w:eastAsia="宋体" w:cs="Times New Roman"/>
          <w:color w:val="auto"/>
          <w:szCs w:val="21"/>
          <w:highlight w:val="none"/>
        </w:rPr>
        <w:t>）负责联系协调和组织有关技术力量进行设备、系统故障的分析与排除工作</w:t>
      </w:r>
      <w:r>
        <w:rPr>
          <w:rFonts w:hint="eastAsia" w:ascii="Times New Roman" w:hAnsi="Times New Roman" w:eastAsia="宋体" w:cs="Times New Roman"/>
          <w:color w:val="auto"/>
          <w:szCs w:val="21"/>
          <w:highlight w:val="none"/>
        </w:rPr>
        <w:t>。</w:t>
      </w:r>
    </w:p>
    <w:p w14:paraId="0A8D2142">
      <w:pPr>
        <w:tabs>
          <w:tab w:val="left" w:pos="851"/>
        </w:tabs>
        <w:snapToGrid w:val="0"/>
        <w:spacing w:line="360" w:lineRule="auto"/>
        <w:ind w:firstLine="420" w:firstLineChars="200"/>
        <w:contextualSpacing/>
        <w:jc w:val="left"/>
        <w:rPr>
          <w:rFonts w:hint="eastAsia" w:ascii="Times New Roman" w:hAnsi="Times New Roman" w:eastAsia="宋体" w:cs="Times New Roman"/>
          <w:b/>
          <w:color w:val="auto"/>
          <w:szCs w:val="21"/>
          <w:highlight w:val="none"/>
          <w:lang w:eastAsia="zh-CN"/>
        </w:rPr>
      </w:pPr>
      <w:r>
        <w:rPr>
          <w:rFonts w:hint="eastAsia" w:ascii="Times New Roman" w:hAnsi="Times New Roman" w:eastAsia="宋体" w:cs="Times New Roman"/>
          <w:b/>
          <w:color w:val="auto"/>
          <w:szCs w:val="21"/>
          <w:highlight w:val="none"/>
        </w:rPr>
        <w:t>2、</w:t>
      </w:r>
      <w:r>
        <w:rPr>
          <w:rFonts w:hint="eastAsia" w:ascii="Times New Roman" w:hAnsi="Times New Roman" w:eastAsia="宋体" w:cs="Times New Roman"/>
          <w:b/>
          <w:color w:val="auto"/>
          <w:szCs w:val="21"/>
          <w:highlight w:val="none"/>
          <w:lang w:val="en"/>
        </w:rPr>
        <w:t>相关国家标准、行业标准</w:t>
      </w:r>
    </w:p>
    <w:p w14:paraId="2A8622F3">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GB/T 37136-2018 电力用户供配电设施运行维护规范</w:t>
      </w:r>
    </w:p>
    <w:p w14:paraId="69E068B5">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GB/T 13869</w:t>
      </w:r>
      <w:r>
        <w:rPr>
          <w:rFonts w:hint="eastAsia" w:ascii="宋体" w:hAnsi="宋体" w:cs="Times New Roman"/>
          <w:color w:val="auto"/>
          <w:szCs w:val="24"/>
          <w:highlight w:val="none"/>
          <w:lang w:val="en-US" w:eastAsia="zh-CN"/>
        </w:rPr>
        <w:t>-2017</w:t>
      </w:r>
      <w:r>
        <w:rPr>
          <w:rFonts w:hint="eastAsia" w:ascii="宋体" w:hAnsi="宋体" w:cs="Times New Roman"/>
          <w:color w:val="auto"/>
          <w:szCs w:val="24"/>
          <w:highlight w:val="none"/>
        </w:rPr>
        <w:t xml:space="preserve"> 用电安全导则</w:t>
      </w:r>
    </w:p>
    <w:p w14:paraId="232C698B">
      <w:pPr>
        <w:ind w:firstLine="420" w:firstLineChars="200"/>
        <w:rPr>
          <w:rFonts w:hint="eastAsia" w:ascii="宋体" w:hAnsi="宋体" w:cs="Times New Roman"/>
          <w:color w:val="auto"/>
          <w:szCs w:val="24"/>
          <w:highlight w:val="none"/>
          <w:lang w:val="en-US" w:eastAsia="zh-CN"/>
        </w:rPr>
      </w:pPr>
      <w:r>
        <w:rPr>
          <w:rFonts w:hint="eastAsia" w:ascii="宋体" w:hAnsi="宋体" w:cs="Times New Roman"/>
          <w:color w:val="auto"/>
          <w:szCs w:val="24"/>
          <w:highlight w:val="none"/>
        </w:rPr>
        <w:t>GB/T 32893-2016</w:t>
      </w:r>
      <w:r>
        <w:rPr>
          <w:rFonts w:hint="eastAsia" w:ascii="宋体" w:hAnsi="宋体" w:cs="Times New Roman"/>
          <w:color w:val="auto"/>
          <w:szCs w:val="24"/>
          <w:highlight w:val="none"/>
          <w:lang w:val="en-US" w:eastAsia="zh-CN"/>
        </w:rPr>
        <w:t xml:space="preserve"> 10kV及以上电力用户变电站运行管理规范</w:t>
      </w:r>
    </w:p>
    <w:p w14:paraId="0A34400C">
      <w:pPr>
        <w:ind w:firstLine="420" w:firstLineChars="200"/>
        <w:rPr>
          <w:rFonts w:hint="eastAsia" w:ascii="宋体" w:hAnsi="宋体" w:cs="Times New Roman"/>
          <w:color w:val="auto"/>
          <w:szCs w:val="24"/>
          <w:highlight w:val="none"/>
          <w:lang w:val="en-US" w:eastAsia="zh-CN"/>
        </w:rPr>
      </w:pPr>
      <w:r>
        <w:rPr>
          <w:rFonts w:hint="eastAsia" w:ascii="宋体" w:hAnsi="宋体" w:cs="Times New Roman"/>
          <w:color w:val="auto"/>
          <w:szCs w:val="24"/>
          <w:highlight w:val="none"/>
          <w:lang w:val="en-US" w:eastAsia="zh-CN"/>
        </w:rPr>
        <w:t>GB 26859-2011 电力安全工作规程 电力线路部分</w:t>
      </w:r>
    </w:p>
    <w:p w14:paraId="1B23CBF1">
      <w:pPr>
        <w:ind w:firstLine="420" w:firstLineChars="200"/>
        <w:rPr>
          <w:rFonts w:hint="eastAsia" w:ascii="宋体" w:hAnsi="宋体" w:cs="Times New Roman"/>
          <w:color w:val="auto"/>
          <w:szCs w:val="24"/>
          <w:highlight w:val="none"/>
          <w:lang w:val="en-US" w:eastAsia="zh-CN"/>
        </w:rPr>
      </w:pPr>
      <w:r>
        <w:rPr>
          <w:rFonts w:hint="eastAsia" w:ascii="宋体" w:hAnsi="宋体" w:cs="Times New Roman"/>
          <w:color w:val="auto"/>
          <w:szCs w:val="24"/>
          <w:highlight w:val="none"/>
          <w:lang w:val="en-US" w:eastAsia="zh-CN"/>
        </w:rPr>
        <w:t>GB 26860-2011 电力安全工作规程 发电厂和变电站电气部分</w:t>
      </w:r>
    </w:p>
    <w:p w14:paraId="76C0FD11">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DL/T 393-2021 输变电设备状态检修试验规程</w:t>
      </w:r>
    </w:p>
    <w:p w14:paraId="47D79D01">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DL/T 572 电力变压器运行规程</w:t>
      </w:r>
    </w:p>
    <w:p w14:paraId="48472F6A">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DL/T 596-2021 电力设备预防性试验规程</w:t>
      </w:r>
    </w:p>
    <w:p w14:paraId="760DD3A7">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DL/T 969-2005 变电站运行导则</w:t>
      </w:r>
    </w:p>
    <w:p w14:paraId="7094A2DF">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DL/T 1253-2013 电力电缆线路运行规程；</w:t>
      </w:r>
    </w:p>
    <w:p w14:paraId="5BF7EF2E">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DL/T 1475-2015 电力安全工器具配置与存放技术要求</w:t>
      </w:r>
    </w:p>
    <w:p w14:paraId="47BD6885">
      <w:pPr>
        <w:ind w:firstLine="420" w:firstLineChars="200"/>
        <w:rPr>
          <w:rFonts w:hint="eastAsia" w:ascii="宋体" w:hAnsi="宋体" w:cs="Times New Roman"/>
          <w:color w:val="auto"/>
          <w:szCs w:val="24"/>
          <w:highlight w:val="none"/>
        </w:rPr>
      </w:pPr>
      <w:r>
        <w:rPr>
          <w:rFonts w:hint="eastAsia" w:ascii="宋体" w:hAnsi="宋体" w:cs="Times New Roman"/>
          <w:color w:val="auto"/>
          <w:szCs w:val="24"/>
          <w:highlight w:val="none"/>
        </w:rPr>
        <w:t>DL/T 1476-2023 电力安全工器具预防性试验规程</w:t>
      </w:r>
    </w:p>
    <w:p w14:paraId="4E947E22">
      <w:pPr>
        <w:tabs>
          <w:tab w:val="left" w:pos="851"/>
        </w:tabs>
        <w:snapToGrid w:val="0"/>
        <w:spacing w:line="360" w:lineRule="auto"/>
        <w:ind w:firstLine="420" w:firstLineChars="200"/>
        <w:contextualSpacing/>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《关于印发&lt;值守变电站管理规范（试行）&gt;的通知》；《华中区域电力用户变（配）电站运行值班和维护人员配置标准》。</w:t>
      </w:r>
    </w:p>
    <w:p w14:paraId="5F96E4AB">
      <w:pPr>
        <w:spacing w:line="360" w:lineRule="auto"/>
        <w:ind w:firstLine="420" w:firstLineChars="200"/>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3、日常运行维护</w:t>
      </w:r>
    </w:p>
    <w:p w14:paraId="7C948906">
      <w:pPr>
        <w:tabs>
          <w:tab w:val="left" w:pos="851"/>
        </w:tabs>
        <w:snapToGrid w:val="0"/>
        <w:spacing w:line="360" w:lineRule="auto"/>
        <w:ind w:firstLine="359" w:firstLineChars="171"/>
        <w:contextualSpacing/>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1</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运维单位进行季度巡查时，必须详细记录各设备的运行情况，巡查完成后出具供配电设备巡检报告。</w:t>
      </w:r>
      <w:r>
        <w:rPr>
          <w:rFonts w:hint="eastAsia" w:ascii="Times New Roman" w:hAnsi="Times New Roman" w:eastAsia="宋体" w:cs="Times New Roman"/>
          <w:color w:val="auto"/>
          <w:szCs w:val="21"/>
          <w:highlight w:val="none"/>
          <w:lang w:val="en-US" w:eastAsia="zh-CN"/>
        </w:rPr>
        <w:t>负责设备等供配电资料的日常管理和维护。</w:t>
      </w:r>
    </w:p>
    <w:p w14:paraId="395181E3">
      <w:pPr>
        <w:tabs>
          <w:tab w:val="left" w:pos="851"/>
        </w:tabs>
        <w:snapToGrid w:val="0"/>
        <w:spacing w:line="360" w:lineRule="auto"/>
        <w:ind w:firstLine="359" w:firstLineChars="171"/>
        <w:contextualSpacing/>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2</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运维单位必须保证项目负责人24小时通讯畅通。</w:t>
      </w:r>
    </w:p>
    <w:p w14:paraId="08CAF297">
      <w:pPr>
        <w:tabs>
          <w:tab w:val="left" w:pos="851"/>
        </w:tabs>
        <w:snapToGrid w:val="0"/>
        <w:spacing w:line="360" w:lineRule="auto"/>
        <w:ind w:firstLine="359" w:firstLineChars="171"/>
        <w:contextualSpacing/>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3</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运维单位应有完备的电力故障抢修应急处理方案，能及时判断、抢修设备故障，保证及时恢复系统正常运转，确保系统全天候处于完好状态。</w:t>
      </w:r>
    </w:p>
    <w:p w14:paraId="40B0DB88">
      <w:pPr>
        <w:tabs>
          <w:tab w:val="left" w:pos="851"/>
        </w:tabs>
        <w:snapToGrid w:val="0"/>
        <w:spacing w:line="360" w:lineRule="auto"/>
        <w:ind w:firstLine="359" w:firstLineChars="171"/>
        <w:contextualSpacing/>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4</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运维单位应建立电力设备快速抢修机制，当供配电设备出现故障，运维单位接到通知后需在30分钟内赶赴现场，按照技术流程迅速找出故障原因予以处置，应最大限度减小断电影响。处置期间因操作不当导致的事故由运维单位负全责。</w:t>
      </w:r>
    </w:p>
    <w:p w14:paraId="7008F7CF">
      <w:pPr>
        <w:tabs>
          <w:tab w:val="left" w:pos="851"/>
        </w:tabs>
        <w:snapToGrid w:val="0"/>
        <w:spacing w:line="360" w:lineRule="auto"/>
        <w:ind w:firstLine="359" w:firstLineChars="171"/>
        <w:contextualSpacing/>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5</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电力设备维修应当严格按照安全操作规范，在不影响电力设备安全运行的前提下5个工作日内完成，所有电力设备维修应保证其余电力设备的安全运行。</w:t>
      </w:r>
    </w:p>
    <w:p w14:paraId="1F8A9898">
      <w:pPr>
        <w:tabs>
          <w:tab w:val="left" w:pos="851"/>
        </w:tabs>
        <w:snapToGrid w:val="0"/>
        <w:spacing w:line="360" w:lineRule="auto"/>
        <w:ind w:firstLine="359" w:firstLineChars="171"/>
        <w:contextualSpacing/>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6</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维护和维修过的电力设备，必须确保在60天内不发生同样的电力故障，否则视为电力设备维护和维修失败。</w:t>
      </w:r>
    </w:p>
    <w:p w14:paraId="5FE6C816">
      <w:pPr>
        <w:tabs>
          <w:tab w:val="left" w:pos="851"/>
        </w:tabs>
        <w:snapToGrid w:val="0"/>
        <w:spacing w:line="360" w:lineRule="auto"/>
        <w:ind w:firstLine="359" w:firstLineChars="171"/>
        <w:contextualSpacing/>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7</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运维单位必须服从学校管理，保持人员稳定，了解全部设备的运行状况，保证学校业主24小时能与运维技术人员取得联系。</w:t>
      </w:r>
    </w:p>
    <w:p w14:paraId="07B29298">
      <w:pPr>
        <w:tabs>
          <w:tab w:val="left" w:pos="851"/>
        </w:tabs>
        <w:snapToGrid w:val="0"/>
        <w:spacing w:line="360" w:lineRule="auto"/>
        <w:ind w:firstLine="359" w:firstLineChars="171"/>
        <w:contextualSpacing/>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8</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运维期间内，运维单位有义务协助业主处理好强电设备运维方面的一切事宜，除高值备品备件（价值</w:t>
      </w:r>
      <w:r>
        <w:rPr>
          <w:rFonts w:hint="eastAsia" w:ascii="Times New Roman" w:hAnsi="Times New Roman" w:eastAsia="宋体" w:cs="Times New Roman"/>
          <w:color w:val="auto"/>
          <w:szCs w:val="21"/>
          <w:highlight w:val="none"/>
          <w:lang w:val="en-US" w:eastAsia="zh-CN"/>
        </w:rPr>
        <w:t>1000</w:t>
      </w:r>
      <w:r>
        <w:rPr>
          <w:rFonts w:hint="eastAsia" w:ascii="Times New Roman" w:hAnsi="Times New Roman" w:eastAsia="宋体" w:cs="Times New Roman"/>
          <w:color w:val="auto"/>
          <w:szCs w:val="21"/>
          <w:highlight w:val="none"/>
        </w:rPr>
        <w:t>元以上）、设备返厂维修费用、大型设备租赁（如吊车、升降机等）以外，其他费用均由运维单位承担。</w:t>
      </w:r>
    </w:p>
    <w:p w14:paraId="3753EA5E">
      <w:pPr>
        <w:tabs>
          <w:tab w:val="left" w:pos="851"/>
        </w:tabs>
        <w:snapToGrid w:val="0"/>
        <w:spacing w:line="360" w:lineRule="auto"/>
        <w:ind w:firstLine="359" w:firstLineChars="171"/>
        <w:contextualSpacing/>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Cs w:val="21"/>
          <w:highlight w:val="none"/>
          <w:lang w:val="en-US" w:eastAsia="zh-CN"/>
        </w:rPr>
        <w:t>（9）配合甲方拟定楼栋内用电增容方案，配合甲方进行</w:t>
      </w:r>
      <w:r>
        <w:rPr>
          <w:rFonts w:hint="eastAsia" w:ascii="Times New Roman" w:hAnsi="Times New Roman" w:eastAsia="宋体" w:cs="Times New Roman"/>
          <w:color w:val="auto"/>
          <w:szCs w:val="21"/>
          <w:highlight w:val="none"/>
          <w:lang w:eastAsia="zh-CN"/>
        </w:rPr>
        <w:t>线路检查</w:t>
      </w:r>
      <w:r>
        <w:rPr>
          <w:rFonts w:hint="eastAsia" w:ascii="Times New Roman" w:hAnsi="Times New Roman" w:eastAsia="宋体" w:cs="Times New Roman"/>
          <w:color w:val="auto"/>
          <w:szCs w:val="21"/>
          <w:highlight w:val="none"/>
          <w:lang w:val="en-US" w:eastAsia="zh-CN"/>
        </w:rPr>
        <w:t>和安全隐患排查。</w:t>
      </w:r>
    </w:p>
    <w:p w14:paraId="02200910">
      <w:pPr>
        <w:tabs>
          <w:tab w:val="left" w:pos="851"/>
        </w:tabs>
        <w:snapToGrid w:val="0"/>
        <w:spacing w:line="360" w:lineRule="auto"/>
        <w:ind w:firstLine="359" w:firstLineChars="171"/>
        <w:contextualSpacing/>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（10）维护配单柜、线缆等配电设施标识标签清晰准确。</w:t>
      </w:r>
    </w:p>
    <w:p w14:paraId="1D9F3EF7">
      <w:pPr>
        <w:tabs>
          <w:tab w:val="left" w:pos="851"/>
        </w:tabs>
        <w:snapToGrid w:val="0"/>
        <w:spacing w:line="360" w:lineRule="auto"/>
        <w:ind w:firstLine="359" w:firstLineChars="171"/>
        <w:contextualSpacing/>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w:t>
      </w:r>
      <w:r>
        <w:rPr>
          <w:rFonts w:hint="eastAsia"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负责配电房、箱变等设施的配套附属设备、设施、工具的日常管理和维护。</w:t>
      </w:r>
    </w:p>
    <w:p w14:paraId="7C21A46D">
      <w:pPr>
        <w:spacing w:line="360" w:lineRule="auto"/>
        <w:ind w:firstLine="420" w:firstLineChars="200"/>
        <w:jc w:val="left"/>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kern w:val="0"/>
          <w:szCs w:val="21"/>
          <w:highlight w:val="none"/>
        </w:rPr>
        <w:t>二</w:t>
      </w:r>
      <w:r>
        <w:rPr>
          <w:rFonts w:ascii="Times New Roman" w:hAnsi="Times New Roman" w:eastAsia="宋体" w:cs="Times New Roman"/>
          <w:b/>
          <w:color w:val="auto"/>
          <w:kern w:val="0"/>
          <w:szCs w:val="21"/>
          <w:highlight w:val="none"/>
        </w:rPr>
        <w:t>）</w:t>
      </w:r>
      <w:r>
        <w:rPr>
          <w:rFonts w:hint="eastAsia" w:ascii="Times New Roman" w:hAnsi="Times New Roman" w:eastAsia="宋体" w:cs="Times New Roman"/>
          <w:b/>
          <w:color w:val="auto"/>
          <w:kern w:val="0"/>
          <w:szCs w:val="21"/>
          <w:highlight w:val="none"/>
        </w:rPr>
        <w:t>供配电设备设施卫生</w:t>
      </w:r>
    </w:p>
    <w:p w14:paraId="25A2DAC3">
      <w:pPr>
        <w:spacing w:line="360" w:lineRule="auto"/>
        <w:ind w:firstLine="420" w:firstLineChars="200"/>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负责供配电设备设施运维服务项目内公共卫生，包括道路、围墙、空地等卫生保洁及绿植养护和修剪等。</w:t>
      </w:r>
      <w:r>
        <w:rPr>
          <w:rFonts w:ascii="Times New Roman" w:hAnsi="Times New Roman" w:eastAsia="宋体" w:cs="Times New Roman"/>
          <w:color w:val="auto"/>
          <w:szCs w:val="21"/>
          <w:highlight w:val="none"/>
        </w:rPr>
        <w:t>供配电设备设施室内变压器、高压开关柜的停电清扫每年结合</w:t>
      </w:r>
      <w:r>
        <w:rPr>
          <w:rFonts w:hint="eastAsia" w:ascii="Times New Roman" w:hAnsi="Times New Roman" w:eastAsia="宋体" w:cs="Times New Roman"/>
          <w:color w:val="auto"/>
          <w:szCs w:val="21"/>
          <w:highlight w:val="none"/>
        </w:rPr>
        <w:t>停电检查</w:t>
      </w:r>
      <w:r>
        <w:rPr>
          <w:rFonts w:ascii="Times New Roman" w:hAnsi="Times New Roman" w:eastAsia="宋体" w:cs="Times New Roman"/>
          <w:color w:val="auto"/>
          <w:szCs w:val="21"/>
          <w:highlight w:val="none"/>
        </w:rPr>
        <w:t>进行一次。</w:t>
      </w:r>
    </w:p>
    <w:p w14:paraId="7E86F211">
      <w:pPr>
        <w:spacing w:line="360" w:lineRule="auto"/>
        <w:jc w:val="center"/>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值班室清扫</w:t>
      </w:r>
      <w:r>
        <w:rPr>
          <w:rFonts w:hint="eastAsia" w:ascii="Times New Roman" w:hAnsi="Times New Roman" w:eastAsia="宋体" w:cs="Times New Roman"/>
          <w:b/>
          <w:color w:val="auto"/>
          <w:szCs w:val="21"/>
          <w:highlight w:val="none"/>
        </w:rPr>
        <w:t>标准</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095"/>
        <w:gridCol w:w="5613"/>
      </w:tblGrid>
      <w:tr w14:paraId="69B45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6C5A12F3">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序号</w:t>
            </w:r>
          </w:p>
        </w:tc>
        <w:tc>
          <w:tcPr>
            <w:tcW w:w="2095" w:type="dxa"/>
            <w:noWrap/>
            <w:vAlign w:val="center"/>
          </w:tcPr>
          <w:p w14:paraId="16399FBC">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部  位</w:t>
            </w:r>
          </w:p>
        </w:tc>
        <w:tc>
          <w:tcPr>
            <w:tcW w:w="5613" w:type="dxa"/>
            <w:noWrap/>
            <w:vAlign w:val="center"/>
          </w:tcPr>
          <w:p w14:paraId="6F94274C">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清洁</w:t>
            </w:r>
            <w:r>
              <w:rPr>
                <w:rFonts w:hint="eastAsia" w:ascii="Times New Roman" w:hAnsi="Times New Roman" w:eastAsia="宋体" w:cs="Times New Roman"/>
                <w:color w:val="auto"/>
                <w:szCs w:val="21"/>
                <w:highlight w:val="none"/>
              </w:rPr>
              <w:t>标准</w:t>
            </w:r>
          </w:p>
        </w:tc>
      </w:tr>
      <w:tr w14:paraId="59E9D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769164BD">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w:t>
            </w:r>
          </w:p>
        </w:tc>
        <w:tc>
          <w:tcPr>
            <w:tcW w:w="2095" w:type="dxa"/>
            <w:noWrap/>
            <w:vAlign w:val="center"/>
          </w:tcPr>
          <w:p w14:paraId="1CA22546">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室内地面</w:t>
            </w:r>
          </w:p>
        </w:tc>
        <w:tc>
          <w:tcPr>
            <w:tcW w:w="5613" w:type="dxa"/>
            <w:noWrap/>
            <w:vAlign w:val="center"/>
          </w:tcPr>
          <w:p w14:paraId="52AA1A9B">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地面无灰尘、油渍、水迹，室内物品定位摆放，标志清晰</w:t>
            </w:r>
          </w:p>
        </w:tc>
      </w:tr>
      <w:tr w14:paraId="2DFBB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050A9B87">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w:t>
            </w:r>
          </w:p>
        </w:tc>
        <w:tc>
          <w:tcPr>
            <w:tcW w:w="2095" w:type="dxa"/>
            <w:noWrap/>
            <w:vAlign w:val="center"/>
          </w:tcPr>
          <w:p w14:paraId="474B7254">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配电房四周</w:t>
            </w:r>
          </w:p>
        </w:tc>
        <w:tc>
          <w:tcPr>
            <w:tcW w:w="5613" w:type="dxa"/>
            <w:noWrap/>
            <w:vAlign w:val="center"/>
          </w:tcPr>
          <w:p w14:paraId="5D72D144">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配电房四周无树叶、杂草、纸屑等异物</w:t>
            </w:r>
          </w:p>
        </w:tc>
      </w:tr>
      <w:tr w14:paraId="618FE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3CD1D176">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w:t>
            </w:r>
          </w:p>
        </w:tc>
        <w:tc>
          <w:tcPr>
            <w:tcW w:w="2095" w:type="dxa"/>
            <w:noWrap/>
            <w:vAlign w:val="center"/>
          </w:tcPr>
          <w:p w14:paraId="72DD0890">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办公桌椅</w:t>
            </w:r>
          </w:p>
        </w:tc>
        <w:tc>
          <w:tcPr>
            <w:tcW w:w="5613" w:type="dxa"/>
            <w:noWrap/>
            <w:vAlign w:val="center"/>
          </w:tcPr>
          <w:p w14:paraId="32DC2017">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桌椅表面无灰尘、</w:t>
            </w:r>
            <w:r>
              <w:rPr>
                <w:rFonts w:hint="eastAsia" w:ascii="Times New Roman" w:hAnsi="Times New Roman" w:eastAsia="宋体" w:cs="Times New Roman"/>
                <w:color w:val="auto"/>
                <w:szCs w:val="21"/>
                <w:highlight w:val="none"/>
                <w:lang w:eastAsia="zh-CN"/>
              </w:rPr>
              <w:t>脏</w:t>
            </w:r>
            <w:r>
              <w:rPr>
                <w:rFonts w:ascii="Times New Roman" w:hAnsi="Times New Roman" w:eastAsia="宋体" w:cs="Times New Roman"/>
                <w:color w:val="auto"/>
                <w:szCs w:val="21"/>
                <w:highlight w:val="none"/>
              </w:rPr>
              <w:t>迹、水迹</w:t>
            </w:r>
          </w:p>
        </w:tc>
      </w:tr>
      <w:tr w14:paraId="3587F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3FB0E1A4">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w:t>
            </w:r>
          </w:p>
        </w:tc>
        <w:tc>
          <w:tcPr>
            <w:tcW w:w="2095" w:type="dxa"/>
            <w:noWrap/>
            <w:vAlign w:val="center"/>
          </w:tcPr>
          <w:p w14:paraId="4FDC5BF2">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饮水机、传真机、电话机、电脑等物品</w:t>
            </w:r>
          </w:p>
        </w:tc>
        <w:tc>
          <w:tcPr>
            <w:tcW w:w="5613" w:type="dxa"/>
            <w:noWrap/>
            <w:vAlign w:val="center"/>
          </w:tcPr>
          <w:p w14:paraId="1D44D7A9">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饮水机、传真机、电话机、电脑表面无灰尘、</w:t>
            </w:r>
            <w:r>
              <w:rPr>
                <w:rFonts w:hint="eastAsia" w:ascii="Times New Roman" w:hAnsi="Times New Roman" w:eastAsia="宋体" w:cs="Times New Roman"/>
                <w:color w:val="auto"/>
                <w:szCs w:val="21"/>
                <w:highlight w:val="none"/>
                <w:lang w:eastAsia="zh-CN"/>
              </w:rPr>
              <w:t>脏</w:t>
            </w:r>
            <w:r>
              <w:rPr>
                <w:rFonts w:ascii="Times New Roman" w:hAnsi="Times New Roman" w:eastAsia="宋体" w:cs="Times New Roman"/>
                <w:color w:val="auto"/>
                <w:szCs w:val="21"/>
                <w:highlight w:val="none"/>
              </w:rPr>
              <w:t>迹，物器定位放置</w:t>
            </w:r>
          </w:p>
        </w:tc>
      </w:tr>
      <w:tr w14:paraId="45DC0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22C5A8F5">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w:t>
            </w:r>
          </w:p>
        </w:tc>
        <w:tc>
          <w:tcPr>
            <w:tcW w:w="2095" w:type="dxa"/>
            <w:noWrap/>
            <w:vAlign w:val="center"/>
          </w:tcPr>
          <w:p w14:paraId="07AA9B26">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门、窗</w:t>
            </w:r>
          </w:p>
        </w:tc>
        <w:tc>
          <w:tcPr>
            <w:tcW w:w="5613" w:type="dxa"/>
            <w:noWrap/>
            <w:vAlign w:val="center"/>
          </w:tcPr>
          <w:p w14:paraId="1EDA57C6">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门框、门的内外、两个侧面和上部无灰尘、无</w:t>
            </w:r>
            <w:r>
              <w:rPr>
                <w:rFonts w:hint="eastAsia" w:ascii="Times New Roman" w:hAnsi="Times New Roman" w:eastAsia="宋体" w:cs="Times New Roman"/>
                <w:color w:val="auto"/>
                <w:szCs w:val="21"/>
                <w:highlight w:val="none"/>
                <w:lang w:eastAsia="zh-CN"/>
              </w:rPr>
              <w:t>脏</w:t>
            </w:r>
            <w:r>
              <w:rPr>
                <w:rFonts w:ascii="Times New Roman" w:hAnsi="Times New Roman" w:eastAsia="宋体" w:cs="Times New Roman"/>
                <w:color w:val="auto"/>
                <w:szCs w:val="21"/>
                <w:highlight w:val="none"/>
              </w:rPr>
              <w:t>迹和蜘蛛网</w:t>
            </w:r>
          </w:p>
        </w:tc>
      </w:tr>
      <w:tr w14:paraId="5C1F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17A6BD85">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w:t>
            </w:r>
          </w:p>
        </w:tc>
        <w:tc>
          <w:tcPr>
            <w:tcW w:w="2095" w:type="dxa"/>
            <w:noWrap/>
            <w:vAlign w:val="center"/>
          </w:tcPr>
          <w:p w14:paraId="2E34A492">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门窗玻璃</w:t>
            </w:r>
          </w:p>
        </w:tc>
        <w:tc>
          <w:tcPr>
            <w:tcW w:w="5613" w:type="dxa"/>
            <w:noWrap/>
            <w:vAlign w:val="center"/>
          </w:tcPr>
          <w:p w14:paraId="6D22D6B3">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玻璃无灰尘、</w:t>
            </w:r>
            <w:r>
              <w:rPr>
                <w:rFonts w:hint="eastAsia" w:ascii="Times New Roman" w:hAnsi="Times New Roman" w:eastAsia="宋体" w:cs="Times New Roman"/>
                <w:color w:val="auto"/>
                <w:szCs w:val="21"/>
                <w:highlight w:val="none"/>
                <w:lang w:eastAsia="zh-CN"/>
              </w:rPr>
              <w:t>脏</w:t>
            </w:r>
            <w:r>
              <w:rPr>
                <w:rFonts w:ascii="Times New Roman" w:hAnsi="Times New Roman" w:eastAsia="宋体" w:cs="Times New Roman"/>
                <w:color w:val="auto"/>
                <w:szCs w:val="21"/>
                <w:highlight w:val="none"/>
              </w:rPr>
              <w:t>迹、水迹</w:t>
            </w:r>
          </w:p>
        </w:tc>
      </w:tr>
      <w:tr w14:paraId="0B922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53D86847">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w:t>
            </w:r>
          </w:p>
        </w:tc>
        <w:tc>
          <w:tcPr>
            <w:tcW w:w="2095" w:type="dxa"/>
            <w:noWrap/>
            <w:vAlign w:val="center"/>
          </w:tcPr>
          <w:p w14:paraId="000C0F54">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天花板、墙壁</w:t>
            </w:r>
          </w:p>
        </w:tc>
        <w:tc>
          <w:tcPr>
            <w:tcW w:w="5613" w:type="dxa"/>
            <w:noWrap/>
            <w:vAlign w:val="center"/>
          </w:tcPr>
          <w:p w14:paraId="68A8E0FC">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天花板、墙壁无灰尘和蜘蛛网</w:t>
            </w:r>
          </w:p>
        </w:tc>
      </w:tr>
      <w:tr w14:paraId="76174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3B23F021">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8</w:t>
            </w:r>
          </w:p>
        </w:tc>
        <w:tc>
          <w:tcPr>
            <w:tcW w:w="2095" w:type="dxa"/>
            <w:noWrap/>
            <w:vAlign w:val="center"/>
          </w:tcPr>
          <w:p w14:paraId="23F03332">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照明灯具</w:t>
            </w:r>
          </w:p>
        </w:tc>
        <w:tc>
          <w:tcPr>
            <w:tcW w:w="5613" w:type="dxa"/>
            <w:noWrap/>
            <w:vAlign w:val="center"/>
          </w:tcPr>
          <w:p w14:paraId="3C3B1925">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照明灯具无灰尘、蜘蛛网和昆虫等</w:t>
            </w:r>
          </w:p>
        </w:tc>
      </w:tr>
      <w:tr w14:paraId="2DDF3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20D39275">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9</w:t>
            </w:r>
          </w:p>
        </w:tc>
        <w:tc>
          <w:tcPr>
            <w:tcW w:w="2095" w:type="dxa"/>
            <w:noWrap/>
            <w:vAlign w:val="center"/>
          </w:tcPr>
          <w:p w14:paraId="4A114BE1">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文件柜、工具柜</w:t>
            </w:r>
          </w:p>
        </w:tc>
        <w:tc>
          <w:tcPr>
            <w:tcW w:w="5613" w:type="dxa"/>
            <w:noWrap/>
            <w:vAlign w:val="center"/>
          </w:tcPr>
          <w:p w14:paraId="008900AF">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文件柜、工具柜无灰尘、</w:t>
            </w:r>
            <w:r>
              <w:rPr>
                <w:rFonts w:hint="eastAsia" w:ascii="Times New Roman" w:hAnsi="Times New Roman" w:eastAsia="宋体" w:cs="Times New Roman"/>
                <w:color w:val="auto"/>
                <w:szCs w:val="21"/>
                <w:highlight w:val="none"/>
                <w:lang w:eastAsia="zh-CN"/>
              </w:rPr>
              <w:t>脏</w:t>
            </w:r>
            <w:r>
              <w:rPr>
                <w:rFonts w:ascii="Times New Roman" w:hAnsi="Times New Roman" w:eastAsia="宋体" w:cs="Times New Roman"/>
                <w:color w:val="auto"/>
                <w:szCs w:val="21"/>
                <w:highlight w:val="none"/>
              </w:rPr>
              <w:t>迹，物品定位放置，标识清楚</w:t>
            </w:r>
          </w:p>
        </w:tc>
      </w:tr>
      <w:tr w14:paraId="7B100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014F0C02">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10</w:t>
            </w:r>
          </w:p>
        </w:tc>
        <w:tc>
          <w:tcPr>
            <w:tcW w:w="2095" w:type="dxa"/>
            <w:noWrap/>
            <w:vAlign w:val="center"/>
          </w:tcPr>
          <w:p w14:paraId="441A8D64">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空调</w:t>
            </w:r>
          </w:p>
        </w:tc>
        <w:tc>
          <w:tcPr>
            <w:tcW w:w="5613" w:type="dxa"/>
            <w:noWrap/>
            <w:vAlign w:val="center"/>
          </w:tcPr>
          <w:p w14:paraId="22A19CC3">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空调各部位无灰尘、</w:t>
            </w:r>
            <w:r>
              <w:rPr>
                <w:rFonts w:hint="eastAsia" w:ascii="Times New Roman" w:hAnsi="Times New Roman" w:eastAsia="宋体" w:cs="Times New Roman"/>
                <w:color w:val="auto"/>
                <w:szCs w:val="21"/>
                <w:highlight w:val="none"/>
                <w:lang w:eastAsia="zh-CN"/>
              </w:rPr>
              <w:t>脏</w:t>
            </w:r>
            <w:r>
              <w:rPr>
                <w:rFonts w:ascii="Times New Roman" w:hAnsi="Times New Roman" w:eastAsia="宋体" w:cs="Times New Roman"/>
                <w:color w:val="auto"/>
                <w:szCs w:val="21"/>
                <w:highlight w:val="none"/>
              </w:rPr>
              <w:t>迹</w:t>
            </w:r>
          </w:p>
        </w:tc>
      </w:tr>
      <w:tr w14:paraId="6AA26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0B892148">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w:t>
            </w:r>
          </w:p>
        </w:tc>
        <w:tc>
          <w:tcPr>
            <w:tcW w:w="2095" w:type="dxa"/>
            <w:noWrap/>
            <w:vAlign w:val="center"/>
          </w:tcPr>
          <w:p w14:paraId="4252A22B">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制度牌</w:t>
            </w:r>
          </w:p>
        </w:tc>
        <w:tc>
          <w:tcPr>
            <w:tcW w:w="5613" w:type="dxa"/>
            <w:noWrap/>
            <w:vAlign w:val="center"/>
          </w:tcPr>
          <w:p w14:paraId="79BFEB31">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各类制度牌上无灰尘、水迹</w:t>
            </w:r>
          </w:p>
        </w:tc>
      </w:tr>
    </w:tbl>
    <w:p w14:paraId="2589BC00">
      <w:pPr>
        <w:spacing w:line="360" w:lineRule="auto"/>
        <w:jc w:val="center"/>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高压配电间清扫</w:t>
      </w:r>
      <w:r>
        <w:rPr>
          <w:rFonts w:hint="eastAsia" w:ascii="Times New Roman" w:hAnsi="Times New Roman" w:eastAsia="宋体" w:cs="Times New Roman"/>
          <w:b/>
          <w:color w:val="auto"/>
          <w:szCs w:val="21"/>
          <w:highlight w:val="none"/>
        </w:rPr>
        <w:t>标准</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2052"/>
        <w:gridCol w:w="5674"/>
      </w:tblGrid>
      <w:tr w14:paraId="22D5B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1939CF23">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序号</w:t>
            </w:r>
          </w:p>
        </w:tc>
        <w:tc>
          <w:tcPr>
            <w:tcW w:w="2052" w:type="dxa"/>
            <w:noWrap/>
            <w:vAlign w:val="center"/>
          </w:tcPr>
          <w:p w14:paraId="3A81C098">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部  位</w:t>
            </w:r>
          </w:p>
        </w:tc>
        <w:tc>
          <w:tcPr>
            <w:tcW w:w="5674" w:type="dxa"/>
            <w:noWrap/>
            <w:vAlign w:val="center"/>
          </w:tcPr>
          <w:p w14:paraId="4C11A2DA">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清洁</w:t>
            </w:r>
            <w:r>
              <w:rPr>
                <w:rFonts w:hint="eastAsia" w:ascii="Times New Roman" w:hAnsi="Times New Roman" w:eastAsia="宋体" w:cs="Times New Roman"/>
                <w:color w:val="auto"/>
                <w:szCs w:val="21"/>
                <w:highlight w:val="none"/>
              </w:rPr>
              <w:t>标准</w:t>
            </w:r>
          </w:p>
        </w:tc>
      </w:tr>
      <w:tr w14:paraId="618CE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469AD9C5">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w:t>
            </w:r>
          </w:p>
        </w:tc>
        <w:tc>
          <w:tcPr>
            <w:tcW w:w="2052" w:type="dxa"/>
            <w:noWrap/>
            <w:vAlign w:val="center"/>
          </w:tcPr>
          <w:p w14:paraId="79D25B60">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地面</w:t>
            </w:r>
          </w:p>
        </w:tc>
        <w:tc>
          <w:tcPr>
            <w:tcW w:w="5674" w:type="dxa"/>
            <w:noWrap/>
            <w:vAlign w:val="center"/>
          </w:tcPr>
          <w:p w14:paraId="7896E7A0">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地面无灰尘、油渍、水迹，室内物品定位摆放，通道线清晰无断处</w:t>
            </w:r>
          </w:p>
        </w:tc>
      </w:tr>
      <w:tr w14:paraId="120A5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69878744">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w:t>
            </w:r>
          </w:p>
        </w:tc>
        <w:tc>
          <w:tcPr>
            <w:tcW w:w="2052" w:type="dxa"/>
            <w:noWrap/>
            <w:vAlign w:val="center"/>
          </w:tcPr>
          <w:p w14:paraId="59B42F6C">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绝缘垫</w:t>
            </w:r>
          </w:p>
        </w:tc>
        <w:tc>
          <w:tcPr>
            <w:tcW w:w="5674" w:type="dxa"/>
            <w:noWrap/>
            <w:vAlign w:val="center"/>
          </w:tcPr>
          <w:p w14:paraId="4EEF5840">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绝缘垫无灰尘、水迹。</w:t>
            </w:r>
          </w:p>
        </w:tc>
      </w:tr>
      <w:tr w14:paraId="76049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7C3F4EB1">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w:t>
            </w:r>
          </w:p>
        </w:tc>
        <w:tc>
          <w:tcPr>
            <w:tcW w:w="2052" w:type="dxa"/>
            <w:noWrap/>
            <w:vAlign w:val="center"/>
          </w:tcPr>
          <w:p w14:paraId="4D052165">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天花板、墙壁</w:t>
            </w:r>
          </w:p>
        </w:tc>
        <w:tc>
          <w:tcPr>
            <w:tcW w:w="5674" w:type="dxa"/>
            <w:noWrap/>
            <w:vAlign w:val="center"/>
          </w:tcPr>
          <w:p w14:paraId="2D4E1EA2">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天花板、墙壁无灰尘和蜘蛛网</w:t>
            </w:r>
          </w:p>
        </w:tc>
      </w:tr>
      <w:tr w14:paraId="5771D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056A1B62">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w:t>
            </w:r>
          </w:p>
        </w:tc>
        <w:tc>
          <w:tcPr>
            <w:tcW w:w="2052" w:type="dxa"/>
            <w:noWrap/>
            <w:vAlign w:val="center"/>
          </w:tcPr>
          <w:p w14:paraId="7B4B5597">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照明灯具</w:t>
            </w:r>
          </w:p>
        </w:tc>
        <w:tc>
          <w:tcPr>
            <w:tcW w:w="5674" w:type="dxa"/>
            <w:noWrap/>
            <w:vAlign w:val="center"/>
          </w:tcPr>
          <w:p w14:paraId="31430213">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照明灯具无灰尘、蜘蛛网和昆虫等</w:t>
            </w:r>
          </w:p>
        </w:tc>
      </w:tr>
      <w:tr w14:paraId="35B91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6DF4493C">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5</w:t>
            </w:r>
          </w:p>
        </w:tc>
        <w:tc>
          <w:tcPr>
            <w:tcW w:w="2052" w:type="dxa"/>
            <w:noWrap/>
            <w:vAlign w:val="center"/>
          </w:tcPr>
          <w:p w14:paraId="286F0FF6">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门、窗</w:t>
            </w:r>
          </w:p>
        </w:tc>
        <w:tc>
          <w:tcPr>
            <w:tcW w:w="5674" w:type="dxa"/>
            <w:noWrap/>
            <w:vAlign w:val="center"/>
          </w:tcPr>
          <w:p w14:paraId="2ED5611A">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门窗各部位无灰尘，脏迹和蜘蛛网、昆虫等异物</w:t>
            </w:r>
          </w:p>
        </w:tc>
      </w:tr>
      <w:tr w14:paraId="7748F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15BB7403">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6</w:t>
            </w:r>
          </w:p>
        </w:tc>
        <w:tc>
          <w:tcPr>
            <w:tcW w:w="2052" w:type="dxa"/>
            <w:noWrap/>
            <w:vAlign w:val="center"/>
          </w:tcPr>
          <w:p w14:paraId="1ECD845C">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门窗玻璃</w:t>
            </w:r>
          </w:p>
        </w:tc>
        <w:tc>
          <w:tcPr>
            <w:tcW w:w="5674" w:type="dxa"/>
            <w:noWrap/>
            <w:vAlign w:val="center"/>
          </w:tcPr>
          <w:p w14:paraId="0067C47B">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玻璃无灰尘、</w:t>
            </w:r>
            <w:r>
              <w:rPr>
                <w:rFonts w:hint="eastAsia" w:ascii="Times New Roman" w:hAnsi="Times New Roman" w:eastAsia="宋体" w:cs="Times New Roman"/>
                <w:color w:val="auto"/>
                <w:szCs w:val="21"/>
                <w:highlight w:val="none"/>
                <w:lang w:eastAsia="zh-CN"/>
              </w:rPr>
              <w:t>脏</w:t>
            </w:r>
            <w:r>
              <w:rPr>
                <w:rFonts w:ascii="Times New Roman" w:hAnsi="Times New Roman" w:eastAsia="宋体" w:cs="Times New Roman"/>
                <w:color w:val="auto"/>
                <w:szCs w:val="21"/>
                <w:highlight w:val="none"/>
              </w:rPr>
              <w:t>迹、水迹</w:t>
            </w:r>
          </w:p>
        </w:tc>
      </w:tr>
      <w:tr w14:paraId="65523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24839ECE">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7</w:t>
            </w:r>
          </w:p>
        </w:tc>
        <w:tc>
          <w:tcPr>
            <w:tcW w:w="2052" w:type="dxa"/>
            <w:noWrap/>
            <w:vAlign w:val="center"/>
          </w:tcPr>
          <w:p w14:paraId="2FD22A2C">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纱窗</w:t>
            </w:r>
          </w:p>
        </w:tc>
        <w:tc>
          <w:tcPr>
            <w:tcW w:w="5674" w:type="dxa"/>
            <w:noWrap/>
            <w:vAlign w:val="center"/>
          </w:tcPr>
          <w:p w14:paraId="295A32F4">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纱窗无灰尘、无小昆虫等异物</w:t>
            </w:r>
          </w:p>
        </w:tc>
      </w:tr>
      <w:tr w14:paraId="12F23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79FF21C4">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8</w:t>
            </w:r>
          </w:p>
        </w:tc>
        <w:tc>
          <w:tcPr>
            <w:tcW w:w="2052" w:type="dxa"/>
            <w:noWrap/>
            <w:vAlign w:val="center"/>
          </w:tcPr>
          <w:p w14:paraId="1C47BF57">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灭火器</w:t>
            </w:r>
          </w:p>
        </w:tc>
        <w:tc>
          <w:tcPr>
            <w:tcW w:w="5674" w:type="dxa"/>
            <w:noWrap/>
            <w:vAlign w:val="center"/>
          </w:tcPr>
          <w:p w14:paraId="1ECF0C05">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灭火器箱子和本体无灰尘、</w:t>
            </w:r>
            <w:r>
              <w:rPr>
                <w:rFonts w:hint="eastAsia" w:ascii="Times New Roman" w:hAnsi="Times New Roman" w:eastAsia="宋体" w:cs="Times New Roman"/>
                <w:color w:val="auto"/>
                <w:szCs w:val="21"/>
                <w:highlight w:val="none"/>
                <w:lang w:eastAsia="zh-CN"/>
              </w:rPr>
              <w:t>脏</w:t>
            </w:r>
            <w:r>
              <w:rPr>
                <w:rFonts w:ascii="Times New Roman" w:hAnsi="Times New Roman" w:eastAsia="宋体" w:cs="Times New Roman"/>
                <w:color w:val="auto"/>
                <w:szCs w:val="21"/>
                <w:highlight w:val="none"/>
              </w:rPr>
              <w:t>迹，定位标志清晰</w:t>
            </w:r>
          </w:p>
        </w:tc>
      </w:tr>
      <w:tr w14:paraId="0C84B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2DD80499">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9</w:t>
            </w:r>
          </w:p>
        </w:tc>
        <w:tc>
          <w:tcPr>
            <w:tcW w:w="2052" w:type="dxa"/>
            <w:noWrap/>
            <w:vAlign w:val="center"/>
          </w:tcPr>
          <w:p w14:paraId="790D7E15">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配电柜、变压器四周</w:t>
            </w:r>
          </w:p>
        </w:tc>
        <w:tc>
          <w:tcPr>
            <w:tcW w:w="5674" w:type="dxa"/>
            <w:noWrap/>
            <w:vAlign w:val="center"/>
          </w:tcPr>
          <w:p w14:paraId="7527F1BF">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配电柜、干式变压器的四周表面无灰尘和</w:t>
            </w:r>
            <w:r>
              <w:rPr>
                <w:rFonts w:hint="eastAsia" w:ascii="Times New Roman" w:hAnsi="Times New Roman" w:eastAsia="宋体" w:cs="Times New Roman"/>
                <w:color w:val="auto"/>
                <w:szCs w:val="21"/>
                <w:highlight w:val="none"/>
                <w:lang w:eastAsia="zh-CN"/>
              </w:rPr>
              <w:t>脏</w:t>
            </w:r>
            <w:r>
              <w:rPr>
                <w:rFonts w:ascii="Times New Roman" w:hAnsi="Times New Roman" w:eastAsia="宋体" w:cs="Times New Roman"/>
                <w:color w:val="auto"/>
                <w:szCs w:val="21"/>
                <w:highlight w:val="none"/>
              </w:rPr>
              <w:t>迹、水迹</w:t>
            </w:r>
          </w:p>
        </w:tc>
      </w:tr>
      <w:tr w14:paraId="3022A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6E643169">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10</w:t>
            </w:r>
          </w:p>
        </w:tc>
        <w:tc>
          <w:tcPr>
            <w:tcW w:w="2052" w:type="dxa"/>
            <w:noWrap/>
            <w:vAlign w:val="center"/>
          </w:tcPr>
          <w:p w14:paraId="6777708F">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仪表、指示灯、按钮开关手柄</w:t>
            </w:r>
          </w:p>
        </w:tc>
        <w:tc>
          <w:tcPr>
            <w:tcW w:w="5674" w:type="dxa"/>
            <w:noWrap/>
            <w:vAlign w:val="center"/>
          </w:tcPr>
          <w:p w14:paraId="5F391572">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仪表、指示灯、按钮、开关手柄上无灰尘</w:t>
            </w:r>
          </w:p>
        </w:tc>
      </w:tr>
      <w:tr w14:paraId="586E8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5FC12E28">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11</w:t>
            </w:r>
          </w:p>
        </w:tc>
        <w:tc>
          <w:tcPr>
            <w:tcW w:w="2052" w:type="dxa"/>
            <w:noWrap/>
            <w:vAlign w:val="center"/>
          </w:tcPr>
          <w:p w14:paraId="0EA84529">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标识牌、制度牌</w:t>
            </w:r>
          </w:p>
        </w:tc>
        <w:tc>
          <w:tcPr>
            <w:tcW w:w="5674" w:type="dxa"/>
            <w:noWrap/>
            <w:vAlign w:val="center"/>
          </w:tcPr>
          <w:p w14:paraId="378E7E5E">
            <w:pPr>
              <w:snapToGrid w:val="0"/>
              <w:contextualSpacing/>
              <w:jc w:val="center"/>
              <w:rPr>
                <w:rFonts w:hint="default" w:ascii="Times New Roman" w:hAnsi="Times New Roman" w:eastAsia="宋体" w:cs="Times New Roman"/>
                <w:color w:val="auto"/>
                <w:szCs w:val="21"/>
                <w:highlight w:val="none"/>
                <w:lang w:val="en-US" w:eastAsia="zh-CN"/>
              </w:rPr>
            </w:pPr>
            <w:r>
              <w:rPr>
                <w:rFonts w:ascii="Times New Roman" w:hAnsi="Times New Roman" w:eastAsia="宋体" w:cs="Times New Roman"/>
                <w:color w:val="auto"/>
                <w:szCs w:val="21"/>
                <w:highlight w:val="none"/>
              </w:rPr>
              <w:t>各类制度牌、标识牌上无灰尘、水迹</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标识清晰准确</w:t>
            </w:r>
          </w:p>
        </w:tc>
      </w:tr>
      <w:tr w14:paraId="783A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38367F32">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12</w:t>
            </w:r>
          </w:p>
        </w:tc>
        <w:tc>
          <w:tcPr>
            <w:tcW w:w="2052" w:type="dxa"/>
            <w:noWrap/>
            <w:vAlign w:val="center"/>
          </w:tcPr>
          <w:p w14:paraId="3AA2A23B">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室内、外电缆沟</w:t>
            </w:r>
          </w:p>
        </w:tc>
        <w:tc>
          <w:tcPr>
            <w:tcW w:w="5674" w:type="dxa"/>
            <w:noWrap/>
            <w:vAlign w:val="center"/>
          </w:tcPr>
          <w:p w14:paraId="7903CB23">
            <w:pPr>
              <w:snapToGrid w:val="0"/>
              <w:contextualSpacing/>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管线敷设整齐，无杂物、无积尘、无积水</w:t>
            </w:r>
          </w:p>
        </w:tc>
      </w:tr>
    </w:tbl>
    <w:p w14:paraId="4680A564">
      <w:pPr>
        <w:spacing w:line="360" w:lineRule="auto"/>
        <w:ind w:firstLine="420" w:firstLineChars="200"/>
        <w:jc w:val="left"/>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kern w:val="0"/>
          <w:szCs w:val="21"/>
          <w:highlight w:val="none"/>
        </w:rPr>
        <w:t>三</w:t>
      </w:r>
      <w:r>
        <w:rPr>
          <w:rFonts w:ascii="Times New Roman" w:hAnsi="Times New Roman" w:eastAsia="宋体" w:cs="Times New Roman"/>
          <w:b/>
          <w:color w:val="auto"/>
          <w:kern w:val="0"/>
          <w:szCs w:val="21"/>
          <w:highlight w:val="none"/>
        </w:rPr>
        <w:t>）</w:t>
      </w:r>
      <w:r>
        <w:rPr>
          <w:rFonts w:hint="eastAsia" w:ascii="Times New Roman" w:hAnsi="Times New Roman" w:eastAsia="宋体" w:cs="Times New Roman"/>
          <w:b/>
          <w:color w:val="auto"/>
          <w:szCs w:val="21"/>
          <w:highlight w:val="none"/>
        </w:rPr>
        <w:t>本供配电设备设施运行维护服务项目内资产管理及设备设施维护</w:t>
      </w:r>
    </w:p>
    <w:p w14:paraId="5BA03D46">
      <w:pPr>
        <w:spacing w:line="360" w:lineRule="auto"/>
        <w:ind w:firstLine="420" w:firstLineChars="200"/>
        <w:jc w:val="left"/>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根据学校有关资产管理规定，做好本项目内资产管理，与学校签订托管资产管理协议，保证学校资产的安全、完整和有效使用，不得发生资产丢失、损毁等问题。按照学校资产管理部门工作要求做好资产的登记、统计、清查及档案管理工作。</w:t>
      </w:r>
    </w:p>
    <w:p w14:paraId="68C1AEA0">
      <w:pPr>
        <w:adjustRightInd w:val="0"/>
        <w:snapToGrid w:val="0"/>
        <w:spacing w:line="360" w:lineRule="auto"/>
        <w:rPr>
          <w:rFonts w:hint="eastAsia" w:ascii="Times New Roman" w:hAnsi="Times New Roman" w:eastAsia="宋体" w:cs="Times New Roman"/>
          <w:b/>
          <w:color w:val="auto"/>
          <w:kern w:val="0"/>
          <w:szCs w:val="21"/>
          <w:highlight w:val="none"/>
          <w:lang w:eastAsia="zh-CN"/>
        </w:rPr>
      </w:pPr>
      <w:r>
        <w:rPr>
          <w:rFonts w:hint="eastAsia" w:ascii="Times New Roman" w:hAnsi="Times New Roman" w:eastAsia="宋体" w:cs="Times New Roman"/>
          <w:b/>
          <w:color w:val="auto"/>
          <w:kern w:val="0"/>
          <w:szCs w:val="21"/>
          <w:highlight w:val="none"/>
          <w:lang w:eastAsia="zh-CN"/>
        </w:rPr>
        <w:t>（三）、考核办法（详见合同附件</w:t>
      </w:r>
      <w:r>
        <w:rPr>
          <w:rFonts w:hint="eastAsia" w:ascii="Times New Roman" w:hAnsi="Times New Roman" w:eastAsia="宋体" w:cs="Times New Roman"/>
          <w:b/>
          <w:color w:val="auto"/>
          <w:kern w:val="0"/>
          <w:szCs w:val="21"/>
          <w:highlight w:val="none"/>
          <w:lang w:val="en-US" w:eastAsia="zh-CN"/>
        </w:rPr>
        <w:t>4</w:t>
      </w:r>
      <w:r>
        <w:rPr>
          <w:rFonts w:hint="eastAsia" w:ascii="Times New Roman" w:hAnsi="Times New Roman" w:eastAsia="宋体" w:cs="Times New Roman"/>
          <w:b/>
          <w:color w:val="auto"/>
          <w:kern w:val="0"/>
          <w:szCs w:val="21"/>
          <w:highlight w:val="none"/>
          <w:lang w:eastAsia="zh-CN"/>
        </w:rPr>
        <w:t>）</w:t>
      </w:r>
    </w:p>
    <w:p w14:paraId="7C13BC34">
      <w:pPr>
        <w:tabs>
          <w:tab w:val="left" w:pos="851"/>
        </w:tabs>
        <w:snapToGrid w:val="0"/>
        <w:spacing w:line="360" w:lineRule="auto"/>
        <w:ind w:firstLine="359" w:firstLineChars="171"/>
        <w:contextualSpacing/>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1、对运维公司的考核采用月度考核和年度考核相结合的形式。</w:t>
      </w:r>
    </w:p>
    <w:p w14:paraId="7374858D">
      <w:pPr>
        <w:tabs>
          <w:tab w:val="left" w:pos="851"/>
        </w:tabs>
        <w:snapToGrid w:val="0"/>
        <w:spacing w:line="360" w:lineRule="auto"/>
        <w:ind w:firstLine="359" w:firstLineChars="171"/>
        <w:contextualSpacing/>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2、对运维公司的考核内容包括：日常管理、日常维护、故障处理、工程配合、机房安全管理、安全生产事故管理、客户满意度等。</w:t>
      </w:r>
    </w:p>
    <w:p w14:paraId="6D7B4098">
      <w:pPr>
        <w:tabs>
          <w:tab w:val="left" w:pos="851"/>
        </w:tabs>
        <w:autoSpaceDE/>
        <w:autoSpaceDN/>
        <w:adjustRightInd/>
        <w:snapToGrid w:val="0"/>
        <w:spacing w:line="360" w:lineRule="auto"/>
        <w:ind w:firstLine="410" w:firstLineChars="171"/>
        <w:contextualSpacing/>
        <w:jc w:val="left"/>
        <w:rPr>
          <w:rFonts w:hint="default" w:eastAsia="宋体" w:cs="宋体" w:asciiTheme="minorEastAsia" w:hAnsiTheme="minorEastAsia"/>
          <w:b/>
          <w:bCs/>
          <w:snapToGrid w:val="0"/>
          <w:color w:val="auto"/>
          <w:kern w:val="0"/>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Times New Roman" w:hAnsi="Times New Roman" w:eastAsia="宋体" w:cs="Times New Roman"/>
          <w:b/>
          <w:bCs/>
          <w:color w:val="auto"/>
          <w:sz w:val="24"/>
          <w:szCs w:val="24"/>
          <w:highlight w:val="none"/>
          <w:lang w:val="en-US" w:eastAsia="zh-CN"/>
        </w:rPr>
        <w:t>3、如运维公司月考核低于85分（不含85分）扣月运行服务费的5%，如运维公司连续二个月或一年内有三个月的运维工作考核评分低于85分（不含85分），甲方有权利单方面中止运维合同。</w:t>
      </w:r>
      <w:r>
        <w:rPr>
          <w:rFonts w:hint="eastAsia" w:ascii="宋体" w:hAnsi="宋体" w:cs="仿宋_GB2312"/>
          <w:b/>
          <w:bCs/>
          <w:color w:val="auto"/>
          <w:sz w:val="24"/>
          <w:szCs w:val="24"/>
          <w:highlight w:val="none"/>
        </w:rPr>
        <w:t>（</w:t>
      </w:r>
      <w:r>
        <w:rPr>
          <w:rFonts w:hint="eastAsia" w:ascii="宋体" w:hAnsi="宋体" w:eastAsia="宋体" w:cs="宋体"/>
          <w:b/>
          <w:bCs/>
          <w:color w:val="auto"/>
          <w:sz w:val="24"/>
          <w:szCs w:val="24"/>
          <w:highlight w:val="none"/>
        </w:rPr>
        <w:t>★</w:t>
      </w:r>
      <w:r>
        <w:rPr>
          <w:rFonts w:hint="eastAsia" w:ascii="宋体" w:hAnsi="宋体" w:cs="仿宋_GB2312"/>
          <w:b/>
          <w:bCs/>
          <w:color w:val="auto"/>
          <w:sz w:val="24"/>
          <w:szCs w:val="24"/>
          <w:highlight w:val="none"/>
        </w:rPr>
        <w:t>本条不可偏离）</w:t>
      </w:r>
      <w:r>
        <w:rPr>
          <w:rFonts w:hint="eastAsia" w:ascii="宋体" w:hAnsi="宋体" w:cs="仿宋_GB2312"/>
          <w:b/>
          <w:bCs/>
          <w:color w:val="auto"/>
          <w:sz w:val="24"/>
          <w:szCs w:val="24"/>
          <w:highlight w:val="none"/>
          <w:lang w:eastAsia="zh-CN"/>
        </w:rPr>
        <w:t>，</w:t>
      </w:r>
      <w:r>
        <w:rPr>
          <w:rFonts w:hint="eastAsia" w:ascii="宋体" w:hAnsi="宋体" w:cs="仿宋_GB2312"/>
          <w:b/>
          <w:bCs/>
          <w:color w:val="auto"/>
          <w:sz w:val="24"/>
          <w:szCs w:val="24"/>
          <w:highlight w:val="none"/>
          <w:lang w:val="en-US" w:eastAsia="zh-CN"/>
        </w:rPr>
        <w:t>请投标人在偏离表中进行无偏离的说明或提供承诺书。</w:t>
      </w:r>
    </w:p>
    <w:p w14:paraId="00883672">
      <w:pPr>
        <w:spacing w:line="276" w:lineRule="auto"/>
        <w:jc w:val="left"/>
        <w:rPr>
          <w:rFonts w:ascii="黑体" w:hAnsi="黑体" w:eastAsia="黑体"/>
          <w:color w:val="auto"/>
          <w:sz w:val="24"/>
          <w:highlight w:val="none"/>
          <w:lang w:val="en"/>
        </w:rPr>
      </w:pPr>
      <w:r>
        <w:rPr>
          <w:rFonts w:hint="eastAsia" w:ascii="黑体" w:hAnsi="黑体" w:eastAsia="黑体"/>
          <w:color w:val="auto"/>
          <w:sz w:val="24"/>
          <w:highlight w:val="none"/>
          <w:lang w:val="en"/>
        </w:rPr>
        <w:t>五、商务要求</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1489"/>
        <w:gridCol w:w="1018"/>
        <w:gridCol w:w="6416"/>
      </w:tblGrid>
      <w:tr w14:paraId="60FA6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853" w:type="dxa"/>
            <w:vAlign w:val="center"/>
          </w:tcPr>
          <w:p w14:paraId="049D6518">
            <w:pPr>
              <w:autoSpaceDE w:val="0"/>
              <w:autoSpaceDN w:val="0"/>
              <w:adjustRightInd w:val="0"/>
              <w:snapToGrid w:val="0"/>
              <w:spacing w:before="156" w:beforeLines="50" w:after="156" w:afterLines="50"/>
              <w:jc w:val="center"/>
              <w:rPr>
                <w:rFonts w:cs="宋体" w:asciiTheme="minorEastAsia" w:hAnsiTheme="minorEastAsia"/>
                <w:b/>
                <w:snapToGrid w:val="0"/>
                <w:color w:val="auto"/>
                <w:kern w:val="0"/>
                <w:szCs w:val="21"/>
                <w:highlight w:val="none"/>
                <w:lang w:val="zh-CN"/>
              </w:rPr>
            </w:pPr>
            <w:r>
              <w:rPr>
                <w:rFonts w:hint="eastAsia" w:cs="宋体" w:asciiTheme="minorEastAsia" w:hAnsiTheme="minorEastAsia"/>
                <w:b/>
                <w:snapToGrid w:val="0"/>
                <w:color w:val="auto"/>
                <w:kern w:val="0"/>
                <w:szCs w:val="21"/>
                <w:highlight w:val="none"/>
                <w:lang w:val="zh-CN"/>
              </w:rPr>
              <w:t>序号</w:t>
            </w:r>
          </w:p>
        </w:tc>
        <w:tc>
          <w:tcPr>
            <w:tcW w:w="1489" w:type="dxa"/>
            <w:vAlign w:val="center"/>
          </w:tcPr>
          <w:p w14:paraId="253C0D9B">
            <w:pPr>
              <w:autoSpaceDE w:val="0"/>
              <w:autoSpaceDN w:val="0"/>
              <w:adjustRightInd w:val="0"/>
              <w:snapToGrid w:val="0"/>
              <w:spacing w:before="156" w:beforeLines="50" w:after="156" w:afterLines="50"/>
              <w:jc w:val="center"/>
              <w:rPr>
                <w:rFonts w:cs="宋体" w:asciiTheme="minorEastAsia" w:hAnsiTheme="minorEastAsia"/>
                <w:b/>
                <w:snapToGrid w:val="0"/>
                <w:color w:val="auto"/>
                <w:kern w:val="0"/>
                <w:szCs w:val="21"/>
                <w:highlight w:val="none"/>
                <w:lang w:val="zh-CN"/>
              </w:rPr>
            </w:pPr>
            <w:r>
              <w:rPr>
                <w:rFonts w:hint="eastAsia" w:cs="宋体" w:asciiTheme="minorEastAsia" w:hAnsiTheme="minorEastAsia"/>
                <w:b/>
                <w:snapToGrid w:val="0"/>
                <w:color w:val="auto"/>
                <w:kern w:val="0"/>
                <w:szCs w:val="21"/>
                <w:highlight w:val="none"/>
                <w:lang w:val="zh-CN"/>
              </w:rPr>
              <w:t>指标项</w:t>
            </w:r>
          </w:p>
        </w:tc>
        <w:tc>
          <w:tcPr>
            <w:tcW w:w="1018" w:type="dxa"/>
            <w:vAlign w:val="center"/>
          </w:tcPr>
          <w:p w14:paraId="0BE2C804">
            <w:pPr>
              <w:autoSpaceDE w:val="0"/>
              <w:autoSpaceDN w:val="0"/>
              <w:adjustRightInd w:val="0"/>
              <w:snapToGrid w:val="0"/>
              <w:spacing w:before="156" w:beforeLines="50" w:after="156" w:afterLines="50"/>
              <w:jc w:val="center"/>
              <w:rPr>
                <w:rFonts w:cs="宋体" w:asciiTheme="minorEastAsia" w:hAnsiTheme="minorEastAsia"/>
                <w:b/>
                <w:snapToGrid w:val="0"/>
                <w:color w:val="auto"/>
                <w:kern w:val="0"/>
                <w:szCs w:val="21"/>
                <w:highlight w:val="none"/>
                <w:lang w:val="zh-CN"/>
              </w:rPr>
            </w:pPr>
            <w:r>
              <w:rPr>
                <w:rFonts w:hint="eastAsia" w:cs="宋体" w:asciiTheme="minorEastAsia" w:hAnsiTheme="minorEastAsia"/>
                <w:b/>
                <w:snapToGrid w:val="0"/>
                <w:color w:val="auto"/>
                <w:kern w:val="0"/>
                <w:szCs w:val="21"/>
                <w:highlight w:val="none"/>
                <w:lang w:val="zh-CN"/>
              </w:rPr>
              <w:t>重要性</w:t>
            </w:r>
          </w:p>
        </w:tc>
        <w:tc>
          <w:tcPr>
            <w:tcW w:w="6416" w:type="dxa"/>
            <w:vAlign w:val="center"/>
          </w:tcPr>
          <w:p w14:paraId="161FE755">
            <w:pPr>
              <w:autoSpaceDE w:val="0"/>
              <w:autoSpaceDN w:val="0"/>
              <w:adjustRightInd w:val="0"/>
              <w:snapToGrid w:val="0"/>
              <w:spacing w:before="156" w:beforeLines="50" w:after="156" w:afterLines="50"/>
              <w:jc w:val="center"/>
              <w:rPr>
                <w:rFonts w:cs="宋体" w:asciiTheme="minorEastAsia" w:hAnsiTheme="minorEastAsia"/>
                <w:b/>
                <w:snapToGrid w:val="0"/>
                <w:color w:val="auto"/>
                <w:kern w:val="0"/>
                <w:szCs w:val="21"/>
                <w:highlight w:val="none"/>
                <w:lang w:val="zh-CN"/>
              </w:rPr>
            </w:pPr>
            <w:r>
              <w:rPr>
                <w:rFonts w:hint="eastAsia" w:cs="宋体" w:asciiTheme="minorEastAsia" w:hAnsiTheme="minorEastAsia"/>
                <w:b/>
                <w:snapToGrid w:val="0"/>
                <w:color w:val="auto"/>
                <w:kern w:val="0"/>
                <w:szCs w:val="21"/>
                <w:highlight w:val="none"/>
                <w:lang w:val="zh-CN"/>
              </w:rPr>
              <w:t>指标要求</w:t>
            </w:r>
          </w:p>
        </w:tc>
      </w:tr>
      <w:tr w14:paraId="3076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exact"/>
          <w:jc w:val="center"/>
        </w:trPr>
        <w:tc>
          <w:tcPr>
            <w:tcW w:w="853" w:type="dxa"/>
            <w:vAlign w:val="center"/>
          </w:tcPr>
          <w:p w14:paraId="01657E97">
            <w:pPr>
              <w:jc w:val="cente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lang w:val="zh-CN"/>
              </w:rPr>
              <w:t>1</w:t>
            </w:r>
          </w:p>
        </w:tc>
        <w:tc>
          <w:tcPr>
            <w:tcW w:w="1489" w:type="dxa"/>
            <w:vAlign w:val="center"/>
          </w:tcPr>
          <w:p w14:paraId="2DB61769">
            <w:pPr>
              <w:jc w:val="cente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lang w:val="zh-CN"/>
              </w:rPr>
              <w:t>服务期</w:t>
            </w:r>
          </w:p>
        </w:tc>
        <w:tc>
          <w:tcPr>
            <w:tcW w:w="1018" w:type="dxa"/>
            <w:vAlign w:val="center"/>
          </w:tcPr>
          <w:p w14:paraId="3DACE599">
            <w:pPr>
              <w:jc w:val="center"/>
              <w:rPr>
                <w:rFonts w:cs="宋体" w:asciiTheme="minorEastAsia" w:hAnsiTheme="minorEastAsia"/>
                <w:snapToGrid w:val="0"/>
                <w:color w:val="auto"/>
                <w:kern w:val="0"/>
                <w:szCs w:val="21"/>
                <w:highlight w:val="none"/>
                <w:lang w:val="zh-CN"/>
              </w:rPr>
            </w:pPr>
          </w:p>
        </w:tc>
        <w:tc>
          <w:tcPr>
            <w:tcW w:w="6416" w:type="dxa"/>
            <w:vAlign w:val="center"/>
          </w:tcPr>
          <w:p w14:paraId="2CF0E461">
            <w:pPr>
              <w:autoSpaceDE w:val="0"/>
              <w:autoSpaceDN w:val="0"/>
              <w:adjustRightInd w:val="0"/>
              <w:snapToGrid w:val="0"/>
              <w:rPr>
                <w:rFonts w:hint="eastAsia" w:ascii="宋体" w:hAnsi="宋体" w:eastAsia="宋体" w:cs="Times New Roman"/>
                <w:color w:val="auto"/>
                <w:szCs w:val="24"/>
                <w:highlight w:val="none"/>
                <w:lang w:eastAsia="zh-CN"/>
              </w:rPr>
            </w:pPr>
            <w:r>
              <w:rPr>
                <w:rFonts w:hint="eastAsia" w:ascii="宋体" w:hAnsi="宋体" w:cs="宋体"/>
                <w:color w:val="auto"/>
                <w:szCs w:val="21"/>
                <w:highlight w:val="none"/>
                <w:lang w:eastAsia="zh-CN"/>
              </w:rPr>
              <w:t>本项目供配电设备设施运行维护服务期限为1年，在供配电设备设施运行维护服务期限内中标价格不变。服务期满考核合格后，根据甲方需求，可续签不超过1年，每月考核结果留存，作为年度考核的依据，此依据也是第二年是否续签的依据。</w:t>
            </w:r>
          </w:p>
        </w:tc>
      </w:tr>
      <w:tr w14:paraId="38ED2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5" w:hRule="exact"/>
          <w:jc w:val="center"/>
        </w:trPr>
        <w:tc>
          <w:tcPr>
            <w:tcW w:w="853" w:type="dxa"/>
            <w:vAlign w:val="center"/>
          </w:tcPr>
          <w:p w14:paraId="406E3FFC">
            <w:pPr>
              <w:jc w:val="cente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lang w:val="zh-CN"/>
              </w:rPr>
              <w:t>2</w:t>
            </w:r>
          </w:p>
        </w:tc>
        <w:tc>
          <w:tcPr>
            <w:tcW w:w="1489" w:type="dxa"/>
            <w:vAlign w:val="center"/>
          </w:tcPr>
          <w:p w14:paraId="60997286">
            <w:pPr>
              <w:jc w:val="cente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lang w:val="zh-CN"/>
              </w:rPr>
              <w:t>付款条件</w:t>
            </w:r>
          </w:p>
        </w:tc>
        <w:tc>
          <w:tcPr>
            <w:tcW w:w="1018" w:type="dxa"/>
            <w:vAlign w:val="center"/>
          </w:tcPr>
          <w:p w14:paraId="79CB5F8F">
            <w:pPr>
              <w:jc w:val="center"/>
              <w:rPr>
                <w:rFonts w:cs="宋体" w:asciiTheme="minorEastAsia" w:hAnsiTheme="minorEastAsia"/>
                <w:snapToGrid w:val="0"/>
                <w:color w:val="auto"/>
                <w:kern w:val="0"/>
                <w:szCs w:val="21"/>
                <w:highlight w:val="none"/>
                <w:lang w:val="zh-CN"/>
              </w:rPr>
            </w:pPr>
          </w:p>
        </w:tc>
        <w:tc>
          <w:tcPr>
            <w:tcW w:w="6416" w:type="dxa"/>
            <w:vAlign w:val="center"/>
          </w:tcPr>
          <w:p w14:paraId="3B5858E2">
            <w:pPr>
              <w:pStyle w:val="7"/>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lang w:val="en-US" w:eastAsia="zh-CN"/>
              </w:rPr>
              <w:t>1.学校没有资金支付要求的，按下列原则支付：</w:t>
            </w:r>
            <w:r>
              <w:rPr>
                <w:rFonts w:hint="eastAsia" w:ascii="宋体" w:hAnsi="宋体" w:eastAsia="宋体" w:cs="宋体"/>
                <w:bCs/>
                <w:snapToGrid w:val="0"/>
                <w:color w:val="auto"/>
                <w:kern w:val="0"/>
                <w:sz w:val="21"/>
                <w:szCs w:val="21"/>
                <w:highlight w:val="none"/>
              </w:rPr>
              <w:t>供配电设备设施运行维护服务费按季度支付。考核合格后，支付上一季度供配电设备设施运行维护服务费。支付期限由甲乙双方商定月底之前支付上一季费用（假期顺延）</w:t>
            </w:r>
            <w:r>
              <w:rPr>
                <w:rFonts w:hint="eastAsia" w:ascii="宋体" w:hAnsi="宋体" w:eastAsia="宋体" w:cs="宋体"/>
                <w:color w:val="auto"/>
                <w:sz w:val="21"/>
                <w:szCs w:val="21"/>
                <w:highlight w:val="none"/>
              </w:rPr>
              <w:t>。若某月份考核不合格，按照附件2的考核办法扣减供配电设备设施该月运行维护服务费的5%。</w:t>
            </w:r>
          </w:p>
          <w:p w14:paraId="7AC31D31">
            <w:pPr>
              <w:pStyle w:val="7"/>
              <w:rPr>
                <w:rFonts w:cs="宋体" w:asciiTheme="minorEastAsia" w:hAnsiTheme="minorEastAsia"/>
                <w:snapToGrid w:val="0"/>
                <w:color w:val="auto"/>
                <w:kern w:val="0"/>
                <w:szCs w:val="21"/>
                <w:highlight w:val="none"/>
                <w:lang w:val="zh-CN"/>
              </w:rPr>
            </w:pPr>
            <w:r>
              <w:rPr>
                <w:rFonts w:hint="eastAsia" w:ascii="宋体" w:hAnsi="宋体" w:cs="宋体"/>
                <w:color w:val="auto"/>
                <w:sz w:val="21"/>
                <w:szCs w:val="21"/>
                <w:highlight w:val="none"/>
                <w:u w:val="single"/>
                <w:lang w:val="en-US" w:eastAsia="zh-CN"/>
              </w:rPr>
              <w:t>2.学校财务部门有资金支付要求的，按要求执行。</w:t>
            </w:r>
          </w:p>
        </w:tc>
      </w:tr>
      <w:tr w14:paraId="25776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5" w:hRule="exact"/>
          <w:jc w:val="center"/>
        </w:trPr>
        <w:tc>
          <w:tcPr>
            <w:tcW w:w="853" w:type="dxa"/>
            <w:vAlign w:val="center"/>
          </w:tcPr>
          <w:p w14:paraId="7BF25141">
            <w:pPr>
              <w:jc w:val="cente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lang w:val="zh-CN"/>
              </w:rPr>
              <w:t>3</w:t>
            </w:r>
          </w:p>
        </w:tc>
        <w:tc>
          <w:tcPr>
            <w:tcW w:w="1489" w:type="dxa"/>
            <w:vAlign w:val="center"/>
          </w:tcPr>
          <w:p w14:paraId="1A242AF8">
            <w:pPr>
              <w:jc w:val="cente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lang w:val="zh-CN"/>
              </w:rPr>
              <w:t>人员配备</w:t>
            </w:r>
          </w:p>
        </w:tc>
        <w:tc>
          <w:tcPr>
            <w:tcW w:w="1018" w:type="dxa"/>
            <w:vAlign w:val="center"/>
          </w:tcPr>
          <w:p w14:paraId="78912569">
            <w:pPr>
              <w:jc w:val="center"/>
              <w:rPr>
                <w:rFonts w:ascii="宋体" w:hAnsi="宋体" w:cs="Times New Roman"/>
                <w:color w:val="auto"/>
                <w:szCs w:val="24"/>
                <w:highlight w:val="none"/>
              </w:rPr>
            </w:pPr>
          </w:p>
        </w:tc>
        <w:tc>
          <w:tcPr>
            <w:tcW w:w="6416" w:type="dxa"/>
            <w:vAlign w:val="center"/>
          </w:tcPr>
          <w:p w14:paraId="73552B9F">
            <w:pPr>
              <w:spacing w:line="240" w:lineRule="auto"/>
              <w:rPr>
                <w:color w:val="auto"/>
                <w:highlight w:val="none"/>
                <w:lang w:val="en"/>
              </w:rPr>
            </w:pPr>
            <w:r>
              <w:rPr>
                <w:rFonts w:hint="eastAsia" w:ascii="宋体" w:hAnsi="宋体" w:cs="宋体"/>
                <w:snapToGrid w:val="0"/>
                <w:color w:val="auto"/>
                <w:kern w:val="0"/>
                <w:szCs w:val="21"/>
                <w:highlight w:val="none"/>
                <w:lang w:val="zh-CN"/>
              </w:rPr>
              <w:t>依据《华中区域电力用户变（配）电站运行值班和维护人员配置标准》，</w:t>
            </w:r>
            <w:r>
              <w:rPr>
                <w:rFonts w:hint="eastAsia" w:ascii="宋体" w:hAnsi="宋体" w:cs="宋体"/>
                <w:snapToGrid w:val="0"/>
                <w:color w:val="auto"/>
                <w:kern w:val="0"/>
                <w:szCs w:val="21"/>
                <w:highlight w:val="none"/>
                <w:lang w:val="en-US" w:eastAsia="zh-CN"/>
              </w:rPr>
              <w:t>值守配电房</w:t>
            </w:r>
            <w:r>
              <w:rPr>
                <w:rFonts w:hint="eastAsia" w:ascii="宋体" w:hAnsi="宋体" w:cs="宋体"/>
                <w:snapToGrid w:val="0"/>
                <w:color w:val="auto"/>
                <w:kern w:val="0"/>
                <w:szCs w:val="21"/>
                <w:highlight w:val="none"/>
                <w:lang w:val="zh-CN"/>
              </w:rPr>
              <w:t>配置专职电工值班，每班不少于2人。其他配电设施巡查专职电工每天不少于</w:t>
            </w:r>
            <w:r>
              <w:rPr>
                <w:rFonts w:hint="eastAsia" w:ascii="宋体" w:hAnsi="宋体" w:cs="宋体"/>
                <w:snapToGrid w:val="0"/>
                <w:color w:val="auto"/>
                <w:kern w:val="0"/>
                <w:szCs w:val="21"/>
                <w:highlight w:val="none"/>
                <w:lang w:val="en-US" w:eastAsia="zh-CN"/>
              </w:rPr>
              <w:t>6</w:t>
            </w:r>
            <w:r>
              <w:rPr>
                <w:rFonts w:hint="eastAsia" w:ascii="宋体" w:hAnsi="宋体" w:cs="宋体"/>
                <w:snapToGrid w:val="0"/>
                <w:color w:val="auto"/>
                <w:kern w:val="0"/>
                <w:szCs w:val="21"/>
                <w:highlight w:val="none"/>
                <w:lang w:val="zh-CN"/>
              </w:rPr>
              <w:t>人。</w:t>
            </w:r>
            <w:r>
              <w:rPr>
                <w:rFonts w:hint="eastAsia" w:ascii="宋体" w:hAnsi="宋体" w:cs="宋体"/>
                <w:color w:val="auto"/>
                <w:highlight w:val="none"/>
                <w:lang w:val="en-US" w:eastAsia="zh-CN"/>
              </w:rPr>
              <w:t>专职电工均</w:t>
            </w:r>
            <w:r>
              <w:rPr>
                <w:rFonts w:hint="eastAsia" w:ascii="宋体" w:hAnsi="宋体" w:cs="宋体"/>
                <w:color w:val="auto"/>
                <w:highlight w:val="none"/>
              </w:rPr>
              <w:t>具备国家相关部门认可并有效的高压电工证。</w:t>
            </w:r>
            <w:r>
              <w:rPr>
                <w:rFonts w:hint="eastAsia" w:ascii="宋体" w:hAnsi="宋体" w:cs="宋体"/>
                <w:snapToGrid w:val="0"/>
                <w:color w:val="auto"/>
                <w:kern w:val="0"/>
                <w:szCs w:val="21"/>
                <w:highlight w:val="none"/>
                <w:lang w:val="en-US" w:eastAsia="zh-CN"/>
              </w:rPr>
              <w:t>另，配置专职技术人员1名（按甲方要求开展水电技术服务工作）</w:t>
            </w:r>
          </w:p>
        </w:tc>
      </w:tr>
      <w:tr w14:paraId="1701B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exact"/>
          <w:jc w:val="center"/>
        </w:trPr>
        <w:tc>
          <w:tcPr>
            <w:tcW w:w="853" w:type="dxa"/>
            <w:vAlign w:val="center"/>
          </w:tcPr>
          <w:p w14:paraId="70435957">
            <w:pPr>
              <w:jc w:val="cente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lang w:val="zh-CN"/>
              </w:rPr>
              <w:t>4</w:t>
            </w:r>
          </w:p>
        </w:tc>
        <w:tc>
          <w:tcPr>
            <w:tcW w:w="1489" w:type="dxa"/>
            <w:vAlign w:val="center"/>
          </w:tcPr>
          <w:p w14:paraId="62C7518B">
            <w:pPr>
              <w:jc w:val="cente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lang w:val="zh-CN"/>
              </w:rPr>
              <w:t>转包与分包</w:t>
            </w:r>
          </w:p>
        </w:tc>
        <w:tc>
          <w:tcPr>
            <w:tcW w:w="1018" w:type="dxa"/>
            <w:vAlign w:val="center"/>
          </w:tcPr>
          <w:p w14:paraId="139033EA">
            <w:pPr>
              <w:jc w:val="center"/>
              <w:rPr>
                <w:rFonts w:cs="宋体" w:asciiTheme="minorEastAsia" w:hAnsiTheme="minorEastAsia"/>
                <w:snapToGrid w:val="0"/>
                <w:color w:val="auto"/>
                <w:kern w:val="0"/>
                <w:szCs w:val="21"/>
                <w:highlight w:val="none"/>
                <w:lang w:val="zh-CN"/>
              </w:rPr>
            </w:pPr>
          </w:p>
        </w:tc>
        <w:tc>
          <w:tcPr>
            <w:tcW w:w="6416" w:type="dxa"/>
            <w:vAlign w:val="center"/>
          </w:tcPr>
          <w:p w14:paraId="130EA661">
            <w:pPr>
              <w:rPr>
                <w:rFonts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（1）本项目合同不得转让。</w:t>
            </w:r>
          </w:p>
          <w:p w14:paraId="1A7B2B5C">
            <w:pP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lang w:val="zh-CN"/>
              </w:rPr>
              <w:t>（2）本项目合同不得分包。</w:t>
            </w:r>
          </w:p>
        </w:tc>
      </w:tr>
      <w:tr w14:paraId="74ABD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exact"/>
          <w:jc w:val="center"/>
        </w:trPr>
        <w:tc>
          <w:tcPr>
            <w:tcW w:w="853" w:type="dxa"/>
            <w:vAlign w:val="center"/>
          </w:tcPr>
          <w:p w14:paraId="37CE2AF1">
            <w:pPr>
              <w:jc w:val="cente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rPr>
              <w:t>5</w:t>
            </w:r>
          </w:p>
        </w:tc>
        <w:tc>
          <w:tcPr>
            <w:tcW w:w="1489" w:type="dxa"/>
            <w:vAlign w:val="center"/>
          </w:tcPr>
          <w:p w14:paraId="7B5224EE">
            <w:pPr>
              <w:jc w:val="cente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rPr>
              <w:t>运维要求</w:t>
            </w:r>
          </w:p>
        </w:tc>
        <w:tc>
          <w:tcPr>
            <w:tcW w:w="1018" w:type="dxa"/>
            <w:vAlign w:val="center"/>
          </w:tcPr>
          <w:p w14:paraId="195FC64F">
            <w:pPr>
              <w:jc w:val="center"/>
              <w:rPr>
                <w:rFonts w:cs="宋体" w:asciiTheme="minorEastAsia" w:hAnsiTheme="minorEastAsia"/>
                <w:snapToGrid w:val="0"/>
                <w:color w:val="auto"/>
                <w:kern w:val="0"/>
                <w:szCs w:val="21"/>
                <w:highlight w:val="none"/>
                <w:lang w:val="zh-CN"/>
              </w:rPr>
            </w:pPr>
          </w:p>
        </w:tc>
        <w:tc>
          <w:tcPr>
            <w:tcW w:w="6416" w:type="dxa"/>
            <w:vAlign w:val="center"/>
          </w:tcPr>
          <w:p w14:paraId="0A478451">
            <w:pPr>
              <w:rPr>
                <w:rFonts w:cs="宋体" w:asciiTheme="minorEastAsia" w:hAnsiTheme="minorEastAsia"/>
                <w:snapToGrid w:val="0"/>
                <w:color w:val="auto"/>
                <w:kern w:val="0"/>
                <w:szCs w:val="21"/>
                <w:highlight w:val="none"/>
                <w:lang w:val="zh-CN"/>
              </w:rPr>
            </w:pPr>
            <w:r>
              <w:rPr>
                <w:rFonts w:hint="eastAsia" w:ascii="宋体" w:hAnsi="宋体" w:cs="宋体"/>
                <w:color w:val="auto"/>
                <w:szCs w:val="21"/>
                <w:highlight w:val="none"/>
              </w:rPr>
              <w:t>运维单位须按国家电网公司的《变电站管理规范》要求执行</w:t>
            </w:r>
            <w:r>
              <w:rPr>
                <w:rFonts w:hint="eastAsia" w:ascii="宋体" w:hAnsi="宋体" w:cs="宋体"/>
                <w:color w:val="auto"/>
                <w:szCs w:val="21"/>
                <w:highlight w:val="none"/>
                <w:lang w:eastAsia="zh-CN"/>
              </w:rPr>
              <w:t>。</w:t>
            </w:r>
          </w:p>
        </w:tc>
      </w:tr>
      <w:tr w14:paraId="5E87A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exact"/>
          <w:jc w:val="center"/>
        </w:trPr>
        <w:tc>
          <w:tcPr>
            <w:tcW w:w="853" w:type="dxa"/>
            <w:vAlign w:val="center"/>
          </w:tcPr>
          <w:p w14:paraId="7ECD237D">
            <w:pPr>
              <w:jc w:val="cente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rPr>
              <w:t>6</w:t>
            </w:r>
          </w:p>
        </w:tc>
        <w:tc>
          <w:tcPr>
            <w:tcW w:w="1489" w:type="dxa"/>
            <w:vAlign w:val="center"/>
          </w:tcPr>
          <w:p w14:paraId="1ED77D68">
            <w:pPr>
              <w:jc w:val="cente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lang w:val="zh-CN"/>
              </w:rPr>
              <w:t>类似业绩</w:t>
            </w:r>
          </w:p>
        </w:tc>
        <w:tc>
          <w:tcPr>
            <w:tcW w:w="1018" w:type="dxa"/>
            <w:vAlign w:val="center"/>
          </w:tcPr>
          <w:p w14:paraId="4BF2B029">
            <w:pPr>
              <w:jc w:val="center"/>
              <w:rPr>
                <w:rFonts w:cs="宋体" w:asciiTheme="minorEastAsia" w:hAnsiTheme="minorEastAsia"/>
                <w:snapToGrid w:val="0"/>
                <w:color w:val="auto"/>
                <w:kern w:val="0"/>
                <w:szCs w:val="21"/>
                <w:highlight w:val="none"/>
                <w:lang w:val="zh-CN"/>
              </w:rPr>
            </w:pPr>
          </w:p>
        </w:tc>
        <w:tc>
          <w:tcPr>
            <w:tcW w:w="6416" w:type="dxa"/>
            <w:vAlign w:val="center"/>
          </w:tcPr>
          <w:p w14:paraId="385CE345">
            <w:pPr>
              <w:adjustRightInd w:val="0"/>
              <w:snapToGrid w:val="0"/>
              <w:rPr>
                <w:rFonts w:cs="宋体" w:asciiTheme="minorEastAsia" w:hAnsiTheme="minorEastAsia"/>
                <w:snapToGrid w:val="0"/>
                <w:color w:val="auto"/>
                <w:kern w:val="0"/>
                <w:szCs w:val="21"/>
                <w:highlight w:val="none"/>
                <w:lang w:val="zh-CN"/>
              </w:rPr>
            </w:pPr>
            <w:r>
              <w:rPr>
                <w:rFonts w:hint="eastAsia" w:ascii="宋体" w:hAnsi="宋体" w:cs="宋体"/>
                <w:color w:val="auto"/>
                <w:szCs w:val="21"/>
                <w:highlight w:val="none"/>
                <w:lang w:val="en-US" w:eastAsia="zh-CN"/>
              </w:rPr>
              <w:t>投标人提供近三年（以合同签订日期为准）类似项目的业绩合同材料。</w:t>
            </w:r>
          </w:p>
        </w:tc>
      </w:tr>
      <w:tr w14:paraId="77244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exact"/>
          <w:jc w:val="center"/>
        </w:trPr>
        <w:tc>
          <w:tcPr>
            <w:tcW w:w="853" w:type="dxa"/>
            <w:vAlign w:val="center"/>
          </w:tcPr>
          <w:p w14:paraId="153B8137">
            <w:pPr>
              <w:jc w:val="cente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rPr>
              <w:t>7</w:t>
            </w:r>
          </w:p>
        </w:tc>
        <w:tc>
          <w:tcPr>
            <w:tcW w:w="1489" w:type="dxa"/>
            <w:vAlign w:val="center"/>
          </w:tcPr>
          <w:p w14:paraId="26D8D640">
            <w:pPr>
              <w:jc w:val="cente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lang w:val="zh-CN"/>
              </w:rPr>
              <w:t>意见反馈情况</w:t>
            </w:r>
          </w:p>
        </w:tc>
        <w:tc>
          <w:tcPr>
            <w:tcW w:w="1018" w:type="dxa"/>
            <w:vAlign w:val="center"/>
          </w:tcPr>
          <w:p w14:paraId="67A022B9">
            <w:pPr>
              <w:jc w:val="center"/>
              <w:rPr>
                <w:rFonts w:cs="宋体" w:asciiTheme="minorEastAsia" w:hAnsiTheme="minorEastAsia"/>
                <w:snapToGrid w:val="0"/>
                <w:color w:val="auto"/>
                <w:kern w:val="0"/>
                <w:szCs w:val="21"/>
                <w:highlight w:val="none"/>
                <w:lang w:val="zh-CN"/>
              </w:rPr>
            </w:pPr>
          </w:p>
        </w:tc>
        <w:tc>
          <w:tcPr>
            <w:tcW w:w="6416" w:type="dxa"/>
            <w:vAlign w:val="center"/>
          </w:tcPr>
          <w:p w14:paraId="05610C5F">
            <w:pPr>
              <w:rPr>
                <w:rFonts w:cs="宋体" w:asciiTheme="minorEastAsia" w:hAnsiTheme="minorEastAsia"/>
                <w:snapToGrid w:val="0"/>
                <w:color w:val="auto"/>
                <w:kern w:val="0"/>
                <w:szCs w:val="21"/>
                <w:highlight w:val="none"/>
              </w:rPr>
            </w:pPr>
            <w:r>
              <w:rPr>
                <w:rFonts w:hint="eastAsia" w:ascii="宋体" w:hAnsi="宋体" w:cs="宋体"/>
                <w:color w:val="auto"/>
                <w:szCs w:val="21"/>
                <w:highlight w:val="none"/>
              </w:rPr>
              <w:t>投标人提供类似业绩的甲方书面评价意见，书面评价意见为满意及以上的。</w:t>
            </w:r>
          </w:p>
        </w:tc>
      </w:tr>
      <w:tr w14:paraId="2553B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exact"/>
          <w:jc w:val="center"/>
        </w:trPr>
        <w:tc>
          <w:tcPr>
            <w:tcW w:w="853" w:type="dxa"/>
            <w:vAlign w:val="center"/>
          </w:tcPr>
          <w:p w14:paraId="44DD6D98">
            <w:pPr>
              <w:jc w:val="cente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rPr>
              <w:t>8</w:t>
            </w:r>
          </w:p>
        </w:tc>
        <w:tc>
          <w:tcPr>
            <w:tcW w:w="1489" w:type="dxa"/>
            <w:vAlign w:val="center"/>
          </w:tcPr>
          <w:p w14:paraId="7DC231AA">
            <w:pPr>
              <w:jc w:val="cente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lang w:val="zh-CN"/>
              </w:rPr>
              <w:t>岗位设置与人员管理</w:t>
            </w:r>
          </w:p>
        </w:tc>
        <w:tc>
          <w:tcPr>
            <w:tcW w:w="1018" w:type="dxa"/>
            <w:vAlign w:val="center"/>
          </w:tcPr>
          <w:p w14:paraId="1DF8319C">
            <w:pPr>
              <w:jc w:val="center"/>
              <w:rPr>
                <w:rFonts w:cs="宋体" w:asciiTheme="minorEastAsia" w:hAnsiTheme="minorEastAsia"/>
                <w:snapToGrid w:val="0"/>
                <w:color w:val="auto"/>
                <w:kern w:val="0"/>
                <w:szCs w:val="21"/>
                <w:highlight w:val="none"/>
                <w:lang w:val="zh-CN"/>
              </w:rPr>
            </w:pPr>
          </w:p>
        </w:tc>
        <w:tc>
          <w:tcPr>
            <w:tcW w:w="6416" w:type="dxa"/>
            <w:vAlign w:val="center"/>
          </w:tcPr>
          <w:p w14:paraId="5593E20C">
            <w:pPr>
              <w:rPr>
                <w:rFonts w:cs="宋体" w:asciiTheme="minorEastAsia" w:hAnsiTheme="minorEastAsia"/>
                <w:snapToGrid w:val="0"/>
                <w:color w:val="auto"/>
                <w:kern w:val="0"/>
                <w:szCs w:val="21"/>
                <w:highlight w:val="none"/>
                <w:lang w:val="zh-CN"/>
              </w:rPr>
            </w:pPr>
            <w:r>
              <w:rPr>
                <w:rFonts w:hint="eastAsia" w:ascii="宋体" w:hAnsi="宋体" w:cs="宋体"/>
                <w:color w:val="auto"/>
                <w:szCs w:val="21"/>
                <w:highlight w:val="none"/>
              </w:rPr>
              <w:t>当配电设备出现严重故障，影响安全运行时，投标人技术人员30分钟内赶赴按照技术流程迅速找出故障原因予以处置</w:t>
            </w:r>
            <w:r>
              <w:rPr>
                <w:rFonts w:hint="eastAsia" w:ascii="宋体" w:hAnsi="宋体" w:cs="宋体"/>
                <w:color w:val="auto"/>
                <w:szCs w:val="21"/>
                <w:highlight w:val="none"/>
                <w:lang w:eastAsia="zh-CN"/>
              </w:rPr>
              <w:t>。</w:t>
            </w:r>
          </w:p>
        </w:tc>
      </w:tr>
      <w:tr w14:paraId="33E9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exact"/>
          <w:jc w:val="center"/>
        </w:trPr>
        <w:tc>
          <w:tcPr>
            <w:tcW w:w="853" w:type="dxa"/>
            <w:vAlign w:val="center"/>
          </w:tcPr>
          <w:p w14:paraId="18D05867">
            <w:pPr>
              <w:jc w:val="center"/>
              <w:rPr>
                <w:rFonts w:cs="宋体" w:asciiTheme="minorEastAsia" w:hAnsiTheme="minorEastAsia"/>
                <w:snapToGrid w:val="0"/>
                <w:color w:val="auto"/>
                <w:kern w:val="0"/>
                <w:szCs w:val="21"/>
                <w:highlight w:val="none"/>
              </w:rPr>
            </w:pPr>
            <w:r>
              <w:rPr>
                <w:rFonts w:hint="eastAsia" w:ascii="宋体" w:hAnsi="宋体" w:cs="宋体"/>
                <w:snapToGrid w:val="0"/>
                <w:color w:val="auto"/>
                <w:kern w:val="0"/>
                <w:szCs w:val="21"/>
                <w:highlight w:val="none"/>
              </w:rPr>
              <w:t>9</w:t>
            </w:r>
          </w:p>
        </w:tc>
        <w:tc>
          <w:tcPr>
            <w:tcW w:w="1489" w:type="dxa"/>
            <w:vAlign w:val="center"/>
          </w:tcPr>
          <w:p w14:paraId="0BDC13C7">
            <w:pPr>
              <w:jc w:val="center"/>
              <w:rPr>
                <w:rFonts w:cs="宋体" w:asciiTheme="minorEastAsia" w:hAnsiTheme="minorEastAsia"/>
                <w:snapToGrid w:val="0"/>
                <w:color w:val="auto"/>
                <w:kern w:val="0"/>
                <w:szCs w:val="21"/>
                <w:highlight w:val="none"/>
                <w:lang w:val="zh-CN"/>
              </w:rPr>
            </w:pPr>
            <w:r>
              <w:rPr>
                <w:rFonts w:hint="eastAsia" w:ascii="宋体" w:hAnsi="宋体" w:cs="宋体"/>
                <w:snapToGrid w:val="0"/>
                <w:color w:val="auto"/>
                <w:kern w:val="0"/>
                <w:szCs w:val="21"/>
                <w:highlight w:val="none"/>
              </w:rPr>
              <w:t>认证证书</w:t>
            </w:r>
          </w:p>
        </w:tc>
        <w:tc>
          <w:tcPr>
            <w:tcW w:w="1018" w:type="dxa"/>
            <w:vAlign w:val="center"/>
          </w:tcPr>
          <w:p w14:paraId="14EF8127">
            <w:pPr>
              <w:jc w:val="center"/>
              <w:rPr>
                <w:rFonts w:cs="宋体" w:asciiTheme="minorEastAsia" w:hAnsiTheme="minorEastAsia"/>
                <w:snapToGrid w:val="0"/>
                <w:color w:val="auto"/>
                <w:kern w:val="0"/>
                <w:szCs w:val="21"/>
                <w:highlight w:val="none"/>
                <w:lang w:val="zh-CN"/>
              </w:rPr>
            </w:pPr>
          </w:p>
        </w:tc>
        <w:tc>
          <w:tcPr>
            <w:tcW w:w="6416" w:type="dxa"/>
            <w:vAlign w:val="center"/>
          </w:tcPr>
          <w:p w14:paraId="433A7010">
            <w:pPr>
              <w:rPr>
                <w:color w:val="auto"/>
                <w:highlight w:val="none"/>
              </w:rPr>
            </w:pPr>
            <w:r>
              <w:rPr>
                <w:rFonts w:hint="eastAsia" w:ascii="宋体" w:hAnsi="宋体" w:cs="宋体"/>
                <w:color w:val="auto"/>
                <w:szCs w:val="21"/>
                <w:highlight w:val="none"/>
              </w:rPr>
              <w:t>投标人具有有效的质量管理体系认证证书、环境管理体系认证证书及职业健康管理体系认证证书。</w:t>
            </w:r>
          </w:p>
        </w:tc>
      </w:tr>
      <w:tr w14:paraId="75937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exact"/>
          <w:jc w:val="center"/>
        </w:trPr>
        <w:tc>
          <w:tcPr>
            <w:tcW w:w="853" w:type="dxa"/>
            <w:vAlign w:val="center"/>
          </w:tcPr>
          <w:p w14:paraId="52325BAC">
            <w:pPr>
              <w:jc w:val="center"/>
              <w:rPr>
                <w:rFonts w:hint="default" w:ascii="宋体" w:hAnsi="宋体" w:cs="宋体" w:eastAsiaTheme="minorEastAsia"/>
                <w:snapToGrid w:val="0"/>
                <w:color w:val="auto"/>
                <w:kern w:val="0"/>
                <w:szCs w:val="21"/>
                <w:highlight w:val="none"/>
                <w:lang w:val="en-US" w:eastAsia="zh-CN"/>
              </w:rPr>
            </w:pPr>
            <w:r>
              <w:rPr>
                <w:rFonts w:hint="eastAsia" w:ascii="宋体" w:hAnsi="宋体" w:cs="宋体"/>
                <w:snapToGrid w:val="0"/>
                <w:color w:val="auto"/>
                <w:kern w:val="0"/>
                <w:szCs w:val="21"/>
                <w:highlight w:val="none"/>
                <w:lang w:val="en-US" w:eastAsia="zh-CN"/>
              </w:rPr>
              <w:t>10</w:t>
            </w:r>
          </w:p>
        </w:tc>
        <w:tc>
          <w:tcPr>
            <w:tcW w:w="1489" w:type="dxa"/>
            <w:vAlign w:val="center"/>
          </w:tcPr>
          <w:p w14:paraId="61C06A0D">
            <w:pPr>
              <w:jc w:val="center"/>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岗位及设备配置方案</w:t>
            </w:r>
          </w:p>
        </w:tc>
        <w:tc>
          <w:tcPr>
            <w:tcW w:w="1018" w:type="dxa"/>
            <w:vAlign w:val="center"/>
          </w:tcPr>
          <w:p w14:paraId="4747E089">
            <w:pPr>
              <w:jc w:val="center"/>
              <w:rPr>
                <w:rFonts w:hint="eastAsia" w:ascii="宋体" w:hAnsi="宋体" w:cs="宋体"/>
                <w:snapToGrid w:val="0"/>
                <w:color w:val="auto"/>
                <w:kern w:val="0"/>
                <w:szCs w:val="21"/>
                <w:highlight w:val="none"/>
                <w:lang w:val="zh-CN"/>
              </w:rPr>
            </w:pPr>
          </w:p>
        </w:tc>
        <w:tc>
          <w:tcPr>
            <w:tcW w:w="6416" w:type="dxa"/>
            <w:vAlign w:val="center"/>
          </w:tcPr>
          <w:p w14:paraId="0029CFAE">
            <w:pPr>
              <w:rPr>
                <w:rFonts w:hint="eastAsia" w:ascii="宋体" w:hAnsi="宋体" w:cs="宋体"/>
                <w:color w:val="auto"/>
                <w:szCs w:val="21"/>
                <w:highlight w:val="none"/>
              </w:rPr>
            </w:pPr>
            <w:r>
              <w:rPr>
                <w:rFonts w:hint="eastAsia" w:ascii="宋体" w:hAnsi="宋体" w:cs="宋体"/>
                <w:color w:val="auto"/>
                <w:szCs w:val="21"/>
                <w:highlight w:val="none"/>
              </w:rPr>
              <w:t>配备专业技能人员、岗位及设备，人员队伍中具备《高压电工作业证》及配置供电应急保障车。</w:t>
            </w:r>
          </w:p>
        </w:tc>
      </w:tr>
      <w:tr w14:paraId="406A7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exact"/>
          <w:jc w:val="center"/>
        </w:trPr>
        <w:tc>
          <w:tcPr>
            <w:tcW w:w="853" w:type="dxa"/>
            <w:vAlign w:val="center"/>
          </w:tcPr>
          <w:p w14:paraId="5F7F6C2A">
            <w:pPr>
              <w:jc w:val="center"/>
              <w:rPr>
                <w:rFonts w:hint="default" w:ascii="宋体" w:hAnsi="宋体" w:cs="宋体" w:eastAsiaTheme="minorEastAsia"/>
                <w:snapToGrid w:val="0"/>
                <w:color w:val="auto"/>
                <w:kern w:val="0"/>
                <w:szCs w:val="21"/>
                <w:highlight w:val="none"/>
                <w:lang w:val="en-US" w:eastAsia="zh-CN"/>
              </w:rPr>
            </w:pPr>
            <w:r>
              <w:rPr>
                <w:rFonts w:hint="eastAsia" w:ascii="宋体" w:hAnsi="宋体" w:cs="宋体"/>
                <w:snapToGrid w:val="0"/>
                <w:color w:val="auto"/>
                <w:kern w:val="0"/>
                <w:szCs w:val="21"/>
                <w:highlight w:val="none"/>
                <w:lang w:val="en-US" w:eastAsia="zh-CN"/>
              </w:rPr>
              <w:t>11</w:t>
            </w:r>
          </w:p>
        </w:tc>
        <w:tc>
          <w:tcPr>
            <w:tcW w:w="1489" w:type="dxa"/>
            <w:vAlign w:val="center"/>
          </w:tcPr>
          <w:p w14:paraId="64843503">
            <w:pPr>
              <w:jc w:val="center"/>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辅助管理系统</w:t>
            </w:r>
          </w:p>
        </w:tc>
        <w:tc>
          <w:tcPr>
            <w:tcW w:w="1018" w:type="dxa"/>
            <w:vAlign w:val="center"/>
          </w:tcPr>
          <w:p w14:paraId="24FA5365">
            <w:pPr>
              <w:jc w:val="center"/>
              <w:rPr>
                <w:rFonts w:hint="eastAsia" w:ascii="宋体" w:hAnsi="宋体" w:cs="宋体"/>
                <w:snapToGrid w:val="0"/>
                <w:color w:val="auto"/>
                <w:kern w:val="0"/>
                <w:szCs w:val="21"/>
                <w:highlight w:val="none"/>
                <w:lang w:val="zh-CN"/>
              </w:rPr>
            </w:pPr>
          </w:p>
        </w:tc>
        <w:tc>
          <w:tcPr>
            <w:tcW w:w="6416" w:type="dxa"/>
            <w:vAlign w:val="center"/>
          </w:tcPr>
          <w:p w14:paraId="6877CF51">
            <w:pPr>
              <w:rPr>
                <w:rFonts w:hint="eastAsia" w:ascii="宋体" w:hAnsi="宋体" w:cs="宋体"/>
                <w:color w:val="auto"/>
                <w:szCs w:val="21"/>
                <w:highlight w:val="none"/>
              </w:rPr>
            </w:pPr>
            <w:r>
              <w:rPr>
                <w:rFonts w:hint="eastAsia" w:ascii="宋体" w:hAnsi="宋体" w:cs="宋体"/>
                <w:color w:val="auto"/>
                <w:szCs w:val="21"/>
                <w:highlight w:val="none"/>
              </w:rPr>
              <w:t>提供全方位视频监控系统、全方位智能门禁系统，辅助运维管理服务。</w:t>
            </w:r>
          </w:p>
        </w:tc>
      </w:tr>
      <w:tr w14:paraId="5D6E6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exact"/>
          <w:jc w:val="center"/>
        </w:trPr>
        <w:tc>
          <w:tcPr>
            <w:tcW w:w="853" w:type="dxa"/>
            <w:vAlign w:val="center"/>
          </w:tcPr>
          <w:p w14:paraId="4E0C38AA">
            <w:pPr>
              <w:jc w:val="center"/>
              <w:rPr>
                <w:rFonts w:hint="default" w:ascii="宋体" w:hAnsi="宋体" w:cs="宋体"/>
                <w:snapToGrid w:val="0"/>
                <w:color w:val="auto"/>
                <w:kern w:val="0"/>
                <w:szCs w:val="21"/>
                <w:highlight w:val="none"/>
                <w:lang w:val="en-US" w:eastAsia="zh-CN"/>
              </w:rPr>
            </w:pPr>
            <w:r>
              <w:rPr>
                <w:rFonts w:hint="eastAsia" w:ascii="宋体" w:hAnsi="宋体" w:cs="宋体"/>
                <w:snapToGrid w:val="0"/>
                <w:color w:val="auto"/>
                <w:kern w:val="0"/>
                <w:szCs w:val="21"/>
                <w:highlight w:val="none"/>
                <w:lang w:val="en-US" w:eastAsia="zh-CN"/>
              </w:rPr>
              <w:t>12</w:t>
            </w:r>
          </w:p>
        </w:tc>
        <w:tc>
          <w:tcPr>
            <w:tcW w:w="1489" w:type="dxa"/>
            <w:vAlign w:val="center"/>
          </w:tcPr>
          <w:p w14:paraId="63078E10">
            <w:pPr>
              <w:jc w:val="center"/>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服务地点</w:t>
            </w:r>
          </w:p>
        </w:tc>
        <w:tc>
          <w:tcPr>
            <w:tcW w:w="1018" w:type="dxa"/>
            <w:vAlign w:val="center"/>
          </w:tcPr>
          <w:p w14:paraId="002B0ABC">
            <w:pPr>
              <w:jc w:val="center"/>
              <w:rPr>
                <w:rFonts w:hint="eastAsia" w:ascii="宋体" w:hAnsi="宋体" w:cs="宋体"/>
                <w:snapToGrid w:val="0"/>
                <w:color w:val="auto"/>
                <w:kern w:val="0"/>
                <w:szCs w:val="21"/>
                <w:highlight w:val="none"/>
                <w:lang w:val="zh-CN"/>
              </w:rPr>
            </w:pPr>
          </w:p>
        </w:tc>
        <w:tc>
          <w:tcPr>
            <w:tcW w:w="6416" w:type="dxa"/>
            <w:vAlign w:val="center"/>
          </w:tcPr>
          <w:p w14:paraId="4DBEAF0A">
            <w:pPr>
              <w:rPr>
                <w:rFonts w:hint="eastAsia" w:ascii="宋体" w:hAnsi="宋体" w:cs="宋体"/>
                <w:color w:val="auto"/>
                <w:szCs w:val="21"/>
                <w:highlight w:val="none"/>
              </w:rPr>
            </w:pPr>
            <w:r>
              <w:rPr>
                <w:rFonts w:hint="eastAsia" w:ascii="宋体" w:hAnsi="宋体" w:eastAsia="宋体" w:cs="宋体"/>
                <w:b w:val="0"/>
                <w:bCs w:val="0"/>
                <w:color w:val="auto"/>
                <w:sz w:val="20"/>
                <w:szCs w:val="20"/>
                <w:highlight w:val="none"/>
              </w:rPr>
              <w:t>武汉理工大学南湖校区内</w:t>
            </w:r>
          </w:p>
        </w:tc>
      </w:tr>
      <w:tr w14:paraId="7578F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exact"/>
          <w:jc w:val="center"/>
        </w:trPr>
        <w:tc>
          <w:tcPr>
            <w:tcW w:w="853" w:type="dxa"/>
            <w:vAlign w:val="center"/>
          </w:tcPr>
          <w:p w14:paraId="32CFF556">
            <w:pPr>
              <w:jc w:val="center"/>
              <w:rPr>
                <w:rFonts w:hint="default" w:ascii="宋体" w:hAnsi="宋体" w:cs="宋体"/>
                <w:snapToGrid w:val="0"/>
                <w:color w:val="auto"/>
                <w:kern w:val="0"/>
                <w:szCs w:val="21"/>
                <w:highlight w:val="none"/>
                <w:lang w:val="en-US" w:eastAsia="zh-CN"/>
              </w:rPr>
            </w:pPr>
            <w:r>
              <w:rPr>
                <w:rFonts w:hint="eastAsia" w:ascii="宋体" w:hAnsi="宋体" w:cs="宋体"/>
                <w:snapToGrid w:val="0"/>
                <w:color w:val="auto"/>
                <w:kern w:val="0"/>
                <w:szCs w:val="21"/>
                <w:highlight w:val="none"/>
                <w:lang w:val="en-US" w:eastAsia="zh-CN"/>
              </w:rPr>
              <w:t>13</w:t>
            </w:r>
          </w:p>
        </w:tc>
        <w:tc>
          <w:tcPr>
            <w:tcW w:w="1489" w:type="dxa"/>
            <w:vAlign w:val="center"/>
          </w:tcPr>
          <w:p w14:paraId="0DCDBEDE">
            <w:pPr>
              <w:jc w:val="center"/>
              <w:rPr>
                <w:rFonts w:hint="eastAsia" w:ascii="宋体" w:hAnsi="宋体" w:cs="宋体"/>
                <w:snapToGrid w:val="0"/>
                <w:color w:val="auto"/>
                <w:kern w:val="0"/>
                <w:szCs w:val="21"/>
                <w:highlight w:val="none"/>
              </w:rPr>
            </w:pPr>
            <w:r>
              <w:rPr>
                <w:rFonts w:hint="eastAsia" w:ascii="宋体" w:hAnsi="宋体" w:eastAsia="宋体" w:cs="宋体"/>
                <w:b w:val="0"/>
                <w:bCs w:val="0"/>
                <w:color w:val="auto"/>
                <w:sz w:val="20"/>
                <w:szCs w:val="20"/>
                <w:highlight w:val="none"/>
              </w:rPr>
              <w:t>验收方式</w:t>
            </w:r>
          </w:p>
        </w:tc>
        <w:tc>
          <w:tcPr>
            <w:tcW w:w="1018" w:type="dxa"/>
            <w:vAlign w:val="center"/>
          </w:tcPr>
          <w:p w14:paraId="36CE7B63">
            <w:pPr>
              <w:jc w:val="center"/>
              <w:rPr>
                <w:rFonts w:hint="eastAsia" w:ascii="宋体" w:hAnsi="宋体" w:cs="宋体"/>
                <w:snapToGrid w:val="0"/>
                <w:color w:val="auto"/>
                <w:kern w:val="0"/>
                <w:szCs w:val="21"/>
                <w:highlight w:val="none"/>
                <w:lang w:val="zh-CN"/>
              </w:rPr>
            </w:pPr>
          </w:p>
        </w:tc>
        <w:tc>
          <w:tcPr>
            <w:tcW w:w="6416" w:type="dxa"/>
            <w:vAlign w:val="center"/>
          </w:tcPr>
          <w:p w14:paraId="05A6FE65">
            <w:pPr>
              <w:rPr>
                <w:rFonts w:hint="eastAsia" w:ascii="宋体" w:hAnsi="宋体" w:cs="宋体"/>
                <w:color w:val="auto"/>
                <w:szCs w:val="21"/>
                <w:highlight w:val="none"/>
              </w:rPr>
            </w:pPr>
            <w:r>
              <w:rPr>
                <w:rFonts w:hint="eastAsia" w:ascii="宋体" w:hAnsi="宋体" w:cs="宋体"/>
                <w:color w:val="auto"/>
                <w:szCs w:val="21"/>
                <w:highlight w:val="none"/>
              </w:rPr>
              <w:t>采用定期考核与不定期抽查相结合的方式。供应商需按月提交服务报告，采购人将依据考核标准对服务完成情况、响应速度、解决效果等进行打分。</w:t>
            </w:r>
          </w:p>
        </w:tc>
      </w:tr>
    </w:tbl>
    <w:p w14:paraId="413DEFDB">
      <w:pPr>
        <w:numPr>
          <w:ilvl w:val="-1"/>
          <w:numId w:val="0"/>
        </w:numPr>
        <w:spacing w:line="240" w:lineRule="auto"/>
        <w:jc w:val="left"/>
        <w:rPr>
          <w:rFonts w:hint="eastAsia" w:ascii="宋体" w:hAnsi="宋体" w:eastAsia="宋体" w:cs="宋体"/>
          <w:b/>
          <w:bCs/>
          <w:snapToGrid w:val="0"/>
          <w:color w:val="auto"/>
          <w:kern w:val="0"/>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b/>
          <w:bCs/>
          <w:snapToGrid w:val="0"/>
          <w:color w:val="auto"/>
          <w:kern w:val="0"/>
          <w:sz w:val="24"/>
          <w:szCs w:val="24"/>
          <w:highlight w:val="none"/>
          <w:lang w:val="en-US" w:eastAsia="zh-CN" w:bidi="ar-SA"/>
        </w:rPr>
        <w:t>1</w:t>
      </w:r>
      <w:r>
        <w:rPr>
          <w:rFonts w:hint="eastAsia" w:ascii="宋体" w:hAnsi="宋体" w:cs="宋体"/>
          <w:b/>
          <w:bCs/>
          <w:snapToGrid w:val="0"/>
          <w:color w:val="auto"/>
          <w:kern w:val="0"/>
          <w:sz w:val="24"/>
          <w:szCs w:val="24"/>
          <w:highlight w:val="none"/>
          <w:lang w:val="en-US" w:eastAsia="zh-CN" w:bidi="ar-SA"/>
        </w:rPr>
        <w:t>4</w:t>
      </w:r>
      <w:r>
        <w:rPr>
          <w:rFonts w:hint="eastAsia" w:ascii="宋体" w:hAnsi="宋体" w:eastAsia="宋体" w:cs="宋体"/>
          <w:b/>
          <w:bCs/>
          <w:snapToGrid w:val="0"/>
          <w:color w:val="auto"/>
          <w:kern w:val="0"/>
          <w:sz w:val="24"/>
          <w:szCs w:val="24"/>
          <w:highlight w:val="none"/>
          <w:lang w:val="en-US" w:eastAsia="zh-CN"/>
        </w:rPr>
        <w:t>项目报价单的格式（</w:t>
      </w:r>
      <w:r>
        <w:rPr>
          <w:rFonts w:hint="eastAsia" w:ascii="宋体" w:hAnsi="宋体" w:cs="宋体"/>
          <w:b/>
          <w:bCs/>
          <w:snapToGrid w:val="0"/>
          <w:color w:val="auto"/>
          <w:kern w:val="0"/>
          <w:sz w:val="24"/>
          <w:szCs w:val="24"/>
          <w:highlight w:val="none"/>
          <w:lang w:val="en-US" w:eastAsia="zh-CN"/>
        </w:rPr>
        <w:t>未</w:t>
      </w:r>
      <w:r>
        <w:rPr>
          <w:rFonts w:hint="eastAsia" w:ascii="宋体" w:hAnsi="宋体" w:eastAsia="宋体" w:cs="宋体"/>
          <w:b/>
          <w:bCs/>
          <w:snapToGrid w:val="0"/>
          <w:color w:val="auto"/>
          <w:kern w:val="0"/>
          <w:sz w:val="24"/>
          <w:szCs w:val="24"/>
          <w:highlight w:val="none"/>
          <w:lang w:val="en-US" w:eastAsia="zh-CN"/>
        </w:rPr>
        <w:t>按此格式报价</w:t>
      </w:r>
      <w:r>
        <w:rPr>
          <w:rFonts w:hint="eastAsia" w:ascii="宋体" w:hAnsi="宋体" w:cs="宋体"/>
          <w:b/>
          <w:bCs/>
          <w:snapToGrid w:val="0"/>
          <w:color w:val="auto"/>
          <w:kern w:val="0"/>
          <w:sz w:val="24"/>
          <w:szCs w:val="24"/>
          <w:highlight w:val="none"/>
          <w:lang w:val="en-US" w:eastAsia="zh-CN"/>
        </w:rPr>
        <w:t>按照无效投标处理</w:t>
      </w:r>
      <w:r>
        <w:rPr>
          <w:rFonts w:hint="eastAsia" w:ascii="宋体" w:hAnsi="宋体" w:eastAsia="宋体" w:cs="宋体"/>
          <w:b/>
          <w:bCs/>
          <w:snapToGrid w:val="0"/>
          <w:color w:val="auto"/>
          <w:kern w:val="0"/>
          <w:sz w:val="24"/>
          <w:szCs w:val="24"/>
          <w:highlight w:val="none"/>
          <w:lang w:val="en-US" w:eastAsia="zh-CN"/>
        </w:rPr>
        <w:t>）</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4"/>
        <w:gridCol w:w="4594"/>
        <w:gridCol w:w="1696"/>
        <w:gridCol w:w="2272"/>
      </w:tblGrid>
      <w:tr w14:paraId="6BA34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tcPr>
          <w:p w14:paraId="27BD4C16">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4950" w:type="dxa"/>
          </w:tcPr>
          <w:p w14:paraId="636BD2F1">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子项</w:t>
            </w:r>
          </w:p>
        </w:tc>
        <w:tc>
          <w:tcPr>
            <w:tcW w:w="1732" w:type="dxa"/>
          </w:tcPr>
          <w:p w14:paraId="3B43F56B">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报价金额（元）</w:t>
            </w:r>
          </w:p>
        </w:tc>
        <w:tc>
          <w:tcPr>
            <w:tcW w:w="2427" w:type="dxa"/>
          </w:tcPr>
          <w:p w14:paraId="06ECDC0D">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备注</w:t>
            </w:r>
          </w:p>
        </w:tc>
      </w:tr>
      <w:tr w14:paraId="6A2A2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748" w:type="dxa"/>
            <w:vAlign w:val="center"/>
          </w:tcPr>
          <w:p w14:paraId="2F53DC66">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 1</w:t>
            </w:r>
          </w:p>
        </w:tc>
        <w:tc>
          <w:tcPr>
            <w:tcW w:w="4950" w:type="dxa"/>
            <w:vAlign w:val="center"/>
          </w:tcPr>
          <w:p w14:paraId="595B7E13">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值班电工经费（含工资福利、加班、保险、劳保、服装等所有相关费用、含税）</w:t>
            </w:r>
          </w:p>
        </w:tc>
        <w:tc>
          <w:tcPr>
            <w:tcW w:w="1732" w:type="dxa"/>
            <w:vAlign w:val="center"/>
          </w:tcPr>
          <w:p w14:paraId="39DC40DA">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p>
        </w:tc>
        <w:tc>
          <w:tcPr>
            <w:tcW w:w="2427" w:type="dxa"/>
            <w:vAlign w:val="center"/>
          </w:tcPr>
          <w:p w14:paraId="5FAE621E">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p>
        </w:tc>
      </w:tr>
      <w:tr w14:paraId="26860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748" w:type="dxa"/>
            <w:vAlign w:val="center"/>
          </w:tcPr>
          <w:p w14:paraId="187F4634">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2</w:t>
            </w:r>
          </w:p>
        </w:tc>
        <w:tc>
          <w:tcPr>
            <w:tcW w:w="4950" w:type="dxa"/>
            <w:vAlign w:val="center"/>
          </w:tcPr>
          <w:p w14:paraId="6A6565D5">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管理及技术人员经费（含工资福利、加班、保险、劳保、服装等所有相关费用、含税）</w:t>
            </w:r>
          </w:p>
        </w:tc>
        <w:tc>
          <w:tcPr>
            <w:tcW w:w="1732" w:type="dxa"/>
            <w:vAlign w:val="center"/>
          </w:tcPr>
          <w:p w14:paraId="475DE815">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p>
        </w:tc>
        <w:tc>
          <w:tcPr>
            <w:tcW w:w="2427" w:type="dxa"/>
            <w:vAlign w:val="center"/>
          </w:tcPr>
          <w:p w14:paraId="6540542C">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p>
        </w:tc>
      </w:tr>
      <w:tr w14:paraId="08F5C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rPr>
        <w:tc>
          <w:tcPr>
            <w:tcW w:w="748" w:type="dxa"/>
            <w:vAlign w:val="center"/>
          </w:tcPr>
          <w:p w14:paraId="028BF47C">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3</w:t>
            </w:r>
          </w:p>
        </w:tc>
        <w:tc>
          <w:tcPr>
            <w:tcW w:w="4950" w:type="dxa"/>
            <w:vAlign w:val="center"/>
          </w:tcPr>
          <w:p w14:paraId="299818DB">
            <w:pPr>
              <w:numPr>
                <w:ilvl w:val="0"/>
                <w:numId w:val="0"/>
              </w:numPr>
              <w:spacing w:line="276" w:lineRule="auto"/>
              <w:jc w:val="center"/>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专职技术人员经费（含工资福利、加班、保险、劳保、服装等所有相关费用、含税）</w:t>
            </w:r>
            <w:r>
              <w:rPr>
                <w:rFonts w:hint="eastAsia" w:ascii="宋体" w:hAnsi="宋体" w:cs="宋体"/>
                <w:b/>
                <w:bCs/>
                <w:color w:val="auto"/>
                <w:sz w:val="24"/>
                <w:szCs w:val="24"/>
                <w:highlight w:val="none"/>
                <w:vertAlign w:val="baseline"/>
                <w:lang w:val="en-US" w:eastAsia="zh-CN"/>
              </w:rPr>
              <w:t>此费用为包干价</w:t>
            </w:r>
          </w:p>
        </w:tc>
        <w:tc>
          <w:tcPr>
            <w:tcW w:w="1732" w:type="dxa"/>
            <w:vAlign w:val="center"/>
          </w:tcPr>
          <w:p w14:paraId="0E81819A">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100000.00</w:t>
            </w:r>
          </w:p>
        </w:tc>
        <w:tc>
          <w:tcPr>
            <w:tcW w:w="2427" w:type="dxa"/>
            <w:vAlign w:val="center"/>
          </w:tcPr>
          <w:p w14:paraId="5046703E">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此项为不可竞争费用</w:t>
            </w:r>
          </w:p>
        </w:tc>
      </w:tr>
      <w:tr w14:paraId="102EE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47DD267E">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4</w:t>
            </w:r>
          </w:p>
        </w:tc>
        <w:tc>
          <w:tcPr>
            <w:tcW w:w="4950" w:type="dxa"/>
            <w:vAlign w:val="center"/>
          </w:tcPr>
          <w:p w14:paraId="37A911E9">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小额维修费（单项维修材料费1000元以下、含税）</w:t>
            </w:r>
          </w:p>
        </w:tc>
        <w:tc>
          <w:tcPr>
            <w:tcW w:w="1732" w:type="dxa"/>
            <w:vAlign w:val="center"/>
          </w:tcPr>
          <w:p w14:paraId="461C2011">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p>
        </w:tc>
        <w:tc>
          <w:tcPr>
            <w:tcW w:w="2427" w:type="dxa"/>
            <w:vAlign w:val="center"/>
          </w:tcPr>
          <w:p w14:paraId="7FF741A7">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p>
        </w:tc>
      </w:tr>
      <w:tr w14:paraId="11777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626FDBA8">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5</w:t>
            </w:r>
          </w:p>
        </w:tc>
        <w:tc>
          <w:tcPr>
            <w:tcW w:w="4950" w:type="dxa"/>
            <w:vAlign w:val="center"/>
          </w:tcPr>
          <w:p w14:paraId="7C04F72A">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预防性试验费（2年1次、含税）</w:t>
            </w:r>
          </w:p>
        </w:tc>
        <w:tc>
          <w:tcPr>
            <w:tcW w:w="1732" w:type="dxa"/>
            <w:vAlign w:val="center"/>
          </w:tcPr>
          <w:p w14:paraId="0C8893ED">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p>
        </w:tc>
        <w:tc>
          <w:tcPr>
            <w:tcW w:w="2427" w:type="dxa"/>
            <w:vAlign w:val="center"/>
          </w:tcPr>
          <w:p w14:paraId="6A87D494">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年报价按50%的比例</w:t>
            </w:r>
          </w:p>
        </w:tc>
      </w:tr>
      <w:tr w14:paraId="39052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24D8AEDD">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6</w:t>
            </w:r>
          </w:p>
        </w:tc>
        <w:tc>
          <w:tcPr>
            <w:tcW w:w="4950" w:type="dxa"/>
            <w:vAlign w:val="center"/>
          </w:tcPr>
          <w:p w14:paraId="6EF38FA4">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工具费（含定期检测费、含税）</w:t>
            </w:r>
          </w:p>
        </w:tc>
        <w:tc>
          <w:tcPr>
            <w:tcW w:w="1732" w:type="dxa"/>
            <w:vAlign w:val="center"/>
          </w:tcPr>
          <w:p w14:paraId="63BCCDCA">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p>
        </w:tc>
        <w:tc>
          <w:tcPr>
            <w:tcW w:w="2427" w:type="dxa"/>
            <w:vAlign w:val="center"/>
          </w:tcPr>
          <w:p w14:paraId="2AF43834">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p>
        </w:tc>
      </w:tr>
      <w:tr w14:paraId="57801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1AAD123A">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7</w:t>
            </w:r>
          </w:p>
        </w:tc>
        <w:tc>
          <w:tcPr>
            <w:tcW w:w="4950" w:type="dxa"/>
            <w:vAlign w:val="center"/>
          </w:tcPr>
          <w:p w14:paraId="638C9F99">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办公费（含税）</w:t>
            </w:r>
          </w:p>
        </w:tc>
        <w:tc>
          <w:tcPr>
            <w:tcW w:w="1732" w:type="dxa"/>
            <w:vAlign w:val="center"/>
          </w:tcPr>
          <w:p w14:paraId="1B447720">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p>
        </w:tc>
        <w:tc>
          <w:tcPr>
            <w:tcW w:w="2427" w:type="dxa"/>
            <w:vAlign w:val="center"/>
          </w:tcPr>
          <w:p w14:paraId="6E96FC28">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p>
        </w:tc>
      </w:tr>
      <w:tr w14:paraId="1B7B3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1597DD62">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8</w:t>
            </w:r>
          </w:p>
        </w:tc>
        <w:tc>
          <w:tcPr>
            <w:tcW w:w="4950" w:type="dxa"/>
            <w:vAlign w:val="center"/>
          </w:tcPr>
          <w:p w14:paraId="32AE3D2B">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其他（含税）</w:t>
            </w:r>
          </w:p>
        </w:tc>
        <w:tc>
          <w:tcPr>
            <w:tcW w:w="1732" w:type="dxa"/>
            <w:vAlign w:val="center"/>
          </w:tcPr>
          <w:p w14:paraId="47926F12">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p>
        </w:tc>
        <w:tc>
          <w:tcPr>
            <w:tcW w:w="2427" w:type="dxa"/>
            <w:vAlign w:val="center"/>
          </w:tcPr>
          <w:p w14:paraId="6477BD81">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p>
        </w:tc>
      </w:tr>
      <w:tr w14:paraId="48392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tcPr>
          <w:p w14:paraId="3ECC6042">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p>
        </w:tc>
        <w:tc>
          <w:tcPr>
            <w:tcW w:w="4950" w:type="dxa"/>
          </w:tcPr>
          <w:p w14:paraId="4072B00E">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合    计</w:t>
            </w:r>
          </w:p>
        </w:tc>
        <w:tc>
          <w:tcPr>
            <w:tcW w:w="1732" w:type="dxa"/>
          </w:tcPr>
          <w:p w14:paraId="2647FA6B">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p>
        </w:tc>
        <w:tc>
          <w:tcPr>
            <w:tcW w:w="2427" w:type="dxa"/>
          </w:tcPr>
          <w:p w14:paraId="1391382E">
            <w:pPr>
              <w:numPr>
                <w:ilvl w:val="0"/>
                <w:numId w:val="0"/>
              </w:numPr>
              <w:spacing w:line="276" w:lineRule="auto"/>
              <w:jc w:val="center"/>
              <w:rPr>
                <w:rFonts w:hint="eastAsia" w:ascii="宋体" w:hAnsi="宋体" w:eastAsia="宋体" w:cs="宋体"/>
                <w:b/>
                <w:bCs/>
                <w:color w:val="auto"/>
                <w:sz w:val="24"/>
                <w:szCs w:val="24"/>
                <w:highlight w:val="none"/>
                <w:vertAlign w:val="baseline"/>
                <w:lang w:val="en-US" w:eastAsia="zh-CN"/>
              </w:rPr>
            </w:pPr>
          </w:p>
        </w:tc>
      </w:tr>
    </w:tbl>
    <w:p w14:paraId="1CCE4185">
      <w:pPr>
        <w:spacing w:line="276" w:lineRule="auto"/>
        <w:jc w:val="center"/>
        <w:outlineLvl w:val="0"/>
        <w:rPr>
          <w:rFonts w:ascii="黑体" w:hAnsi="黑体" w:eastAsia="黑体"/>
          <w:color w:val="auto"/>
          <w:sz w:val="28"/>
          <w:szCs w:val="28"/>
          <w:highlight w:val="none"/>
        </w:rPr>
      </w:pPr>
      <w:r>
        <w:rPr>
          <w:rFonts w:ascii="宋体" w:hAnsi="宋体"/>
          <w:color w:val="auto"/>
          <w:kern w:val="0"/>
          <w:szCs w:val="21"/>
          <w:highlight w:val="none"/>
        </w:rPr>
        <w:br w:type="page"/>
      </w:r>
      <w:bookmarkStart w:id="71" w:name="_Toc97815014"/>
      <w:bookmarkStart w:id="72" w:name="_Toc29738"/>
      <w:r>
        <w:rPr>
          <w:rFonts w:hint="eastAsia" w:ascii="黑体" w:hAnsi="黑体" w:eastAsia="黑体"/>
          <w:color w:val="auto"/>
          <w:sz w:val="28"/>
          <w:szCs w:val="28"/>
          <w:highlight w:val="none"/>
        </w:rPr>
        <w:t>第四章  资格审查方法及标准</w:t>
      </w:r>
      <w:bookmarkEnd w:id="71"/>
      <w:bookmarkEnd w:id="72"/>
    </w:p>
    <w:p w14:paraId="40AA4B35">
      <w:pPr>
        <w:spacing w:line="276" w:lineRule="auto"/>
        <w:ind w:firstLine="420"/>
        <w:rPr>
          <w:rFonts w:ascii="宋体" w:hAnsi="宋体"/>
          <w:bCs/>
          <w:color w:val="auto"/>
          <w:szCs w:val="21"/>
          <w:highlight w:val="none"/>
          <w:lang w:val="zh-CN"/>
        </w:rPr>
      </w:pPr>
      <w:r>
        <w:rPr>
          <w:rFonts w:hint="eastAsia" w:ascii="宋体" w:hAnsi="宋体"/>
          <w:bCs/>
          <w:color w:val="auto"/>
          <w:szCs w:val="21"/>
          <w:highlight w:val="none"/>
          <w:lang w:val="zh-CN"/>
        </w:rPr>
        <w:t>根据《中华人民共和国政府采购法》、《中华人民共和国政府采购法实施条例》、《政府采购货物和服务招标投标管理办法》（财政部令第87号）等相关法律法规确定以下资格审查方法及标准。</w:t>
      </w:r>
    </w:p>
    <w:p w14:paraId="41272FDE">
      <w:pPr>
        <w:keepNext/>
        <w:keepLines/>
        <w:numPr>
          <w:ilvl w:val="0"/>
          <w:numId w:val="38"/>
        </w:numPr>
        <w:spacing w:line="276" w:lineRule="auto"/>
        <w:ind w:left="616" w:hanging="616"/>
        <w:jc w:val="left"/>
        <w:outlineLvl w:val="1"/>
        <w:rPr>
          <w:rFonts w:ascii="宋体" w:hAnsi="宋体"/>
          <w:b/>
          <w:color w:val="auto"/>
          <w:kern w:val="0"/>
          <w:szCs w:val="21"/>
          <w:highlight w:val="none"/>
          <w:lang w:val="zh-CN"/>
        </w:rPr>
      </w:pPr>
      <w:bookmarkStart w:id="73" w:name="_Toc494561958"/>
      <w:bookmarkStart w:id="74" w:name="_Toc97815015"/>
      <w:bookmarkStart w:id="75" w:name="_Toc1752"/>
      <w:r>
        <w:rPr>
          <w:rFonts w:hint="eastAsia" w:ascii="宋体" w:hAnsi="宋体"/>
          <w:b/>
          <w:color w:val="auto"/>
          <w:kern w:val="0"/>
          <w:szCs w:val="21"/>
          <w:highlight w:val="none"/>
          <w:lang w:val="zh-CN"/>
        </w:rPr>
        <w:t>资格审查方法</w:t>
      </w:r>
      <w:bookmarkEnd w:id="73"/>
      <w:bookmarkEnd w:id="74"/>
      <w:bookmarkEnd w:id="75"/>
    </w:p>
    <w:p w14:paraId="31F426AA">
      <w:pPr>
        <w:spacing w:line="276" w:lineRule="auto"/>
        <w:ind w:firstLine="420"/>
        <w:rPr>
          <w:rFonts w:ascii="宋体" w:hAnsi="宋体"/>
          <w:bCs/>
          <w:color w:val="auto"/>
          <w:szCs w:val="21"/>
          <w:highlight w:val="none"/>
          <w:lang w:val="zh-CN"/>
        </w:rPr>
      </w:pPr>
      <w:r>
        <w:rPr>
          <w:rFonts w:hint="eastAsia" w:ascii="宋体" w:hAnsi="宋体"/>
          <w:bCs/>
          <w:color w:val="auto"/>
          <w:szCs w:val="21"/>
          <w:highlight w:val="none"/>
          <w:lang w:val="zh-CN"/>
        </w:rPr>
        <w:t>开标结束后，</w:t>
      </w:r>
      <w:r>
        <w:rPr>
          <w:rFonts w:hint="eastAsia"/>
          <w:color w:val="auto"/>
          <w:highlight w:val="none"/>
          <w:shd w:val="clear" w:color="auto" w:fill="FFFFFF"/>
        </w:rPr>
        <w:t>采购人与采购代理机构依法对投标人的资格进行审查</w:t>
      </w:r>
      <w:r>
        <w:rPr>
          <w:rFonts w:hint="eastAsia" w:ascii="宋体" w:hAnsi="宋体"/>
          <w:bCs/>
          <w:color w:val="auto"/>
          <w:szCs w:val="21"/>
          <w:highlight w:val="none"/>
          <w:lang w:val="zh-CN"/>
        </w:rPr>
        <w:t>，具体评审因素详见《资格审查表</w:t>
      </w:r>
      <w:r>
        <w:rPr>
          <w:rFonts w:ascii="宋体" w:hAnsi="宋体"/>
          <w:bCs/>
          <w:color w:val="auto"/>
          <w:szCs w:val="21"/>
          <w:highlight w:val="none"/>
          <w:lang w:val="zh-CN"/>
        </w:rPr>
        <w:t>》</w:t>
      </w:r>
      <w:r>
        <w:rPr>
          <w:rFonts w:hint="eastAsia" w:ascii="宋体" w:hAnsi="宋体"/>
          <w:bCs/>
          <w:color w:val="auto"/>
          <w:szCs w:val="21"/>
          <w:highlight w:val="none"/>
          <w:lang w:val="zh-CN"/>
        </w:rPr>
        <w:t>。</w:t>
      </w:r>
    </w:p>
    <w:p w14:paraId="19D3B89E">
      <w:pPr>
        <w:keepNext/>
        <w:keepLines/>
        <w:numPr>
          <w:ilvl w:val="0"/>
          <w:numId w:val="38"/>
        </w:numPr>
        <w:spacing w:line="276" w:lineRule="auto"/>
        <w:ind w:left="616" w:hanging="616"/>
        <w:jc w:val="left"/>
        <w:outlineLvl w:val="1"/>
        <w:rPr>
          <w:rFonts w:ascii="宋体" w:hAnsi="宋体"/>
          <w:b/>
          <w:color w:val="auto"/>
          <w:kern w:val="0"/>
          <w:szCs w:val="21"/>
          <w:highlight w:val="none"/>
          <w:lang w:val="zh-CN"/>
        </w:rPr>
      </w:pPr>
      <w:bookmarkStart w:id="76" w:name="_Toc494561959"/>
      <w:bookmarkStart w:id="77" w:name="_Toc97815016"/>
      <w:bookmarkStart w:id="78" w:name="_Toc25068"/>
      <w:r>
        <w:rPr>
          <w:rFonts w:hint="eastAsia" w:ascii="宋体" w:hAnsi="宋体"/>
          <w:b/>
          <w:color w:val="auto"/>
          <w:kern w:val="0"/>
          <w:szCs w:val="21"/>
          <w:highlight w:val="none"/>
          <w:lang w:val="zh-CN"/>
        </w:rPr>
        <w:t>资格审查</w:t>
      </w:r>
      <w:bookmarkEnd w:id="76"/>
      <w:r>
        <w:rPr>
          <w:rFonts w:hint="eastAsia" w:ascii="宋体" w:hAnsi="宋体"/>
          <w:b/>
          <w:color w:val="auto"/>
          <w:kern w:val="0"/>
          <w:szCs w:val="21"/>
          <w:highlight w:val="none"/>
          <w:lang w:val="zh-CN"/>
        </w:rPr>
        <w:t>表</w:t>
      </w:r>
      <w:bookmarkEnd w:id="77"/>
      <w:bookmarkEnd w:id="78"/>
    </w:p>
    <w:tbl>
      <w:tblPr>
        <w:tblStyle w:val="22"/>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2"/>
        <w:gridCol w:w="851"/>
        <w:gridCol w:w="2835"/>
        <w:gridCol w:w="5518"/>
      </w:tblGrid>
      <w:tr w14:paraId="0DCAE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29EE5C12">
            <w:pPr>
              <w:tabs>
                <w:tab w:val="left" w:pos="616"/>
              </w:tabs>
              <w:spacing w:line="276" w:lineRule="auto"/>
              <w:jc w:val="center"/>
              <w:rPr>
                <w:rFonts w:ascii="宋体" w:hAnsi="宋体"/>
                <w:b/>
                <w:color w:val="auto"/>
                <w:kern w:val="0"/>
                <w:szCs w:val="21"/>
                <w:highlight w:val="none"/>
                <w:lang w:val="zh-CN"/>
              </w:rPr>
            </w:pPr>
            <w:r>
              <w:rPr>
                <w:rFonts w:hint="eastAsia" w:ascii="宋体" w:hAnsi="宋体"/>
                <w:b/>
                <w:color w:val="auto"/>
                <w:kern w:val="0"/>
                <w:szCs w:val="21"/>
                <w:highlight w:val="none"/>
                <w:lang w:val="zh-CN"/>
              </w:rPr>
              <w:t>序号</w:t>
            </w:r>
          </w:p>
        </w:tc>
        <w:tc>
          <w:tcPr>
            <w:tcW w:w="3686" w:type="dxa"/>
            <w:gridSpan w:val="2"/>
            <w:vAlign w:val="center"/>
          </w:tcPr>
          <w:p w14:paraId="2FF25B35">
            <w:pPr>
              <w:adjustRightInd w:val="0"/>
              <w:snapToGrid w:val="0"/>
              <w:spacing w:line="276" w:lineRule="auto"/>
              <w:jc w:val="center"/>
              <w:rPr>
                <w:rFonts w:ascii="宋体" w:hAnsi="宋体"/>
                <w:b/>
                <w:color w:val="auto"/>
                <w:kern w:val="0"/>
                <w:szCs w:val="21"/>
                <w:highlight w:val="none"/>
                <w:lang w:val="zh-CN"/>
              </w:rPr>
            </w:pPr>
            <w:r>
              <w:rPr>
                <w:rFonts w:hint="eastAsia" w:ascii="宋体" w:hAnsi="宋体"/>
                <w:b/>
                <w:color w:val="auto"/>
                <w:kern w:val="0"/>
                <w:szCs w:val="21"/>
                <w:highlight w:val="none"/>
                <w:lang w:val="zh-CN"/>
              </w:rPr>
              <w:t>资格</w:t>
            </w:r>
            <w:r>
              <w:rPr>
                <w:rFonts w:ascii="宋体" w:hAnsi="宋体"/>
                <w:b/>
                <w:color w:val="auto"/>
                <w:kern w:val="0"/>
                <w:szCs w:val="21"/>
                <w:highlight w:val="none"/>
                <w:lang w:val="zh-CN"/>
              </w:rPr>
              <w:t>要求</w:t>
            </w:r>
          </w:p>
        </w:tc>
        <w:tc>
          <w:tcPr>
            <w:tcW w:w="5518" w:type="dxa"/>
            <w:vAlign w:val="center"/>
          </w:tcPr>
          <w:p w14:paraId="6E165CF0">
            <w:pPr>
              <w:tabs>
                <w:tab w:val="left" w:pos="616"/>
              </w:tabs>
              <w:jc w:val="center"/>
              <w:rPr>
                <w:rFonts w:ascii="宋体" w:hAnsi="宋体"/>
                <w:b/>
                <w:color w:val="auto"/>
                <w:kern w:val="0"/>
                <w:szCs w:val="21"/>
                <w:highlight w:val="none"/>
                <w:lang w:val="zh-CN"/>
              </w:rPr>
            </w:pPr>
            <w:r>
              <w:rPr>
                <w:rFonts w:hint="eastAsia" w:ascii="宋体" w:hAnsi="宋体"/>
                <w:b/>
                <w:color w:val="auto"/>
                <w:kern w:val="0"/>
                <w:szCs w:val="21"/>
                <w:highlight w:val="none"/>
                <w:lang w:val="zh-CN"/>
              </w:rPr>
              <w:t>需</w:t>
            </w:r>
            <w:r>
              <w:rPr>
                <w:rFonts w:ascii="宋体" w:hAnsi="宋体"/>
                <w:b/>
                <w:color w:val="auto"/>
                <w:kern w:val="0"/>
                <w:szCs w:val="21"/>
                <w:highlight w:val="none"/>
                <w:lang w:val="zh-CN"/>
              </w:rPr>
              <w:t>提供的资料</w:t>
            </w:r>
          </w:p>
        </w:tc>
      </w:tr>
      <w:tr w14:paraId="47E5F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restart"/>
            <w:vAlign w:val="center"/>
          </w:tcPr>
          <w:p w14:paraId="05AC6FAF">
            <w:pPr>
              <w:tabs>
                <w:tab w:val="left" w:pos="616"/>
              </w:tabs>
              <w:spacing w:line="276" w:lineRule="auto"/>
              <w:rPr>
                <w:rFonts w:ascii="宋体" w:hAnsi="宋体"/>
                <w:color w:val="auto"/>
                <w:kern w:val="0"/>
                <w:szCs w:val="21"/>
                <w:highlight w:val="none"/>
                <w:lang w:val="zh-CN"/>
              </w:rPr>
            </w:pPr>
            <w:r>
              <w:rPr>
                <w:rFonts w:hint="eastAsia" w:ascii="宋体" w:hAnsi="宋体"/>
                <w:color w:val="auto"/>
                <w:kern w:val="0"/>
                <w:szCs w:val="21"/>
                <w:highlight w:val="none"/>
                <w:lang w:val="zh-CN"/>
              </w:rPr>
              <w:t>1</w:t>
            </w:r>
          </w:p>
        </w:tc>
        <w:tc>
          <w:tcPr>
            <w:tcW w:w="851" w:type="dxa"/>
            <w:vMerge w:val="restart"/>
            <w:vAlign w:val="center"/>
          </w:tcPr>
          <w:p w14:paraId="2962B714">
            <w:pPr>
              <w:spacing w:line="276" w:lineRule="auto"/>
              <w:rPr>
                <w:rFonts w:ascii="宋体" w:hAnsi="宋体"/>
                <w:color w:val="auto"/>
                <w:kern w:val="0"/>
                <w:szCs w:val="21"/>
                <w:highlight w:val="none"/>
                <w:lang w:val="zh-CN"/>
              </w:rPr>
            </w:pPr>
            <w:r>
              <w:rPr>
                <w:rFonts w:hint="eastAsia" w:ascii="宋体" w:hAnsi="宋体"/>
                <w:color w:val="auto"/>
                <w:kern w:val="0"/>
                <w:szCs w:val="21"/>
                <w:highlight w:val="none"/>
                <w:lang w:val="zh-CN"/>
              </w:rPr>
              <w:t>符合《中华人民共和国政府采购法》第二十二条的规定</w:t>
            </w:r>
          </w:p>
        </w:tc>
        <w:tc>
          <w:tcPr>
            <w:tcW w:w="2835" w:type="dxa"/>
            <w:vAlign w:val="center"/>
          </w:tcPr>
          <w:p w14:paraId="6AA31021">
            <w:pPr>
              <w:adjustRightInd w:val="0"/>
              <w:snapToGrid w:val="0"/>
              <w:spacing w:line="276" w:lineRule="auto"/>
              <w:rPr>
                <w:rFonts w:ascii="宋体" w:hAnsi="宋体" w:cs="宋体"/>
                <w:color w:val="auto"/>
                <w:kern w:val="0"/>
                <w:szCs w:val="21"/>
                <w:highlight w:val="none"/>
              </w:rPr>
            </w:pPr>
            <w:r>
              <w:rPr>
                <w:rFonts w:hint="eastAsia" w:ascii="宋体" w:hAnsi="宋体" w:cs="宋体"/>
                <w:color w:val="auto"/>
                <w:kern w:val="0"/>
                <w:szCs w:val="21"/>
                <w:highlight w:val="none"/>
              </w:rPr>
              <w:t>1.1 具有独立承担民事责任的能力；</w:t>
            </w:r>
          </w:p>
        </w:tc>
        <w:tc>
          <w:tcPr>
            <w:tcW w:w="5518" w:type="dxa"/>
            <w:vAlign w:val="center"/>
          </w:tcPr>
          <w:p w14:paraId="11067A47">
            <w:pPr>
              <w:numPr>
                <w:ilvl w:val="0"/>
                <w:numId w:val="39"/>
              </w:numPr>
              <w:rPr>
                <w:rFonts w:ascii="宋体" w:hAnsi="宋体"/>
                <w:color w:val="auto"/>
                <w:kern w:val="0"/>
                <w:szCs w:val="21"/>
                <w:highlight w:val="none"/>
              </w:rPr>
            </w:pPr>
            <w:r>
              <w:rPr>
                <w:rFonts w:ascii="宋体" w:hAnsi="宋体"/>
                <w:color w:val="auto"/>
                <w:kern w:val="0"/>
                <w:szCs w:val="21"/>
                <w:highlight w:val="none"/>
              </w:rPr>
              <w:t>企业（包括合伙企业）提供有效</w:t>
            </w:r>
            <w:r>
              <w:rPr>
                <w:rFonts w:hint="eastAsia" w:ascii="宋体" w:hAnsi="宋体"/>
                <w:color w:val="auto"/>
                <w:kern w:val="0"/>
                <w:szCs w:val="21"/>
                <w:highlight w:val="none"/>
              </w:rPr>
              <w:t>“</w:t>
            </w:r>
            <w:r>
              <w:rPr>
                <w:rFonts w:ascii="宋体" w:hAnsi="宋体"/>
                <w:color w:val="auto"/>
                <w:kern w:val="0"/>
                <w:szCs w:val="21"/>
                <w:highlight w:val="none"/>
              </w:rPr>
              <w:t>企业法人营业执照</w:t>
            </w:r>
            <w:r>
              <w:rPr>
                <w:rFonts w:hint="eastAsia" w:ascii="宋体" w:hAnsi="宋体"/>
                <w:color w:val="auto"/>
                <w:kern w:val="0"/>
                <w:szCs w:val="21"/>
                <w:highlight w:val="none"/>
              </w:rPr>
              <w:t>”</w:t>
            </w:r>
            <w:r>
              <w:rPr>
                <w:rFonts w:ascii="宋体" w:hAnsi="宋体"/>
                <w:color w:val="auto"/>
                <w:kern w:val="0"/>
                <w:szCs w:val="21"/>
                <w:highlight w:val="none"/>
              </w:rPr>
              <w:t>或</w:t>
            </w:r>
            <w:r>
              <w:rPr>
                <w:rFonts w:hint="eastAsia" w:ascii="宋体" w:hAnsi="宋体"/>
                <w:color w:val="auto"/>
                <w:kern w:val="0"/>
                <w:szCs w:val="21"/>
                <w:highlight w:val="none"/>
              </w:rPr>
              <w:t>“</w:t>
            </w:r>
            <w:r>
              <w:rPr>
                <w:rFonts w:ascii="宋体" w:hAnsi="宋体"/>
                <w:color w:val="auto"/>
                <w:kern w:val="0"/>
                <w:szCs w:val="21"/>
                <w:highlight w:val="none"/>
              </w:rPr>
              <w:t>营业执照</w:t>
            </w:r>
            <w:r>
              <w:rPr>
                <w:rFonts w:hint="eastAsia" w:ascii="宋体" w:hAnsi="宋体"/>
                <w:color w:val="auto"/>
                <w:kern w:val="0"/>
                <w:szCs w:val="21"/>
                <w:highlight w:val="none"/>
              </w:rPr>
              <w:t>”</w:t>
            </w:r>
            <w:r>
              <w:rPr>
                <w:rFonts w:ascii="宋体" w:hAnsi="宋体"/>
                <w:color w:val="auto"/>
                <w:kern w:val="0"/>
                <w:szCs w:val="21"/>
                <w:highlight w:val="none"/>
              </w:rPr>
              <w:t>；</w:t>
            </w:r>
          </w:p>
          <w:p w14:paraId="2A9C7234">
            <w:pPr>
              <w:numPr>
                <w:ilvl w:val="0"/>
                <w:numId w:val="39"/>
              </w:numPr>
              <w:rPr>
                <w:rFonts w:ascii="宋体" w:hAnsi="宋体"/>
                <w:color w:val="auto"/>
                <w:kern w:val="0"/>
                <w:szCs w:val="21"/>
                <w:highlight w:val="none"/>
              </w:rPr>
            </w:pPr>
            <w:r>
              <w:rPr>
                <w:rFonts w:ascii="宋体" w:hAnsi="宋体"/>
                <w:color w:val="auto"/>
                <w:kern w:val="0"/>
                <w:szCs w:val="21"/>
                <w:highlight w:val="none"/>
              </w:rPr>
              <w:t>事业单位提供有效的</w:t>
            </w:r>
            <w:r>
              <w:rPr>
                <w:rFonts w:hint="eastAsia" w:ascii="宋体" w:hAnsi="宋体"/>
                <w:color w:val="auto"/>
                <w:kern w:val="0"/>
                <w:szCs w:val="21"/>
                <w:highlight w:val="none"/>
              </w:rPr>
              <w:t>“</w:t>
            </w:r>
            <w:r>
              <w:rPr>
                <w:rFonts w:ascii="宋体" w:hAnsi="宋体"/>
                <w:color w:val="auto"/>
                <w:kern w:val="0"/>
                <w:szCs w:val="21"/>
                <w:highlight w:val="none"/>
              </w:rPr>
              <w:t>事业单位法人证书</w:t>
            </w:r>
            <w:r>
              <w:rPr>
                <w:rFonts w:hint="eastAsia" w:ascii="宋体" w:hAnsi="宋体"/>
                <w:color w:val="auto"/>
                <w:kern w:val="0"/>
                <w:szCs w:val="21"/>
                <w:highlight w:val="none"/>
              </w:rPr>
              <w:t>”</w:t>
            </w:r>
            <w:r>
              <w:rPr>
                <w:rFonts w:ascii="宋体" w:hAnsi="宋体"/>
                <w:color w:val="auto"/>
                <w:kern w:val="0"/>
                <w:szCs w:val="21"/>
                <w:highlight w:val="none"/>
              </w:rPr>
              <w:t>；</w:t>
            </w:r>
          </w:p>
          <w:p w14:paraId="775E1B42">
            <w:pPr>
              <w:numPr>
                <w:ilvl w:val="0"/>
                <w:numId w:val="39"/>
              </w:numPr>
              <w:rPr>
                <w:rFonts w:ascii="宋体" w:hAnsi="宋体"/>
                <w:color w:val="auto"/>
                <w:kern w:val="0"/>
                <w:szCs w:val="21"/>
                <w:highlight w:val="none"/>
              </w:rPr>
            </w:pPr>
            <w:r>
              <w:rPr>
                <w:rFonts w:ascii="宋体" w:hAnsi="宋体"/>
                <w:color w:val="auto"/>
                <w:kern w:val="0"/>
                <w:szCs w:val="21"/>
                <w:highlight w:val="none"/>
              </w:rPr>
              <w:t>非企业专业服务机构提供有效的</w:t>
            </w:r>
            <w:r>
              <w:rPr>
                <w:rFonts w:hint="eastAsia" w:ascii="宋体" w:hAnsi="宋体"/>
                <w:color w:val="auto"/>
                <w:kern w:val="0"/>
                <w:szCs w:val="21"/>
                <w:highlight w:val="none"/>
              </w:rPr>
              <w:t>“</w:t>
            </w:r>
            <w:r>
              <w:rPr>
                <w:rFonts w:ascii="宋体" w:hAnsi="宋体"/>
                <w:color w:val="auto"/>
                <w:kern w:val="0"/>
                <w:szCs w:val="21"/>
                <w:highlight w:val="none"/>
              </w:rPr>
              <w:t>执业许可证</w:t>
            </w:r>
            <w:r>
              <w:rPr>
                <w:rFonts w:hint="eastAsia" w:ascii="宋体" w:hAnsi="宋体"/>
                <w:color w:val="auto"/>
                <w:kern w:val="0"/>
                <w:szCs w:val="21"/>
                <w:highlight w:val="none"/>
              </w:rPr>
              <w:t>”</w:t>
            </w:r>
            <w:r>
              <w:rPr>
                <w:rFonts w:ascii="宋体" w:hAnsi="宋体"/>
                <w:color w:val="auto"/>
                <w:kern w:val="0"/>
                <w:szCs w:val="21"/>
                <w:highlight w:val="none"/>
              </w:rPr>
              <w:t>等证明文件；</w:t>
            </w:r>
          </w:p>
          <w:p w14:paraId="2D6BE65C">
            <w:pPr>
              <w:numPr>
                <w:ilvl w:val="0"/>
                <w:numId w:val="39"/>
              </w:numPr>
              <w:rPr>
                <w:rFonts w:ascii="宋体" w:hAnsi="宋体"/>
                <w:color w:val="auto"/>
                <w:kern w:val="0"/>
                <w:szCs w:val="21"/>
                <w:highlight w:val="none"/>
              </w:rPr>
            </w:pPr>
            <w:r>
              <w:rPr>
                <w:rFonts w:ascii="宋体" w:hAnsi="宋体"/>
                <w:color w:val="auto"/>
                <w:kern w:val="0"/>
                <w:szCs w:val="21"/>
                <w:highlight w:val="none"/>
              </w:rPr>
              <w:t>个体工商户提供有效的</w:t>
            </w:r>
            <w:r>
              <w:rPr>
                <w:rFonts w:hint="eastAsia" w:ascii="宋体" w:hAnsi="宋体"/>
                <w:color w:val="auto"/>
                <w:kern w:val="0"/>
                <w:szCs w:val="21"/>
                <w:highlight w:val="none"/>
              </w:rPr>
              <w:t>“</w:t>
            </w:r>
            <w:r>
              <w:rPr>
                <w:rFonts w:ascii="宋体" w:hAnsi="宋体"/>
                <w:color w:val="auto"/>
                <w:kern w:val="0"/>
                <w:szCs w:val="21"/>
                <w:highlight w:val="none"/>
              </w:rPr>
              <w:t>个体工商户营业执照</w:t>
            </w:r>
            <w:r>
              <w:rPr>
                <w:rFonts w:hint="eastAsia" w:ascii="宋体" w:hAnsi="宋体"/>
                <w:color w:val="auto"/>
                <w:kern w:val="0"/>
                <w:szCs w:val="21"/>
                <w:highlight w:val="none"/>
              </w:rPr>
              <w:t>”</w:t>
            </w:r>
            <w:r>
              <w:rPr>
                <w:rFonts w:ascii="宋体" w:hAnsi="宋体"/>
                <w:color w:val="auto"/>
                <w:kern w:val="0"/>
                <w:szCs w:val="21"/>
                <w:highlight w:val="none"/>
              </w:rPr>
              <w:t>；</w:t>
            </w:r>
          </w:p>
          <w:p w14:paraId="3E1A4E68">
            <w:pPr>
              <w:numPr>
                <w:ilvl w:val="0"/>
                <w:numId w:val="39"/>
              </w:numPr>
              <w:rPr>
                <w:rFonts w:ascii="宋体" w:hAnsi="宋体"/>
                <w:color w:val="auto"/>
                <w:kern w:val="0"/>
                <w:szCs w:val="21"/>
                <w:highlight w:val="none"/>
                <w:lang w:val="zh-CN"/>
              </w:rPr>
            </w:pPr>
            <w:r>
              <w:rPr>
                <w:rFonts w:ascii="宋体" w:hAnsi="宋体"/>
                <w:color w:val="auto"/>
                <w:kern w:val="0"/>
                <w:szCs w:val="21"/>
                <w:highlight w:val="none"/>
              </w:rPr>
              <w:t>自然人提供有效的自然人身份证明。</w:t>
            </w:r>
          </w:p>
        </w:tc>
      </w:tr>
      <w:tr w14:paraId="262D6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6211D910">
            <w:pPr>
              <w:tabs>
                <w:tab w:val="left" w:pos="616"/>
              </w:tabs>
              <w:spacing w:line="276" w:lineRule="auto"/>
              <w:rPr>
                <w:rFonts w:ascii="宋体" w:hAnsi="宋体"/>
                <w:color w:val="auto"/>
                <w:kern w:val="0"/>
                <w:szCs w:val="21"/>
                <w:highlight w:val="none"/>
                <w:lang w:val="zh-CN"/>
              </w:rPr>
            </w:pPr>
          </w:p>
        </w:tc>
        <w:tc>
          <w:tcPr>
            <w:tcW w:w="851" w:type="dxa"/>
            <w:vMerge w:val="continue"/>
            <w:vAlign w:val="center"/>
          </w:tcPr>
          <w:p w14:paraId="3EB46E0F">
            <w:pPr>
              <w:tabs>
                <w:tab w:val="left" w:pos="616"/>
              </w:tabs>
              <w:spacing w:line="276" w:lineRule="auto"/>
              <w:rPr>
                <w:rFonts w:ascii="宋体" w:hAnsi="宋体"/>
                <w:color w:val="auto"/>
                <w:kern w:val="0"/>
                <w:szCs w:val="21"/>
                <w:highlight w:val="none"/>
                <w:lang w:val="zh-CN"/>
              </w:rPr>
            </w:pPr>
          </w:p>
        </w:tc>
        <w:tc>
          <w:tcPr>
            <w:tcW w:w="2835" w:type="dxa"/>
            <w:vAlign w:val="center"/>
          </w:tcPr>
          <w:p w14:paraId="42BCCD10">
            <w:pPr>
              <w:widowControl/>
              <w:adjustRightInd w:val="0"/>
              <w:snapToGrid w:val="0"/>
              <w:spacing w:line="276" w:lineRule="auto"/>
              <w:rPr>
                <w:rFonts w:ascii="宋体" w:hAnsi="宋体" w:cs="宋体"/>
                <w:color w:val="auto"/>
                <w:kern w:val="0"/>
                <w:szCs w:val="21"/>
                <w:highlight w:val="none"/>
              </w:rPr>
            </w:pPr>
            <w:r>
              <w:rPr>
                <w:rFonts w:hint="eastAsia" w:ascii="宋体" w:hAnsi="宋体" w:cs="宋体"/>
                <w:color w:val="auto"/>
                <w:kern w:val="0"/>
                <w:szCs w:val="21"/>
                <w:highlight w:val="none"/>
              </w:rPr>
              <w:t>1.2 具有良好的商业信誉和健全的财务会计制度；</w:t>
            </w:r>
          </w:p>
        </w:tc>
        <w:tc>
          <w:tcPr>
            <w:tcW w:w="5518" w:type="dxa"/>
            <w:vAlign w:val="center"/>
          </w:tcPr>
          <w:p w14:paraId="2074EB45">
            <w:pPr>
              <w:numPr>
                <w:ilvl w:val="0"/>
                <w:numId w:val="40"/>
              </w:numPr>
              <w:rPr>
                <w:rFonts w:ascii="宋体" w:hAnsi="宋体"/>
                <w:color w:val="auto"/>
                <w:kern w:val="0"/>
                <w:szCs w:val="21"/>
                <w:highlight w:val="none"/>
              </w:rPr>
            </w:pPr>
            <w:r>
              <w:rPr>
                <w:rFonts w:hint="eastAsia" w:ascii="宋体" w:hAnsi="宋体"/>
                <w:color w:val="auto"/>
                <w:kern w:val="0"/>
                <w:szCs w:val="21"/>
                <w:highlight w:val="none"/>
              </w:rPr>
              <w:t>投标人是法人的，应提供上一年度经第三方审计的财务报告（完整的财务报告，包括“三/四表一注”，即资产负债表、利润表、现金流量表、所有者权益变动表（如有）及其附注）；或其基本开户银行出具的资信证明；</w:t>
            </w:r>
          </w:p>
          <w:p w14:paraId="3B241220">
            <w:pPr>
              <w:numPr>
                <w:ilvl w:val="0"/>
                <w:numId w:val="40"/>
              </w:numPr>
              <w:rPr>
                <w:rFonts w:ascii="宋体" w:hAnsi="宋体"/>
                <w:color w:val="auto"/>
                <w:kern w:val="0"/>
                <w:szCs w:val="21"/>
                <w:highlight w:val="none"/>
              </w:rPr>
            </w:pPr>
            <w:r>
              <w:rPr>
                <w:rFonts w:hint="eastAsia" w:ascii="宋体" w:hAnsi="宋体"/>
                <w:color w:val="auto"/>
                <w:kern w:val="0"/>
                <w:szCs w:val="21"/>
                <w:highlight w:val="none"/>
              </w:rPr>
              <w:t>其他组织和自然人没有经第三方审计的财务报告的，可以提供银行出具的资信证明；</w:t>
            </w:r>
          </w:p>
          <w:p w14:paraId="7B49C15C">
            <w:pPr>
              <w:numPr>
                <w:ilvl w:val="0"/>
                <w:numId w:val="40"/>
              </w:numPr>
              <w:rPr>
                <w:rFonts w:ascii="宋体" w:hAnsi="宋体"/>
                <w:color w:val="auto"/>
                <w:kern w:val="0"/>
                <w:szCs w:val="21"/>
                <w:highlight w:val="none"/>
                <w:lang w:val="zh-CN"/>
              </w:rPr>
            </w:pPr>
            <w:r>
              <w:rPr>
                <w:rFonts w:hint="eastAsia" w:ascii="宋体" w:hAnsi="宋体"/>
                <w:color w:val="auto"/>
                <w:kern w:val="0"/>
                <w:szCs w:val="21"/>
                <w:highlight w:val="none"/>
              </w:rPr>
              <w:t>投标人没有经第三方审计的财务报告或资信证明时，也可以提供财政部门认可的政府采购专业担保机构出具的投标担保函</w:t>
            </w:r>
            <w:r>
              <w:rPr>
                <w:rFonts w:hint="eastAsia" w:ascii="宋体" w:hAnsi="宋体"/>
                <w:color w:val="auto"/>
                <w:kern w:val="0"/>
                <w:szCs w:val="21"/>
                <w:highlight w:val="none"/>
                <w:lang w:val="zh-CN"/>
              </w:rPr>
              <w:t>。</w:t>
            </w:r>
            <w:r>
              <w:rPr>
                <w:rFonts w:hint="eastAsia" w:ascii="宋体" w:hAnsi="宋体" w:cs="宋体"/>
                <w:color w:val="auto"/>
                <w:kern w:val="0"/>
                <w:szCs w:val="21"/>
                <w:highlight w:val="none"/>
              </w:rPr>
              <w:t>或提供具有良好的商业信誉和健全的财务会计制度的承诺。</w:t>
            </w:r>
          </w:p>
        </w:tc>
      </w:tr>
      <w:tr w14:paraId="07932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0CA48AF0">
            <w:pPr>
              <w:tabs>
                <w:tab w:val="left" w:pos="616"/>
              </w:tabs>
              <w:spacing w:line="276" w:lineRule="auto"/>
              <w:rPr>
                <w:rFonts w:ascii="宋体" w:hAnsi="宋体"/>
                <w:b/>
                <w:color w:val="auto"/>
                <w:kern w:val="0"/>
                <w:szCs w:val="21"/>
                <w:highlight w:val="none"/>
                <w:lang w:val="zh-CN"/>
              </w:rPr>
            </w:pPr>
          </w:p>
        </w:tc>
        <w:tc>
          <w:tcPr>
            <w:tcW w:w="851" w:type="dxa"/>
            <w:vMerge w:val="continue"/>
            <w:vAlign w:val="center"/>
          </w:tcPr>
          <w:p w14:paraId="140B0210">
            <w:pPr>
              <w:tabs>
                <w:tab w:val="left" w:pos="616"/>
              </w:tabs>
              <w:spacing w:line="276" w:lineRule="auto"/>
              <w:rPr>
                <w:rFonts w:ascii="宋体" w:hAnsi="宋体"/>
                <w:b/>
                <w:color w:val="auto"/>
                <w:kern w:val="0"/>
                <w:szCs w:val="21"/>
                <w:highlight w:val="none"/>
                <w:lang w:val="zh-CN"/>
              </w:rPr>
            </w:pPr>
          </w:p>
        </w:tc>
        <w:tc>
          <w:tcPr>
            <w:tcW w:w="2835" w:type="dxa"/>
            <w:vAlign w:val="center"/>
          </w:tcPr>
          <w:p w14:paraId="2FDAF662">
            <w:pPr>
              <w:adjustRightInd w:val="0"/>
              <w:snapToGrid w:val="0"/>
              <w:spacing w:line="276" w:lineRule="auto"/>
              <w:rPr>
                <w:rFonts w:ascii="宋体" w:hAnsi="宋体" w:cs="宋体"/>
                <w:color w:val="auto"/>
                <w:kern w:val="0"/>
                <w:szCs w:val="21"/>
                <w:highlight w:val="none"/>
              </w:rPr>
            </w:pPr>
            <w:r>
              <w:rPr>
                <w:rFonts w:hint="eastAsia" w:ascii="宋体" w:hAnsi="宋体" w:cs="宋体"/>
                <w:color w:val="auto"/>
                <w:kern w:val="0"/>
                <w:szCs w:val="21"/>
                <w:highlight w:val="none"/>
              </w:rPr>
              <w:t>1.3 具有履行合同所必需的设备和专业技术能力；</w:t>
            </w:r>
          </w:p>
        </w:tc>
        <w:tc>
          <w:tcPr>
            <w:tcW w:w="5518" w:type="dxa"/>
            <w:vAlign w:val="center"/>
          </w:tcPr>
          <w:p w14:paraId="299961C2">
            <w:pPr>
              <w:numPr>
                <w:ilvl w:val="0"/>
                <w:numId w:val="41"/>
              </w:numPr>
              <w:rPr>
                <w:rFonts w:ascii="宋体" w:hAnsi="宋体"/>
                <w:color w:val="auto"/>
                <w:kern w:val="0"/>
                <w:szCs w:val="21"/>
                <w:highlight w:val="none"/>
              </w:rPr>
            </w:pPr>
            <w:r>
              <w:rPr>
                <w:rFonts w:hint="eastAsia" w:ascii="宋体" w:hAnsi="宋体"/>
                <w:color w:val="auto"/>
                <w:kern w:val="0"/>
                <w:szCs w:val="21"/>
                <w:highlight w:val="none"/>
                <w:lang w:val="zh-CN"/>
              </w:rPr>
              <w:t>提</w:t>
            </w:r>
            <w:r>
              <w:rPr>
                <w:rFonts w:hint="eastAsia" w:ascii="宋体" w:hAnsi="宋体"/>
                <w:color w:val="auto"/>
                <w:kern w:val="0"/>
                <w:szCs w:val="21"/>
                <w:highlight w:val="none"/>
              </w:rPr>
              <w:t>供具备足够数量的设施设备的证明材料和</w:t>
            </w:r>
            <w:r>
              <w:rPr>
                <w:rFonts w:hint="eastAsia" w:ascii="宋体" w:hAnsi="宋体"/>
                <w:color w:val="auto"/>
                <w:kern w:val="0"/>
                <w:szCs w:val="21"/>
                <w:highlight w:val="none"/>
                <w:lang w:val="zh-CN"/>
              </w:rPr>
              <w:t>具备足够数量的技术人员的证明材料</w:t>
            </w:r>
            <w:r>
              <w:rPr>
                <w:rFonts w:hint="eastAsia" w:ascii="宋体" w:hAnsi="宋体"/>
                <w:color w:val="auto"/>
                <w:kern w:val="0"/>
                <w:szCs w:val="21"/>
                <w:highlight w:val="none"/>
              </w:rPr>
              <w:t>；</w:t>
            </w:r>
          </w:p>
          <w:p w14:paraId="0F15F290">
            <w:pPr>
              <w:numPr>
                <w:ilvl w:val="0"/>
                <w:numId w:val="41"/>
              </w:numPr>
              <w:rPr>
                <w:rFonts w:ascii="宋体" w:hAnsi="宋体"/>
                <w:color w:val="auto"/>
                <w:kern w:val="0"/>
                <w:szCs w:val="21"/>
                <w:highlight w:val="none"/>
                <w:lang w:val="zh-CN"/>
              </w:rPr>
            </w:pPr>
            <w:r>
              <w:rPr>
                <w:rFonts w:hint="eastAsia" w:ascii="宋体" w:hAnsi="宋体"/>
                <w:color w:val="auto"/>
                <w:kern w:val="0"/>
                <w:szCs w:val="21"/>
                <w:highlight w:val="none"/>
                <w:lang w:val="zh-CN"/>
              </w:rPr>
              <w:t>或提供</w:t>
            </w:r>
            <w:r>
              <w:rPr>
                <w:rFonts w:hint="eastAsia" w:ascii="宋体" w:hAnsi="宋体" w:cs="宋体"/>
                <w:color w:val="auto"/>
                <w:kern w:val="0"/>
                <w:szCs w:val="21"/>
                <w:highlight w:val="none"/>
              </w:rPr>
              <w:t>具有履行合同所必需的设备和专业技术能力的</w:t>
            </w:r>
            <w:r>
              <w:rPr>
                <w:rFonts w:hint="eastAsia" w:ascii="宋体" w:hAnsi="宋体"/>
                <w:color w:val="auto"/>
                <w:kern w:val="0"/>
                <w:szCs w:val="21"/>
                <w:highlight w:val="none"/>
                <w:lang w:val="zh-CN"/>
              </w:rPr>
              <w:t>承诺。</w:t>
            </w:r>
          </w:p>
        </w:tc>
      </w:tr>
      <w:tr w14:paraId="109CC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2D19908F">
            <w:pPr>
              <w:tabs>
                <w:tab w:val="left" w:pos="616"/>
              </w:tabs>
              <w:spacing w:line="276" w:lineRule="auto"/>
              <w:rPr>
                <w:rFonts w:ascii="宋体" w:hAnsi="宋体"/>
                <w:b/>
                <w:color w:val="auto"/>
                <w:kern w:val="0"/>
                <w:szCs w:val="21"/>
                <w:highlight w:val="none"/>
                <w:lang w:val="zh-CN"/>
              </w:rPr>
            </w:pPr>
          </w:p>
        </w:tc>
        <w:tc>
          <w:tcPr>
            <w:tcW w:w="851" w:type="dxa"/>
            <w:vMerge w:val="continue"/>
            <w:vAlign w:val="center"/>
          </w:tcPr>
          <w:p w14:paraId="3BFB8D00">
            <w:pPr>
              <w:tabs>
                <w:tab w:val="left" w:pos="616"/>
              </w:tabs>
              <w:spacing w:line="276" w:lineRule="auto"/>
              <w:rPr>
                <w:rFonts w:ascii="宋体" w:hAnsi="宋体"/>
                <w:b/>
                <w:color w:val="auto"/>
                <w:kern w:val="0"/>
                <w:szCs w:val="21"/>
                <w:highlight w:val="none"/>
                <w:lang w:val="zh-CN"/>
              </w:rPr>
            </w:pPr>
          </w:p>
        </w:tc>
        <w:tc>
          <w:tcPr>
            <w:tcW w:w="2835" w:type="dxa"/>
            <w:vAlign w:val="center"/>
          </w:tcPr>
          <w:p w14:paraId="03773B32">
            <w:pPr>
              <w:widowControl/>
              <w:adjustRightInd w:val="0"/>
              <w:snapToGrid w:val="0"/>
              <w:spacing w:line="276" w:lineRule="auto"/>
              <w:rPr>
                <w:rFonts w:ascii="宋体" w:hAnsi="宋体" w:cs="宋体"/>
                <w:color w:val="auto"/>
                <w:kern w:val="0"/>
                <w:szCs w:val="21"/>
                <w:highlight w:val="none"/>
              </w:rPr>
            </w:pPr>
            <w:r>
              <w:rPr>
                <w:rFonts w:hint="eastAsia" w:ascii="宋体" w:hAnsi="宋体" w:cs="宋体"/>
                <w:color w:val="auto"/>
                <w:kern w:val="0"/>
                <w:szCs w:val="21"/>
                <w:highlight w:val="none"/>
              </w:rPr>
              <w:t>1.4 有依法缴纳税收和社会保障资金的良好记录；</w:t>
            </w:r>
          </w:p>
        </w:tc>
        <w:tc>
          <w:tcPr>
            <w:tcW w:w="5518" w:type="dxa"/>
            <w:vAlign w:val="center"/>
          </w:tcPr>
          <w:p w14:paraId="7977522E">
            <w:pPr>
              <w:numPr>
                <w:ilvl w:val="0"/>
                <w:numId w:val="42"/>
              </w:numPr>
              <w:rPr>
                <w:rFonts w:ascii="宋体" w:hAnsi="宋体"/>
                <w:color w:val="auto"/>
                <w:kern w:val="0"/>
                <w:szCs w:val="21"/>
                <w:highlight w:val="none"/>
              </w:rPr>
            </w:pPr>
            <w:r>
              <w:rPr>
                <w:rFonts w:hint="eastAsia" w:ascii="宋体" w:hAnsi="宋体"/>
                <w:color w:val="auto"/>
                <w:kern w:val="0"/>
                <w:szCs w:val="21"/>
                <w:highlight w:val="none"/>
                <w:lang w:val="zh-CN"/>
              </w:rPr>
              <w:t>提供投标人近6个月</w:t>
            </w:r>
            <w:r>
              <w:rPr>
                <w:rFonts w:ascii="宋体" w:hAnsi="宋体"/>
                <w:color w:val="auto"/>
                <w:kern w:val="0"/>
                <w:szCs w:val="21"/>
                <w:highlight w:val="none"/>
                <w:lang w:val="zh-CN"/>
              </w:rPr>
              <w:t>内任意</w:t>
            </w:r>
            <w:r>
              <w:rPr>
                <w:rFonts w:hint="eastAsia" w:ascii="宋体" w:hAnsi="宋体"/>
                <w:color w:val="auto"/>
                <w:kern w:val="0"/>
                <w:szCs w:val="21"/>
                <w:highlight w:val="none"/>
                <w:lang w:val="zh-CN"/>
              </w:rPr>
              <w:t>1</w:t>
            </w:r>
            <w:r>
              <w:rPr>
                <w:rFonts w:ascii="宋体" w:hAnsi="宋体"/>
                <w:color w:val="auto"/>
                <w:kern w:val="0"/>
                <w:szCs w:val="21"/>
                <w:highlight w:val="none"/>
                <w:lang w:val="zh-CN"/>
              </w:rPr>
              <w:t>个月</w:t>
            </w:r>
            <w:r>
              <w:rPr>
                <w:rFonts w:hint="eastAsia" w:ascii="宋体" w:hAnsi="宋体"/>
                <w:color w:val="auto"/>
                <w:kern w:val="0"/>
                <w:szCs w:val="21"/>
                <w:highlight w:val="none"/>
                <w:lang w:val="zh-CN"/>
              </w:rPr>
              <w:t>依法缴纳</w:t>
            </w:r>
            <w:r>
              <w:rPr>
                <w:rFonts w:hint="eastAsia" w:ascii="宋体" w:hAnsi="宋体"/>
                <w:color w:val="auto"/>
                <w:kern w:val="0"/>
                <w:szCs w:val="21"/>
                <w:highlight w:val="none"/>
              </w:rPr>
              <w:t>税收的凭据（完税证、缴款书、银行代扣（代缴）转账凭证等均可）；</w:t>
            </w:r>
            <w:r>
              <w:rPr>
                <w:rFonts w:hint="eastAsia" w:ascii="宋体" w:hAnsi="宋体"/>
                <w:b/>
                <w:bCs/>
                <w:color w:val="auto"/>
                <w:kern w:val="0"/>
                <w:szCs w:val="21"/>
                <w:highlight w:val="none"/>
              </w:rPr>
              <w:t>且需</w:t>
            </w:r>
            <w:r>
              <w:rPr>
                <w:rFonts w:hint="eastAsia" w:ascii="宋体" w:hAnsi="宋体"/>
                <w:color w:val="auto"/>
                <w:kern w:val="0"/>
                <w:szCs w:val="21"/>
                <w:highlight w:val="none"/>
              </w:rPr>
              <w:t>提供投标人</w:t>
            </w:r>
            <w:r>
              <w:rPr>
                <w:rFonts w:hint="eastAsia" w:ascii="宋体" w:hAnsi="宋体"/>
                <w:color w:val="auto"/>
                <w:kern w:val="0"/>
                <w:szCs w:val="21"/>
                <w:highlight w:val="none"/>
                <w:lang w:val="zh-CN"/>
              </w:rPr>
              <w:t>近6个月</w:t>
            </w:r>
            <w:r>
              <w:rPr>
                <w:rFonts w:ascii="宋体" w:hAnsi="宋体"/>
                <w:color w:val="auto"/>
                <w:kern w:val="0"/>
                <w:szCs w:val="21"/>
                <w:highlight w:val="none"/>
                <w:lang w:val="zh-CN"/>
              </w:rPr>
              <w:t>内任意</w:t>
            </w:r>
            <w:r>
              <w:rPr>
                <w:rFonts w:hint="eastAsia" w:ascii="宋体" w:hAnsi="宋体"/>
                <w:color w:val="auto"/>
                <w:kern w:val="0"/>
                <w:szCs w:val="21"/>
                <w:highlight w:val="none"/>
                <w:lang w:val="zh-CN"/>
              </w:rPr>
              <w:t>1</w:t>
            </w:r>
            <w:r>
              <w:rPr>
                <w:rFonts w:ascii="宋体" w:hAnsi="宋体"/>
                <w:color w:val="auto"/>
                <w:kern w:val="0"/>
                <w:szCs w:val="21"/>
                <w:highlight w:val="none"/>
                <w:lang w:val="zh-CN"/>
              </w:rPr>
              <w:t>个月</w:t>
            </w:r>
            <w:r>
              <w:rPr>
                <w:rFonts w:hint="eastAsia" w:ascii="宋体" w:hAnsi="宋体"/>
                <w:color w:val="auto"/>
                <w:kern w:val="0"/>
                <w:szCs w:val="21"/>
                <w:highlight w:val="none"/>
              </w:rPr>
              <w:t>依法缴纳社会保障资金的凭据（专用收据、银行代扣（代缴）转账凭证或社会保险交纳清单等均可）；</w:t>
            </w:r>
          </w:p>
          <w:p w14:paraId="09D0DC91">
            <w:pPr>
              <w:numPr>
                <w:ilvl w:val="0"/>
                <w:numId w:val="42"/>
              </w:numPr>
              <w:rPr>
                <w:rFonts w:ascii="宋体" w:hAnsi="宋体"/>
                <w:color w:val="auto"/>
                <w:kern w:val="0"/>
                <w:szCs w:val="21"/>
                <w:highlight w:val="none"/>
                <w:lang w:val="zh-CN"/>
              </w:rPr>
            </w:pPr>
            <w:r>
              <w:rPr>
                <w:rFonts w:hint="eastAsia" w:ascii="宋体" w:hAnsi="宋体"/>
                <w:color w:val="auto"/>
                <w:kern w:val="0"/>
                <w:szCs w:val="21"/>
                <w:highlight w:val="none"/>
              </w:rPr>
              <w:t>依法免税或不需要缴纳社会保障资金的投标人，应提供相应文件证明其依法</w:t>
            </w:r>
            <w:r>
              <w:rPr>
                <w:rFonts w:hint="eastAsia" w:ascii="宋体" w:hAnsi="宋体"/>
                <w:color w:val="auto"/>
                <w:kern w:val="0"/>
                <w:szCs w:val="21"/>
                <w:highlight w:val="none"/>
                <w:lang w:val="zh-CN"/>
              </w:rPr>
              <w:t>免税或不需要</w:t>
            </w:r>
            <w:r>
              <w:rPr>
                <w:rFonts w:hint="eastAsia" w:ascii="宋体" w:hAnsi="宋体"/>
                <w:color w:val="auto"/>
                <w:kern w:val="0"/>
                <w:szCs w:val="21"/>
                <w:highlight w:val="none"/>
                <w:lang w:val="en-US" w:eastAsia="zh-CN"/>
              </w:rPr>
              <w:t>缴纳</w:t>
            </w:r>
            <w:r>
              <w:rPr>
                <w:rFonts w:hint="eastAsia" w:ascii="宋体" w:hAnsi="宋体"/>
                <w:color w:val="auto"/>
                <w:kern w:val="0"/>
                <w:szCs w:val="21"/>
                <w:highlight w:val="none"/>
                <w:lang w:val="zh-CN"/>
              </w:rPr>
              <w:t>社会保障资金。</w:t>
            </w:r>
          </w:p>
          <w:p w14:paraId="15817336">
            <w:pPr>
              <w:numPr>
                <w:ilvl w:val="0"/>
                <w:numId w:val="42"/>
              </w:numPr>
              <w:rPr>
                <w:rFonts w:ascii="宋体" w:hAnsi="宋体"/>
                <w:color w:val="auto"/>
                <w:szCs w:val="21"/>
                <w:highlight w:val="none"/>
                <w:lang w:val="zh-CN"/>
              </w:rPr>
            </w:pPr>
            <w:r>
              <w:rPr>
                <w:rFonts w:hint="eastAsia" w:ascii="宋体" w:hAnsi="宋体"/>
                <w:color w:val="auto"/>
                <w:kern w:val="0"/>
                <w:szCs w:val="21"/>
                <w:highlight w:val="none"/>
              </w:rPr>
              <w:t>或提供有依法缴纳税收和社会保障资金的良好记录的承诺</w:t>
            </w:r>
            <w:r>
              <w:rPr>
                <w:rFonts w:hint="eastAsia" w:ascii="宋体" w:hAnsi="宋体"/>
                <w:color w:val="auto"/>
                <w:kern w:val="0"/>
                <w:szCs w:val="21"/>
                <w:highlight w:val="none"/>
                <w:lang w:val="zh-CN"/>
              </w:rPr>
              <w:t>。</w:t>
            </w:r>
          </w:p>
        </w:tc>
      </w:tr>
      <w:tr w14:paraId="0AC96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399F17F2">
            <w:pPr>
              <w:tabs>
                <w:tab w:val="left" w:pos="616"/>
              </w:tabs>
              <w:spacing w:line="276" w:lineRule="auto"/>
              <w:rPr>
                <w:rFonts w:ascii="宋体" w:hAnsi="宋体"/>
                <w:b/>
                <w:color w:val="auto"/>
                <w:kern w:val="0"/>
                <w:szCs w:val="21"/>
                <w:highlight w:val="none"/>
                <w:lang w:val="zh-CN"/>
              </w:rPr>
            </w:pPr>
          </w:p>
        </w:tc>
        <w:tc>
          <w:tcPr>
            <w:tcW w:w="851" w:type="dxa"/>
            <w:vMerge w:val="continue"/>
            <w:vAlign w:val="center"/>
          </w:tcPr>
          <w:p w14:paraId="03B22221">
            <w:pPr>
              <w:tabs>
                <w:tab w:val="left" w:pos="616"/>
              </w:tabs>
              <w:spacing w:line="276" w:lineRule="auto"/>
              <w:rPr>
                <w:rFonts w:ascii="宋体" w:hAnsi="宋体"/>
                <w:b/>
                <w:color w:val="auto"/>
                <w:kern w:val="0"/>
                <w:szCs w:val="21"/>
                <w:highlight w:val="none"/>
                <w:lang w:val="zh-CN"/>
              </w:rPr>
            </w:pPr>
          </w:p>
        </w:tc>
        <w:tc>
          <w:tcPr>
            <w:tcW w:w="2835" w:type="dxa"/>
            <w:vAlign w:val="center"/>
          </w:tcPr>
          <w:p w14:paraId="2D3A02CD">
            <w:pPr>
              <w:adjustRightInd w:val="0"/>
              <w:snapToGrid w:val="0"/>
              <w:spacing w:line="276" w:lineRule="auto"/>
              <w:rPr>
                <w:rFonts w:ascii="宋体" w:hAnsi="宋体" w:cs="宋体"/>
                <w:color w:val="auto"/>
                <w:kern w:val="0"/>
                <w:szCs w:val="21"/>
                <w:highlight w:val="none"/>
              </w:rPr>
            </w:pPr>
            <w:r>
              <w:rPr>
                <w:rFonts w:hint="eastAsia" w:ascii="宋体" w:hAnsi="宋体" w:cs="宋体"/>
                <w:color w:val="auto"/>
                <w:kern w:val="0"/>
                <w:szCs w:val="21"/>
                <w:highlight w:val="none"/>
              </w:rPr>
              <w:t>1.5参加政府采购活动前三年内，在经营活动中没有重大违法记录；</w:t>
            </w:r>
          </w:p>
        </w:tc>
        <w:tc>
          <w:tcPr>
            <w:tcW w:w="5518" w:type="dxa"/>
            <w:vAlign w:val="center"/>
          </w:tcPr>
          <w:p w14:paraId="29103A2C">
            <w:pPr>
              <w:tabs>
                <w:tab w:val="left" w:pos="616"/>
              </w:tabs>
              <w:rPr>
                <w:rFonts w:ascii="宋体" w:hAnsi="宋体"/>
                <w:color w:val="auto"/>
                <w:kern w:val="0"/>
                <w:szCs w:val="21"/>
                <w:highlight w:val="none"/>
              </w:rPr>
            </w:pPr>
            <w:r>
              <w:rPr>
                <w:rFonts w:hint="eastAsia" w:ascii="宋体" w:hAnsi="宋体"/>
                <w:color w:val="auto"/>
                <w:kern w:val="0"/>
                <w:szCs w:val="21"/>
                <w:highlight w:val="none"/>
              </w:rPr>
              <w:t>提供</w:t>
            </w:r>
            <w:r>
              <w:rPr>
                <w:rFonts w:ascii="宋体" w:hAnsi="宋体"/>
                <w:color w:val="auto"/>
                <w:kern w:val="0"/>
                <w:szCs w:val="21"/>
                <w:highlight w:val="none"/>
              </w:rPr>
              <w:t>无</w:t>
            </w:r>
            <w:r>
              <w:rPr>
                <w:rFonts w:hint="eastAsia" w:ascii="宋体" w:hAnsi="宋体" w:cs="宋体"/>
                <w:color w:val="auto"/>
                <w:kern w:val="0"/>
                <w:szCs w:val="21"/>
                <w:highlight w:val="none"/>
              </w:rPr>
              <w:t>重大违法记录声明函。</w:t>
            </w:r>
          </w:p>
        </w:tc>
      </w:tr>
      <w:tr w14:paraId="42010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6BF4A32D">
            <w:pPr>
              <w:tabs>
                <w:tab w:val="left" w:pos="616"/>
              </w:tabs>
              <w:spacing w:line="276" w:lineRule="auto"/>
              <w:rPr>
                <w:rFonts w:ascii="宋体" w:hAnsi="宋体"/>
                <w:b/>
                <w:color w:val="auto"/>
                <w:kern w:val="0"/>
                <w:szCs w:val="21"/>
                <w:highlight w:val="none"/>
              </w:rPr>
            </w:pPr>
          </w:p>
        </w:tc>
        <w:tc>
          <w:tcPr>
            <w:tcW w:w="851" w:type="dxa"/>
            <w:vMerge w:val="continue"/>
            <w:vAlign w:val="center"/>
          </w:tcPr>
          <w:p w14:paraId="33251DB0">
            <w:pPr>
              <w:tabs>
                <w:tab w:val="left" w:pos="616"/>
              </w:tabs>
              <w:spacing w:line="276" w:lineRule="auto"/>
              <w:rPr>
                <w:rFonts w:ascii="宋体" w:hAnsi="宋体"/>
                <w:b/>
                <w:color w:val="auto"/>
                <w:kern w:val="0"/>
                <w:szCs w:val="21"/>
                <w:highlight w:val="none"/>
              </w:rPr>
            </w:pPr>
          </w:p>
        </w:tc>
        <w:tc>
          <w:tcPr>
            <w:tcW w:w="2835" w:type="dxa"/>
            <w:vAlign w:val="center"/>
          </w:tcPr>
          <w:p w14:paraId="03597CA7">
            <w:pPr>
              <w:adjustRightInd w:val="0"/>
              <w:snapToGrid w:val="0"/>
              <w:spacing w:line="276" w:lineRule="auto"/>
              <w:rPr>
                <w:rFonts w:ascii="宋体" w:hAnsi="宋体" w:cs="宋体"/>
                <w:color w:val="auto"/>
                <w:kern w:val="0"/>
                <w:szCs w:val="21"/>
                <w:highlight w:val="none"/>
              </w:rPr>
            </w:pPr>
            <w:r>
              <w:rPr>
                <w:rFonts w:hint="eastAsia" w:ascii="宋体" w:hAnsi="宋体" w:cs="宋体"/>
                <w:color w:val="auto"/>
                <w:kern w:val="0"/>
                <w:szCs w:val="21"/>
                <w:highlight w:val="none"/>
              </w:rPr>
              <w:t>1.6 法律、行政法规规定的其他条件。</w:t>
            </w:r>
          </w:p>
        </w:tc>
        <w:tc>
          <w:tcPr>
            <w:tcW w:w="5518" w:type="dxa"/>
            <w:vAlign w:val="center"/>
          </w:tcPr>
          <w:p w14:paraId="672999E6">
            <w:pPr>
              <w:tabs>
                <w:tab w:val="left" w:pos="616"/>
              </w:tabs>
              <w:rPr>
                <w:rFonts w:ascii="宋体" w:hAnsi="宋体"/>
                <w:color w:val="auto"/>
                <w:kern w:val="0"/>
                <w:szCs w:val="21"/>
                <w:highlight w:val="none"/>
                <w:lang w:val="zh-CN"/>
              </w:rPr>
            </w:pPr>
            <w:r>
              <w:rPr>
                <w:rFonts w:hint="eastAsia" w:ascii="宋体" w:hAnsi="宋体"/>
                <w:color w:val="auto"/>
                <w:kern w:val="0"/>
                <w:szCs w:val="21"/>
                <w:highlight w:val="none"/>
                <w:lang w:val="zh-CN"/>
              </w:rPr>
              <w:t>国家对生产和销售相关产品或提供相关服务有专门法律、行政法规规定的，则必须提供取得国家有关主管部门行政许可的证明材料（如无</w:t>
            </w:r>
            <w:r>
              <w:rPr>
                <w:rFonts w:ascii="宋体" w:hAnsi="宋体"/>
                <w:color w:val="auto"/>
                <w:kern w:val="0"/>
                <w:szCs w:val="21"/>
                <w:highlight w:val="none"/>
                <w:lang w:val="zh-CN"/>
              </w:rPr>
              <w:t>相关规定</w:t>
            </w:r>
            <w:r>
              <w:rPr>
                <w:rFonts w:hint="eastAsia" w:ascii="宋体" w:hAnsi="宋体"/>
                <w:color w:val="auto"/>
                <w:kern w:val="0"/>
                <w:szCs w:val="21"/>
                <w:highlight w:val="none"/>
                <w:lang w:val="zh-CN"/>
              </w:rPr>
              <w:t>则</w:t>
            </w:r>
            <w:r>
              <w:rPr>
                <w:rFonts w:ascii="宋体" w:hAnsi="宋体"/>
                <w:color w:val="auto"/>
                <w:kern w:val="0"/>
                <w:szCs w:val="21"/>
                <w:highlight w:val="none"/>
                <w:lang w:val="zh-CN"/>
              </w:rPr>
              <w:t>无需提供</w:t>
            </w:r>
            <w:r>
              <w:rPr>
                <w:rFonts w:hint="eastAsia" w:ascii="宋体" w:hAnsi="宋体"/>
                <w:color w:val="auto"/>
                <w:kern w:val="0"/>
                <w:szCs w:val="21"/>
                <w:highlight w:val="none"/>
                <w:lang w:val="zh-CN"/>
              </w:rPr>
              <w:t>）。</w:t>
            </w:r>
          </w:p>
        </w:tc>
      </w:tr>
      <w:tr w14:paraId="54C61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6FB4F354">
            <w:pPr>
              <w:adjustRightInd w:val="0"/>
              <w:snapToGrid w:val="0"/>
              <w:spacing w:line="276" w:lineRule="auto"/>
              <w:ind w:left="210" w:hanging="210" w:hangingChars="100"/>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3686" w:type="dxa"/>
            <w:gridSpan w:val="2"/>
            <w:vAlign w:val="center"/>
          </w:tcPr>
          <w:p w14:paraId="3E408353">
            <w:pPr>
              <w:rPr>
                <w:rFonts w:ascii="宋体" w:hAnsi="宋体"/>
                <w:color w:val="auto"/>
                <w:kern w:val="0"/>
                <w:szCs w:val="21"/>
                <w:highlight w:val="none"/>
              </w:rPr>
            </w:pPr>
            <w:r>
              <w:rPr>
                <w:rFonts w:hint="eastAsia"/>
                <w:color w:val="auto"/>
                <w:szCs w:val="21"/>
                <w:highlight w:val="none"/>
              </w:rPr>
              <w:t>参加政府采购活动未被列入“信用中国”网站(www.creditchina.gov.cn)失信被执行人、重大税收违法失信主体、政府采购严重违法失信行为记录名单和“中国政府采购”网站（www.ccgp.gov.cn）政府采购严重违法失信行为记录名单等。</w:t>
            </w:r>
          </w:p>
        </w:tc>
        <w:tc>
          <w:tcPr>
            <w:tcW w:w="5518" w:type="dxa"/>
            <w:vAlign w:val="center"/>
          </w:tcPr>
          <w:p w14:paraId="4F755583">
            <w:pPr>
              <w:pStyle w:val="20"/>
              <w:ind w:left="0" w:firstLine="0"/>
              <w:rPr>
                <w:rFonts w:ascii="宋体" w:hAnsi="宋体"/>
                <w:color w:val="auto"/>
                <w:szCs w:val="21"/>
                <w:highlight w:val="none"/>
                <w:lang w:val="zh-CN"/>
              </w:rPr>
            </w:pPr>
            <w:r>
              <w:rPr>
                <w:color w:val="auto"/>
                <w:highlight w:val="none"/>
              </w:rPr>
              <w:t>由投标人自行提供，</w:t>
            </w:r>
            <w:r>
              <w:rPr>
                <w:rFonts w:hint="eastAsia" w:ascii="宋体" w:hAnsi="宋体"/>
                <w:color w:val="auto"/>
                <w:kern w:val="0"/>
                <w:szCs w:val="21"/>
                <w:highlight w:val="none"/>
              </w:rPr>
              <w:t>以</w:t>
            </w:r>
            <w:r>
              <w:rPr>
                <w:rFonts w:hint="eastAsia" w:ascii="宋体" w:hAnsi="宋体"/>
                <w:color w:val="auto"/>
                <w:kern w:val="0"/>
                <w:szCs w:val="21"/>
                <w:highlight w:val="none"/>
                <w:lang w:val="zh-CN"/>
              </w:rPr>
              <w:t>采购代理机构</w:t>
            </w:r>
            <w:r>
              <w:rPr>
                <w:rFonts w:hint="eastAsia" w:ascii="宋体" w:hAnsi="宋体"/>
                <w:color w:val="auto"/>
                <w:kern w:val="0"/>
                <w:szCs w:val="21"/>
                <w:highlight w:val="none"/>
              </w:rPr>
              <w:t>评审现场时</w:t>
            </w:r>
            <w:r>
              <w:rPr>
                <w:rFonts w:hint="eastAsia" w:ascii="宋体" w:hAnsi="宋体"/>
                <w:color w:val="auto"/>
                <w:kern w:val="0"/>
                <w:szCs w:val="21"/>
                <w:highlight w:val="none"/>
                <w:lang w:val="zh-CN"/>
              </w:rPr>
              <w:t>查询</w:t>
            </w:r>
            <w:r>
              <w:rPr>
                <w:rFonts w:hint="eastAsia" w:ascii="宋体" w:hAnsi="宋体"/>
                <w:color w:val="auto"/>
                <w:kern w:val="0"/>
                <w:szCs w:val="21"/>
                <w:highlight w:val="none"/>
              </w:rPr>
              <w:t>为准</w:t>
            </w:r>
            <w:r>
              <w:rPr>
                <w:rFonts w:hint="eastAsia" w:ascii="宋体" w:hAnsi="宋体"/>
                <w:color w:val="auto"/>
                <w:kern w:val="0"/>
                <w:szCs w:val="21"/>
                <w:highlight w:val="none"/>
                <w:lang w:val="zh-CN"/>
              </w:rPr>
              <w:t>。</w:t>
            </w:r>
          </w:p>
        </w:tc>
      </w:tr>
      <w:tr w14:paraId="64BF5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6453952D">
            <w:pPr>
              <w:adjustRightInd w:val="0"/>
              <w:snapToGrid w:val="0"/>
              <w:spacing w:line="276" w:lineRule="auto"/>
              <w:ind w:left="210" w:hanging="210" w:hangingChars="100"/>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3686" w:type="dxa"/>
            <w:gridSpan w:val="2"/>
            <w:vAlign w:val="center"/>
          </w:tcPr>
          <w:p w14:paraId="11C96C26">
            <w:pPr>
              <w:rPr>
                <w:rFonts w:ascii="宋体" w:hAnsi="宋体"/>
                <w:color w:val="auto"/>
                <w:kern w:val="0"/>
                <w:szCs w:val="21"/>
                <w:highlight w:val="none"/>
              </w:rPr>
            </w:pPr>
            <w:r>
              <w:rPr>
                <w:rFonts w:hint="eastAsia" w:ascii="宋体" w:hAnsi="宋体"/>
                <w:color w:val="auto"/>
                <w:kern w:val="0"/>
                <w:szCs w:val="21"/>
                <w:highlight w:val="none"/>
              </w:rPr>
              <w:t>不存在单位负责人为同一人或者存在直接控股、管理关系的不同投标人，参加本项目同一合同项下的政府采购活动情况。不存在为本采购项目提供整体设计、规范编制或者项目管理、监理、检测等服务的，再参加本项目的其他招标采购活动情况。</w:t>
            </w:r>
          </w:p>
        </w:tc>
        <w:tc>
          <w:tcPr>
            <w:tcW w:w="5518" w:type="dxa"/>
            <w:vAlign w:val="center"/>
          </w:tcPr>
          <w:p w14:paraId="4B4FE996">
            <w:pPr>
              <w:tabs>
                <w:tab w:val="left" w:pos="616"/>
              </w:tabs>
              <w:rPr>
                <w:rFonts w:ascii="宋体" w:hAnsi="宋体"/>
                <w:color w:val="auto"/>
                <w:kern w:val="0"/>
                <w:szCs w:val="21"/>
                <w:highlight w:val="none"/>
                <w:lang w:val="zh-CN"/>
              </w:rPr>
            </w:pPr>
            <w:r>
              <w:rPr>
                <w:rFonts w:hint="eastAsia" w:ascii="宋体" w:hAnsi="宋体"/>
                <w:color w:val="auto"/>
                <w:kern w:val="0"/>
                <w:szCs w:val="21"/>
                <w:highlight w:val="none"/>
                <w:lang w:val="zh-CN"/>
              </w:rPr>
              <w:t>由投标人自行提供。</w:t>
            </w:r>
          </w:p>
        </w:tc>
      </w:tr>
      <w:tr w14:paraId="28C61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67E012EF">
            <w:pPr>
              <w:adjustRightInd w:val="0"/>
              <w:snapToGrid w:val="0"/>
              <w:spacing w:line="276" w:lineRule="auto"/>
              <w:ind w:left="210" w:hanging="210" w:hangingChars="100"/>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3686" w:type="dxa"/>
            <w:gridSpan w:val="2"/>
            <w:vAlign w:val="center"/>
          </w:tcPr>
          <w:p w14:paraId="6D9FC493">
            <w:pPr>
              <w:rPr>
                <w:rFonts w:ascii="宋体" w:hAnsi="宋体"/>
                <w:color w:val="auto"/>
                <w:kern w:val="0"/>
                <w:szCs w:val="21"/>
                <w:highlight w:val="none"/>
              </w:rPr>
            </w:pPr>
            <w:r>
              <w:rPr>
                <w:rFonts w:hint="eastAsia" w:ascii="宋体" w:hAnsi="宋体"/>
                <w:color w:val="auto"/>
                <w:kern w:val="0"/>
                <w:szCs w:val="21"/>
                <w:highlight w:val="none"/>
              </w:rPr>
              <w:t>符合招标文件第一章第二条对本项目的特定资格要求。</w:t>
            </w:r>
          </w:p>
        </w:tc>
        <w:tc>
          <w:tcPr>
            <w:tcW w:w="5518" w:type="dxa"/>
            <w:vAlign w:val="center"/>
          </w:tcPr>
          <w:p w14:paraId="4EFD9C49">
            <w:pPr>
              <w:tabs>
                <w:tab w:val="left" w:pos="616"/>
              </w:tabs>
              <w:rPr>
                <w:rFonts w:ascii="宋体" w:hAnsi="宋体"/>
                <w:color w:val="auto"/>
                <w:kern w:val="0"/>
                <w:szCs w:val="21"/>
                <w:highlight w:val="none"/>
                <w:lang w:val="zh-CN"/>
              </w:rPr>
            </w:pPr>
            <w:r>
              <w:rPr>
                <w:rFonts w:hint="eastAsia" w:ascii="宋体" w:hAnsi="宋体"/>
                <w:color w:val="auto"/>
                <w:kern w:val="0"/>
                <w:szCs w:val="21"/>
                <w:highlight w:val="none"/>
                <w:lang w:val="zh-CN"/>
              </w:rPr>
              <w:t>按招标文件</w:t>
            </w:r>
            <w:r>
              <w:rPr>
                <w:rFonts w:ascii="宋体" w:hAnsi="宋体"/>
                <w:color w:val="auto"/>
                <w:kern w:val="0"/>
                <w:szCs w:val="21"/>
                <w:highlight w:val="none"/>
                <w:lang w:val="zh-CN"/>
              </w:rPr>
              <w:t>要求提供</w:t>
            </w:r>
            <w:r>
              <w:rPr>
                <w:rFonts w:hint="eastAsia" w:ascii="宋体" w:hAnsi="宋体"/>
                <w:color w:val="auto"/>
                <w:kern w:val="0"/>
                <w:szCs w:val="21"/>
                <w:highlight w:val="none"/>
                <w:lang w:val="zh-CN"/>
              </w:rPr>
              <w:t>。</w:t>
            </w:r>
          </w:p>
        </w:tc>
      </w:tr>
      <w:tr w14:paraId="5CA8F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0461A607">
            <w:pPr>
              <w:adjustRightInd w:val="0"/>
              <w:snapToGrid w:val="0"/>
              <w:spacing w:line="276" w:lineRule="auto"/>
              <w:rPr>
                <w:rFonts w:hint="eastAsia" w:ascii="宋体" w:hAnsi="宋体" w:eastAsia="宋体"/>
                <w:color w:val="auto"/>
                <w:kern w:val="0"/>
                <w:szCs w:val="21"/>
                <w:highlight w:val="none"/>
                <w:lang w:eastAsia="zh-CN"/>
              </w:rPr>
            </w:pPr>
            <w:r>
              <w:rPr>
                <w:rFonts w:hint="eastAsia" w:ascii="宋体" w:hAnsi="宋体"/>
                <w:color w:val="auto"/>
                <w:kern w:val="0"/>
                <w:szCs w:val="21"/>
                <w:highlight w:val="none"/>
                <w:lang w:val="en-US" w:eastAsia="zh-CN"/>
              </w:rPr>
              <w:t>5</w:t>
            </w:r>
          </w:p>
        </w:tc>
        <w:tc>
          <w:tcPr>
            <w:tcW w:w="3686" w:type="dxa"/>
            <w:gridSpan w:val="2"/>
            <w:vAlign w:val="center"/>
          </w:tcPr>
          <w:p w14:paraId="0AFCC505">
            <w:pPr>
              <w:rPr>
                <w:rFonts w:ascii="宋体" w:hAnsi="宋体"/>
                <w:color w:val="auto"/>
                <w:kern w:val="0"/>
                <w:szCs w:val="21"/>
                <w:highlight w:val="none"/>
              </w:rPr>
            </w:pPr>
            <w:r>
              <w:rPr>
                <w:rFonts w:hint="eastAsia" w:ascii="宋体" w:hAnsi="宋体"/>
                <w:color w:val="auto"/>
                <w:kern w:val="0"/>
                <w:szCs w:val="21"/>
                <w:highlight w:val="none"/>
              </w:rPr>
              <w:t>符合招标文件对联合体的规定。</w:t>
            </w:r>
          </w:p>
        </w:tc>
        <w:tc>
          <w:tcPr>
            <w:tcW w:w="5518" w:type="dxa"/>
            <w:vAlign w:val="center"/>
          </w:tcPr>
          <w:p w14:paraId="025A7AB8">
            <w:pPr>
              <w:rPr>
                <w:rFonts w:hint="eastAsia" w:ascii="宋体" w:hAnsi="宋体" w:eastAsia="宋体"/>
                <w:color w:val="auto"/>
                <w:kern w:val="0"/>
                <w:szCs w:val="21"/>
                <w:highlight w:val="none"/>
                <w:lang w:val="en-US" w:eastAsia="zh-CN"/>
              </w:rPr>
            </w:pPr>
            <w:r>
              <w:rPr>
                <w:rFonts w:hint="eastAsia" w:ascii="宋体" w:hAnsi="宋体" w:cs="宋体"/>
                <w:color w:val="auto"/>
                <w:kern w:val="0"/>
                <w:szCs w:val="21"/>
                <w:highlight w:val="none"/>
                <w:lang w:val="en-US" w:eastAsia="zh-CN"/>
              </w:rPr>
              <w:t>/</w:t>
            </w:r>
          </w:p>
        </w:tc>
      </w:tr>
    </w:tbl>
    <w:p w14:paraId="5F383D5E">
      <w:pPr>
        <w:rPr>
          <w:color w:val="auto"/>
          <w:highlight w:val="none"/>
        </w:rPr>
      </w:pPr>
    </w:p>
    <w:p w14:paraId="10CCFEDB">
      <w:pPr>
        <w:keepNext/>
        <w:keepLines/>
        <w:numPr>
          <w:ilvl w:val="0"/>
          <w:numId w:val="38"/>
        </w:numPr>
        <w:spacing w:line="276" w:lineRule="auto"/>
        <w:ind w:left="616" w:hanging="616"/>
        <w:jc w:val="left"/>
        <w:outlineLvl w:val="1"/>
        <w:rPr>
          <w:rFonts w:ascii="宋体" w:hAnsi="宋体"/>
          <w:b/>
          <w:color w:val="auto"/>
          <w:szCs w:val="21"/>
          <w:highlight w:val="none"/>
          <w:lang w:val="zh-CN"/>
        </w:rPr>
      </w:pPr>
      <w:bookmarkStart w:id="79" w:name="_Toc15301"/>
      <w:bookmarkStart w:id="80" w:name="_Toc97815017"/>
      <w:r>
        <w:rPr>
          <w:rFonts w:hint="eastAsia" w:ascii="宋体" w:hAnsi="宋体"/>
          <w:b/>
          <w:color w:val="auto"/>
          <w:kern w:val="0"/>
          <w:szCs w:val="21"/>
          <w:highlight w:val="none"/>
          <w:lang w:val="zh-CN"/>
        </w:rPr>
        <w:t>确定资格审查合格投标人</w:t>
      </w:r>
      <w:bookmarkEnd w:id="79"/>
      <w:bookmarkEnd w:id="80"/>
    </w:p>
    <w:p w14:paraId="6F24478C">
      <w:pPr>
        <w:numPr>
          <w:ilvl w:val="0"/>
          <w:numId w:val="43"/>
        </w:numPr>
        <w:adjustRightInd w:val="0"/>
        <w:snapToGrid w:val="0"/>
        <w:spacing w:line="276" w:lineRule="auto"/>
        <w:ind w:left="756" w:hanging="504"/>
        <w:rPr>
          <w:rFonts w:ascii="宋体" w:hAnsi="宋体"/>
          <w:color w:val="auto"/>
          <w:szCs w:val="21"/>
          <w:highlight w:val="none"/>
          <w:lang w:val="zh-CN"/>
        </w:rPr>
      </w:pPr>
      <w:r>
        <w:rPr>
          <w:rFonts w:hint="eastAsia" w:ascii="宋体" w:hAnsi="宋体"/>
          <w:color w:val="auto"/>
          <w:szCs w:val="21"/>
          <w:highlight w:val="none"/>
          <w:lang w:val="zh-CN"/>
        </w:rPr>
        <w:t>资格审查小组依据对各投标人资格证明文件的审查结果，确定资格审查合格的投标人，并形成书面的资格审查报告。</w:t>
      </w:r>
    </w:p>
    <w:p w14:paraId="443060F7">
      <w:pPr>
        <w:numPr>
          <w:ilvl w:val="0"/>
          <w:numId w:val="43"/>
        </w:numPr>
        <w:adjustRightInd w:val="0"/>
        <w:snapToGrid w:val="0"/>
        <w:spacing w:line="276" w:lineRule="auto"/>
        <w:ind w:left="756" w:hanging="504"/>
        <w:rPr>
          <w:rFonts w:ascii="宋体" w:hAnsi="宋体"/>
          <w:color w:val="auto"/>
          <w:szCs w:val="21"/>
          <w:highlight w:val="none"/>
          <w:lang w:val="zh-CN"/>
        </w:rPr>
      </w:pPr>
      <w:r>
        <w:rPr>
          <w:rFonts w:hint="eastAsia" w:ascii="宋体" w:hAnsi="宋体"/>
          <w:color w:val="auto"/>
          <w:szCs w:val="21"/>
          <w:highlight w:val="none"/>
          <w:lang w:val="zh-CN"/>
        </w:rPr>
        <w:t>资格审查合格投标人不足3家的，不进行评标。</w:t>
      </w:r>
    </w:p>
    <w:p w14:paraId="11C0B43E">
      <w:pPr>
        <w:numPr>
          <w:ilvl w:val="0"/>
          <w:numId w:val="43"/>
        </w:numPr>
        <w:adjustRightInd w:val="0"/>
        <w:snapToGrid w:val="0"/>
        <w:spacing w:line="276" w:lineRule="auto"/>
        <w:ind w:left="756" w:hanging="504"/>
        <w:rPr>
          <w:rFonts w:ascii="宋体" w:hAnsi="宋体"/>
          <w:color w:val="auto"/>
          <w:szCs w:val="21"/>
          <w:highlight w:val="none"/>
          <w:lang w:val="zh-CN"/>
        </w:rPr>
      </w:pPr>
      <w:r>
        <w:rPr>
          <w:rFonts w:hint="eastAsia" w:ascii="宋体" w:hAnsi="宋体"/>
          <w:color w:val="auto"/>
          <w:szCs w:val="21"/>
          <w:highlight w:val="none"/>
          <w:lang w:val="zh-CN"/>
        </w:rPr>
        <w:t>资格审查未通过的投标人可在项目结果公告质疑有效期内按公告中的联系方式获知本人的资格审查情况。</w:t>
      </w:r>
    </w:p>
    <w:p w14:paraId="5843F52D">
      <w:pPr>
        <w:widowControl/>
        <w:numPr>
          <w:ilvl w:val="0"/>
          <w:numId w:val="43"/>
        </w:numPr>
        <w:adjustRightInd w:val="0"/>
        <w:snapToGrid w:val="0"/>
        <w:spacing w:line="276" w:lineRule="auto"/>
        <w:ind w:left="756" w:hanging="504"/>
        <w:jc w:val="left"/>
        <w:rPr>
          <w:rFonts w:ascii="宋体" w:hAnsi="宋体"/>
          <w:color w:val="auto"/>
          <w:szCs w:val="21"/>
          <w:highlight w:val="none"/>
          <w:lang w:val="zh-CN"/>
        </w:rPr>
      </w:pPr>
      <w:r>
        <w:rPr>
          <w:rFonts w:hint="eastAsia" w:ascii="宋体" w:hAnsi="宋体"/>
          <w:color w:val="auto"/>
          <w:szCs w:val="21"/>
          <w:highlight w:val="none"/>
          <w:lang w:val="zh-CN"/>
        </w:rPr>
        <w:t>采购人已进行资格预审的，不再进行资格审查。未通过资格预审的投标人采购代理机构</w:t>
      </w:r>
      <w:r>
        <w:rPr>
          <w:rFonts w:hint="eastAsia" w:ascii="宋体" w:hAnsi="宋体"/>
          <w:b/>
          <w:color w:val="auto"/>
          <w:szCs w:val="21"/>
          <w:highlight w:val="none"/>
          <w:lang w:val="zh-CN"/>
        </w:rPr>
        <w:t>拒绝</w:t>
      </w:r>
      <w:r>
        <w:rPr>
          <w:rFonts w:hint="eastAsia" w:ascii="宋体" w:hAnsi="宋体"/>
          <w:color w:val="auto"/>
          <w:szCs w:val="21"/>
          <w:highlight w:val="none"/>
          <w:lang w:val="zh-CN"/>
        </w:rPr>
        <w:t>其投标。</w:t>
      </w:r>
    </w:p>
    <w:p w14:paraId="6244474D">
      <w:pPr>
        <w:tabs>
          <w:tab w:val="left" w:pos="616"/>
        </w:tabs>
        <w:spacing w:line="276" w:lineRule="auto"/>
        <w:ind w:left="252"/>
        <w:rPr>
          <w:rFonts w:ascii="宋体" w:hAnsi="宋体"/>
          <w:b/>
          <w:color w:val="auto"/>
          <w:szCs w:val="21"/>
          <w:highlight w:val="none"/>
          <w:lang w:val="zh-CN"/>
        </w:rPr>
      </w:pPr>
    </w:p>
    <w:p w14:paraId="4AE97822">
      <w:pPr>
        <w:spacing w:line="276" w:lineRule="auto"/>
        <w:jc w:val="center"/>
        <w:outlineLvl w:val="0"/>
        <w:rPr>
          <w:rFonts w:ascii="黑体" w:hAnsi="黑体" w:eastAsia="黑体"/>
          <w:color w:val="auto"/>
          <w:sz w:val="28"/>
          <w:szCs w:val="28"/>
          <w:highlight w:val="none"/>
        </w:rPr>
      </w:pPr>
      <w:r>
        <w:rPr>
          <w:color w:val="auto"/>
          <w:kern w:val="0"/>
          <w:szCs w:val="21"/>
          <w:highlight w:val="none"/>
        </w:rPr>
        <w:br w:type="page"/>
      </w:r>
      <w:bookmarkStart w:id="81" w:name="_Toc97815018"/>
      <w:bookmarkStart w:id="82" w:name="_Toc16300"/>
      <w:r>
        <w:rPr>
          <w:rFonts w:hint="eastAsia" w:ascii="黑体" w:hAnsi="黑体" w:eastAsia="黑体"/>
          <w:color w:val="auto"/>
          <w:sz w:val="28"/>
          <w:szCs w:val="28"/>
          <w:highlight w:val="none"/>
        </w:rPr>
        <w:t>第五章  评标方法、程序及标准</w:t>
      </w:r>
      <w:bookmarkEnd w:id="81"/>
      <w:bookmarkEnd w:id="82"/>
    </w:p>
    <w:p w14:paraId="4BDA4876">
      <w:pPr>
        <w:spacing w:line="276" w:lineRule="auto"/>
        <w:ind w:firstLine="420" w:firstLineChars="200"/>
        <w:rPr>
          <w:rFonts w:ascii="宋体" w:hAnsi="宋体"/>
          <w:bCs/>
          <w:color w:val="auto"/>
          <w:szCs w:val="21"/>
          <w:highlight w:val="none"/>
          <w:lang w:val="zh-CN"/>
        </w:rPr>
      </w:pPr>
      <w:r>
        <w:rPr>
          <w:rFonts w:hint="eastAsia" w:ascii="宋体" w:hAnsi="宋体"/>
          <w:bCs/>
          <w:color w:val="auto"/>
          <w:szCs w:val="21"/>
          <w:highlight w:val="none"/>
          <w:lang w:val="zh-CN"/>
        </w:rPr>
        <w:t>根据《中华人民共和国政府采购法》、《中华人民共和国政府采购法实施条例》、《政府采购货物和服务招标投标管理办法》（财政部令第87号）等相关法律法规确定以下评标办法、程序及标准。</w:t>
      </w:r>
    </w:p>
    <w:p w14:paraId="74A0CF99">
      <w:pPr>
        <w:keepNext/>
        <w:keepLines/>
        <w:numPr>
          <w:ilvl w:val="0"/>
          <w:numId w:val="44"/>
        </w:numPr>
        <w:spacing w:line="276" w:lineRule="auto"/>
        <w:ind w:left="616" w:hanging="616"/>
        <w:jc w:val="left"/>
        <w:outlineLvl w:val="1"/>
        <w:rPr>
          <w:rFonts w:ascii="宋体" w:hAnsi="宋体"/>
          <w:b/>
          <w:color w:val="auto"/>
          <w:kern w:val="0"/>
          <w:szCs w:val="21"/>
          <w:highlight w:val="none"/>
          <w:lang w:val="zh-CN"/>
        </w:rPr>
      </w:pPr>
      <w:bookmarkStart w:id="83" w:name="_Toc278891605"/>
      <w:bookmarkStart w:id="84" w:name="_Toc272247708"/>
      <w:bookmarkStart w:id="85" w:name="_Toc97815019"/>
      <w:bookmarkStart w:id="86" w:name="_Toc494561961"/>
      <w:bookmarkStart w:id="87" w:name="_Toc18324"/>
      <w:r>
        <w:rPr>
          <w:rFonts w:hint="eastAsia" w:ascii="宋体" w:hAnsi="宋体"/>
          <w:b/>
          <w:color w:val="auto"/>
          <w:kern w:val="0"/>
          <w:szCs w:val="21"/>
          <w:highlight w:val="none"/>
          <w:lang w:val="zh-CN"/>
        </w:rPr>
        <w:t>评标</w:t>
      </w:r>
      <w:bookmarkEnd w:id="83"/>
      <w:bookmarkEnd w:id="84"/>
      <w:r>
        <w:rPr>
          <w:rFonts w:hint="eastAsia" w:ascii="宋体" w:hAnsi="宋体"/>
          <w:b/>
          <w:color w:val="auto"/>
          <w:kern w:val="0"/>
          <w:szCs w:val="21"/>
          <w:highlight w:val="none"/>
          <w:lang w:val="zh-CN"/>
        </w:rPr>
        <w:t>方法</w:t>
      </w:r>
      <w:bookmarkEnd w:id="85"/>
      <w:bookmarkEnd w:id="86"/>
      <w:bookmarkEnd w:id="87"/>
    </w:p>
    <w:p w14:paraId="5410AAAC">
      <w:pPr>
        <w:spacing w:line="276" w:lineRule="auto"/>
        <w:ind w:firstLine="420" w:firstLineChars="200"/>
        <w:rPr>
          <w:rFonts w:ascii="宋体" w:hAnsi="宋体"/>
          <w:bCs/>
          <w:color w:val="auto"/>
          <w:szCs w:val="21"/>
          <w:highlight w:val="none"/>
          <w:lang w:val="zh-CN"/>
        </w:rPr>
      </w:pPr>
      <w:r>
        <w:rPr>
          <w:rFonts w:hint="eastAsia" w:ascii="宋体" w:hAnsi="宋体"/>
          <w:bCs/>
          <w:color w:val="auto"/>
          <w:szCs w:val="21"/>
          <w:highlight w:val="none"/>
          <w:lang w:val="zh-CN"/>
        </w:rPr>
        <w:t>本项目评标采用综合评分法。综合评分法是指投标文件满足招标文件全部实质性要求，且按照评审因素的量化指标评审得分最高的投标人为中标候选人的评标方法。</w:t>
      </w:r>
    </w:p>
    <w:p w14:paraId="7571ADDE">
      <w:pPr>
        <w:keepNext/>
        <w:keepLines/>
        <w:numPr>
          <w:ilvl w:val="0"/>
          <w:numId w:val="44"/>
        </w:numPr>
        <w:spacing w:line="276" w:lineRule="auto"/>
        <w:ind w:left="616" w:hanging="616"/>
        <w:jc w:val="left"/>
        <w:outlineLvl w:val="1"/>
        <w:rPr>
          <w:rFonts w:ascii="宋体" w:hAnsi="宋体"/>
          <w:b/>
          <w:color w:val="auto"/>
          <w:kern w:val="0"/>
          <w:szCs w:val="21"/>
          <w:highlight w:val="none"/>
          <w:lang w:val="zh-CN"/>
        </w:rPr>
      </w:pPr>
      <w:bookmarkStart w:id="88" w:name="_Toc272247709"/>
      <w:bookmarkStart w:id="89" w:name="_Toc278891606"/>
      <w:bookmarkStart w:id="90" w:name="_Toc494561962"/>
      <w:bookmarkStart w:id="91" w:name="_Toc97815020"/>
      <w:bookmarkStart w:id="92" w:name="_Toc23863"/>
      <w:r>
        <w:rPr>
          <w:rFonts w:hint="eastAsia" w:ascii="宋体" w:hAnsi="宋体"/>
          <w:b/>
          <w:color w:val="auto"/>
          <w:kern w:val="0"/>
          <w:szCs w:val="21"/>
          <w:highlight w:val="none"/>
          <w:lang w:val="zh-CN"/>
        </w:rPr>
        <w:t>评标程序</w:t>
      </w:r>
      <w:bookmarkEnd w:id="88"/>
      <w:bookmarkEnd w:id="89"/>
      <w:r>
        <w:rPr>
          <w:rFonts w:hint="eastAsia" w:ascii="宋体" w:hAnsi="宋体"/>
          <w:b/>
          <w:color w:val="auto"/>
          <w:kern w:val="0"/>
          <w:szCs w:val="21"/>
          <w:highlight w:val="none"/>
          <w:lang w:val="zh-CN"/>
        </w:rPr>
        <w:t>及标准</w:t>
      </w:r>
      <w:bookmarkEnd w:id="90"/>
      <w:bookmarkEnd w:id="91"/>
      <w:bookmarkEnd w:id="92"/>
    </w:p>
    <w:p w14:paraId="0382B6C8">
      <w:pPr>
        <w:spacing w:line="276" w:lineRule="auto"/>
        <w:ind w:firstLine="420" w:firstLineChars="200"/>
        <w:rPr>
          <w:rFonts w:ascii="宋体" w:hAnsi="宋体"/>
          <w:bCs/>
          <w:color w:val="auto"/>
          <w:szCs w:val="21"/>
          <w:highlight w:val="none"/>
          <w:lang w:val="zh-CN"/>
        </w:rPr>
      </w:pPr>
      <w:r>
        <w:rPr>
          <w:rFonts w:hint="eastAsia" w:ascii="宋体" w:hAnsi="宋体"/>
          <w:bCs/>
          <w:color w:val="auto"/>
          <w:szCs w:val="21"/>
          <w:highlight w:val="none"/>
          <w:lang w:val="zh-CN"/>
        </w:rPr>
        <w:t>评标委员会按以下工作程序进行评标：</w:t>
      </w:r>
      <w:r>
        <w:rPr>
          <w:rFonts w:hint="eastAsia" w:ascii="宋体" w:hAnsi="宋体"/>
          <w:color w:val="auto"/>
          <w:szCs w:val="21"/>
          <w:highlight w:val="none"/>
          <w:lang w:val="zh-CN"/>
        </w:rPr>
        <w:t>符合性审查、澄清有关问题、综合比较和评价、确定中标候选人名单。</w:t>
      </w:r>
    </w:p>
    <w:p w14:paraId="4F87C3A9">
      <w:pPr>
        <w:numPr>
          <w:ilvl w:val="0"/>
          <w:numId w:val="45"/>
        </w:numPr>
        <w:spacing w:line="276" w:lineRule="auto"/>
        <w:ind w:left="1064" w:leftChars="154" w:hanging="741" w:hangingChars="353"/>
        <w:rPr>
          <w:rFonts w:ascii="宋体" w:hAnsi="宋体"/>
          <w:strike/>
          <w:color w:val="auto"/>
          <w:szCs w:val="21"/>
          <w:highlight w:val="none"/>
          <w:lang w:val="zh-CN"/>
        </w:rPr>
      </w:pPr>
      <w:r>
        <w:rPr>
          <w:rFonts w:hint="eastAsia" w:ascii="宋体" w:hAnsi="宋体"/>
          <w:b/>
          <w:color w:val="auto"/>
          <w:szCs w:val="21"/>
          <w:highlight w:val="none"/>
          <w:lang w:val="zh-CN"/>
        </w:rPr>
        <w:t>符合性审查</w:t>
      </w:r>
    </w:p>
    <w:p w14:paraId="4A66727D">
      <w:pPr>
        <w:spacing w:line="276" w:lineRule="auto"/>
        <w:ind w:firstLine="420" w:firstLineChars="200"/>
        <w:rPr>
          <w:rFonts w:ascii="宋体" w:hAnsi="宋体"/>
          <w:bCs/>
          <w:color w:val="auto"/>
          <w:szCs w:val="21"/>
          <w:highlight w:val="none"/>
          <w:lang w:val="zh-CN"/>
        </w:rPr>
      </w:pPr>
      <w:r>
        <w:rPr>
          <w:rFonts w:hint="eastAsia" w:ascii="宋体" w:hAnsi="宋体"/>
          <w:bCs/>
          <w:color w:val="auto"/>
          <w:szCs w:val="21"/>
          <w:highlight w:val="none"/>
          <w:lang w:val="zh-CN"/>
        </w:rPr>
        <w:t>评标委员会依据招标文件的规定，对资格审查合格投标人的投标文件的有效性、完整性和对招标文件的响应程度进行审查，以确定是否对招标文件的实质性要求作出响应，具体评审因素详见《符合性检查表》。</w:t>
      </w:r>
    </w:p>
    <w:p w14:paraId="4AAE2CF0">
      <w:pPr>
        <w:spacing w:line="276" w:lineRule="auto"/>
        <w:ind w:firstLine="411" w:firstLineChars="196"/>
        <w:jc w:val="center"/>
        <w:rPr>
          <w:rFonts w:ascii="宋体" w:hAnsi="宋体"/>
          <w:b/>
          <w:bCs/>
          <w:color w:val="auto"/>
          <w:szCs w:val="21"/>
          <w:highlight w:val="none"/>
          <w:lang w:val="zh-CN"/>
        </w:rPr>
      </w:pPr>
      <w:r>
        <w:rPr>
          <w:rFonts w:hint="eastAsia" w:ascii="宋体" w:hAnsi="宋体"/>
          <w:b/>
          <w:bCs/>
          <w:color w:val="auto"/>
          <w:szCs w:val="21"/>
          <w:highlight w:val="none"/>
          <w:lang w:val="zh-CN"/>
        </w:rPr>
        <w:t>符合性审查表</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3176"/>
        <w:gridCol w:w="5367"/>
      </w:tblGrid>
      <w:tr w14:paraId="07C4A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51D48FB5">
            <w:pPr>
              <w:rPr>
                <w:rFonts w:ascii="宋体" w:hAnsi="宋体" w:cs="宋体"/>
                <w:color w:val="auto"/>
                <w:szCs w:val="21"/>
                <w:highlight w:val="none"/>
              </w:rPr>
            </w:pPr>
            <w:r>
              <w:rPr>
                <w:rFonts w:hint="eastAsia" w:ascii="宋体" w:hAnsi="宋体" w:cs="宋体"/>
                <w:color w:val="auto"/>
                <w:szCs w:val="21"/>
                <w:highlight w:val="none"/>
              </w:rPr>
              <w:t>序号</w:t>
            </w:r>
          </w:p>
        </w:tc>
        <w:tc>
          <w:tcPr>
            <w:tcW w:w="1710" w:type="pct"/>
            <w:vAlign w:val="center"/>
          </w:tcPr>
          <w:p w14:paraId="5E8CA340">
            <w:pPr>
              <w:widowControl/>
              <w:snapToGrid w:val="0"/>
              <w:jc w:val="center"/>
              <w:rPr>
                <w:rFonts w:ascii="宋体" w:hAnsi="宋体" w:cs="Tahoma"/>
                <w:color w:val="auto"/>
                <w:kern w:val="0"/>
                <w:szCs w:val="21"/>
                <w:highlight w:val="none"/>
              </w:rPr>
            </w:pPr>
            <w:r>
              <w:rPr>
                <w:rFonts w:ascii="宋体" w:hAnsi="宋体" w:cs="Tahoma"/>
                <w:color w:val="auto"/>
                <w:kern w:val="0"/>
                <w:szCs w:val="21"/>
                <w:highlight w:val="none"/>
              </w:rPr>
              <w:t>评审因素</w:t>
            </w:r>
          </w:p>
        </w:tc>
        <w:tc>
          <w:tcPr>
            <w:tcW w:w="2889" w:type="pct"/>
            <w:tcBorders>
              <w:top w:val="single" w:color="auto" w:sz="4" w:space="0"/>
              <w:left w:val="single" w:color="auto" w:sz="4" w:space="0"/>
              <w:bottom w:val="single" w:color="auto" w:sz="4" w:space="0"/>
              <w:right w:val="single" w:color="auto" w:sz="4" w:space="0"/>
            </w:tcBorders>
            <w:vAlign w:val="center"/>
          </w:tcPr>
          <w:p w14:paraId="7486489B">
            <w:pPr>
              <w:widowControl/>
              <w:snapToGrid w:val="0"/>
              <w:rPr>
                <w:rFonts w:ascii="宋体" w:hAnsi="宋体" w:cs="Tahoma"/>
                <w:color w:val="auto"/>
                <w:kern w:val="0"/>
                <w:szCs w:val="21"/>
                <w:highlight w:val="none"/>
              </w:rPr>
            </w:pPr>
            <w:r>
              <w:rPr>
                <w:rFonts w:ascii="宋体" w:hAnsi="宋体" w:cs="Tahoma"/>
                <w:color w:val="auto"/>
                <w:kern w:val="0"/>
                <w:szCs w:val="21"/>
                <w:highlight w:val="none"/>
              </w:rPr>
              <w:t>评审标准</w:t>
            </w:r>
          </w:p>
        </w:tc>
      </w:tr>
      <w:tr w14:paraId="14D69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6BE254BE">
            <w:pPr>
              <w:widowControl/>
              <w:numPr>
                <w:ilvl w:val="0"/>
                <w:numId w:val="46"/>
              </w:numPr>
              <w:contextualSpacing/>
              <w:jc w:val="center"/>
              <w:rPr>
                <w:rFonts w:ascii="宋体" w:hAnsi="宋体" w:cs="宋体"/>
                <w:color w:val="auto"/>
                <w:szCs w:val="21"/>
                <w:highlight w:val="none"/>
              </w:rPr>
            </w:pPr>
          </w:p>
        </w:tc>
        <w:tc>
          <w:tcPr>
            <w:tcW w:w="1710" w:type="pct"/>
            <w:vAlign w:val="center"/>
          </w:tcPr>
          <w:p w14:paraId="3A8A0812">
            <w:pPr>
              <w:rPr>
                <w:rFonts w:ascii="宋体" w:hAnsi="宋体" w:cs="黑体"/>
                <w:color w:val="auto"/>
                <w:szCs w:val="21"/>
                <w:highlight w:val="none"/>
              </w:rPr>
            </w:pPr>
            <w:r>
              <w:rPr>
                <w:rFonts w:hint="eastAsia" w:ascii="宋体" w:hAnsi="宋体" w:cs="黑体"/>
                <w:color w:val="auto"/>
                <w:szCs w:val="21"/>
                <w:highlight w:val="none"/>
              </w:rPr>
              <w:t>按招标文件要求签署、盖章；</w:t>
            </w:r>
          </w:p>
        </w:tc>
        <w:tc>
          <w:tcPr>
            <w:tcW w:w="2889" w:type="pct"/>
            <w:tcBorders>
              <w:top w:val="single" w:color="auto" w:sz="4" w:space="0"/>
              <w:left w:val="single" w:color="auto" w:sz="4" w:space="0"/>
              <w:bottom w:val="single" w:color="auto" w:sz="4" w:space="0"/>
              <w:right w:val="single" w:color="auto" w:sz="4" w:space="0"/>
            </w:tcBorders>
            <w:vAlign w:val="center"/>
          </w:tcPr>
          <w:p w14:paraId="48D67BAE">
            <w:pPr>
              <w:adjustRightInd w:val="0"/>
              <w:snapToGrid w:val="0"/>
              <w:rPr>
                <w:rFonts w:ascii="宋体" w:hAnsi="宋体" w:cs="宋体"/>
                <w:color w:val="auto"/>
                <w:szCs w:val="21"/>
                <w:highlight w:val="none"/>
              </w:rPr>
            </w:pPr>
            <w:r>
              <w:rPr>
                <w:rFonts w:hint="eastAsia" w:ascii="宋体" w:hAnsi="宋体" w:cs="宋体"/>
                <w:color w:val="auto"/>
                <w:kern w:val="0"/>
                <w:szCs w:val="21"/>
                <w:highlight w:val="none"/>
              </w:rPr>
              <w:t>按招标文件要求签署、盖章；</w:t>
            </w:r>
          </w:p>
        </w:tc>
      </w:tr>
      <w:tr w14:paraId="44641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7354E627">
            <w:pPr>
              <w:widowControl/>
              <w:numPr>
                <w:ilvl w:val="0"/>
                <w:numId w:val="46"/>
              </w:numPr>
              <w:contextualSpacing/>
              <w:jc w:val="center"/>
              <w:rPr>
                <w:rFonts w:ascii="宋体" w:hAnsi="宋体" w:cs="宋体"/>
                <w:color w:val="auto"/>
                <w:szCs w:val="21"/>
                <w:highlight w:val="none"/>
              </w:rPr>
            </w:pPr>
          </w:p>
        </w:tc>
        <w:tc>
          <w:tcPr>
            <w:tcW w:w="1710" w:type="pct"/>
            <w:vAlign w:val="center"/>
          </w:tcPr>
          <w:p w14:paraId="5A7BD359">
            <w:pPr>
              <w:rPr>
                <w:rFonts w:ascii="宋体" w:hAnsi="宋体" w:cs="黑体"/>
                <w:color w:val="auto"/>
                <w:szCs w:val="21"/>
                <w:highlight w:val="none"/>
              </w:rPr>
            </w:pPr>
            <w:r>
              <w:rPr>
                <w:rFonts w:hint="eastAsia" w:ascii="宋体" w:hAnsi="宋体" w:cs="黑体"/>
                <w:color w:val="auto"/>
                <w:szCs w:val="21"/>
                <w:highlight w:val="none"/>
              </w:rPr>
              <w:t>按招标文件要求报价；</w:t>
            </w:r>
          </w:p>
        </w:tc>
        <w:tc>
          <w:tcPr>
            <w:tcW w:w="2889" w:type="pct"/>
            <w:tcBorders>
              <w:top w:val="single" w:color="auto" w:sz="4" w:space="0"/>
              <w:left w:val="single" w:color="auto" w:sz="4" w:space="0"/>
              <w:bottom w:val="single" w:color="auto" w:sz="4" w:space="0"/>
              <w:right w:val="single" w:color="auto" w:sz="4" w:space="0"/>
            </w:tcBorders>
            <w:vAlign w:val="center"/>
          </w:tcPr>
          <w:p w14:paraId="2E83575F">
            <w:pPr>
              <w:adjustRightInd w:val="0"/>
              <w:snapToGrid w:val="0"/>
              <w:rPr>
                <w:rFonts w:hint="default" w:ascii="宋体" w:hAnsi="宋体" w:eastAsia="宋体" w:cs="宋体"/>
                <w:color w:val="auto"/>
                <w:szCs w:val="21"/>
                <w:highlight w:val="none"/>
                <w:lang w:val="en-US" w:eastAsia="zh-CN"/>
              </w:rPr>
            </w:pPr>
            <w:r>
              <w:rPr>
                <w:rFonts w:hint="eastAsia" w:ascii="宋体" w:hAnsi="宋体" w:cs="宋体"/>
                <w:color w:val="auto"/>
                <w:kern w:val="0"/>
                <w:szCs w:val="21"/>
                <w:highlight w:val="none"/>
              </w:rPr>
              <w:t>报价未超限价，不存在缺项、漏项；没有出现两个及以上不同报价或投标方案；</w:t>
            </w:r>
          </w:p>
        </w:tc>
      </w:tr>
      <w:tr w14:paraId="6F4C9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7FB32A8E">
            <w:pPr>
              <w:widowControl/>
              <w:numPr>
                <w:ilvl w:val="0"/>
                <w:numId w:val="46"/>
              </w:numPr>
              <w:contextualSpacing/>
              <w:jc w:val="center"/>
              <w:rPr>
                <w:rFonts w:ascii="宋体" w:hAnsi="宋体" w:cs="宋体"/>
                <w:color w:val="auto"/>
                <w:szCs w:val="21"/>
                <w:highlight w:val="none"/>
              </w:rPr>
            </w:pPr>
          </w:p>
        </w:tc>
        <w:tc>
          <w:tcPr>
            <w:tcW w:w="1710" w:type="pct"/>
            <w:vAlign w:val="center"/>
          </w:tcPr>
          <w:p w14:paraId="1F5E0B18">
            <w:pPr>
              <w:rPr>
                <w:rFonts w:ascii="宋体" w:hAnsi="宋体" w:cs="黑体"/>
                <w:color w:val="auto"/>
                <w:szCs w:val="21"/>
                <w:highlight w:val="none"/>
              </w:rPr>
            </w:pPr>
            <w:r>
              <w:rPr>
                <w:rFonts w:hint="eastAsia" w:ascii="宋体" w:hAnsi="宋体" w:cs="黑体"/>
                <w:color w:val="auto"/>
                <w:szCs w:val="21"/>
                <w:highlight w:val="none"/>
              </w:rPr>
              <w:t>按要求缴纳保证金；</w:t>
            </w:r>
          </w:p>
        </w:tc>
        <w:tc>
          <w:tcPr>
            <w:tcW w:w="2889" w:type="pct"/>
            <w:tcBorders>
              <w:top w:val="single" w:color="auto" w:sz="4" w:space="0"/>
              <w:left w:val="single" w:color="auto" w:sz="4" w:space="0"/>
              <w:bottom w:val="single" w:color="auto" w:sz="4" w:space="0"/>
              <w:right w:val="single" w:color="auto" w:sz="4" w:space="0"/>
            </w:tcBorders>
            <w:vAlign w:val="center"/>
          </w:tcPr>
          <w:p w14:paraId="4D3A714C">
            <w:pPr>
              <w:adjustRightInd w:val="0"/>
              <w:snapToGrid w:val="0"/>
              <w:rPr>
                <w:rFonts w:ascii="宋体" w:hAnsi="宋体" w:cs="宋体"/>
                <w:color w:val="auto"/>
                <w:szCs w:val="21"/>
                <w:highlight w:val="none"/>
              </w:rPr>
            </w:pPr>
            <w:r>
              <w:rPr>
                <w:rFonts w:hint="eastAsia" w:ascii="宋体" w:hAnsi="宋体" w:cs="黑体"/>
                <w:color w:val="auto"/>
                <w:szCs w:val="21"/>
                <w:highlight w:val="none"/>
              </w:rPr>
              <w:t>按要求缴纳保证金；</w:t>
            </w:r>
          </w:p>
        </w:tc>
      </w:tr>
      <w:tr w14:paraId="09A7C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0D7B6B81">
            <w:pPr>
              <w:widowControl/>
              <w:numPr>
                <w:ilvl w:val="0"/>
                <w:numId w:val="46"/>
              </w:numPr>
              <w:contextualSpacing/>
              <w:jc w:val="center"/>
              <w:rPr>
                <w:rFonts w:ascii="宋体" w:hAnsi="宋体" w:cs="宋体"/>
                <w:color w:val="auto"/>
                <w:szCs w:val="21"/>
                <w:highlight w:val="none"/>
              </w:rPr>
            </w:pPr>
          </w:p>
        </w:tc>
        <w:tc>
          <w:tcPr>
            <w:tcW w:w="1710" w:type="pct"/>
            <w:vAlign w:val="center"/>
          </w:tcPr>
          <w:p w14:paraId="76F9E575">
            <w:pPr>
              <w:rPr>
                <w:rFonts w:ascii="宋体" w:hAnsi="宋体" w:cs="黑体"/>
                <w:color w:val="auto"/>
                <w:szCs w:val="21"/>
                <w:highlight w:val="none"/>
              </w:rPr>
            </w:pPr>
            <w:r>
              <w:rPr>
                <w:rFonts w:hint="eastAsia" w:ascii="宋体" w:hAnsi="宋体" w:cs="黑体"/>
                <w:color w:val="auto"/>
                <w:szCs w:val="21"/>
                <w:highlight w:val="none"/>
              </w:rPr>
              <w:t>服务期满足招标文件规定；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50084097">
            <w:pPr>
              <w:adjustRightInd w:val="0"/>
              <w:snapToGrid w:val="0"/>
              <w:rPr>
                <w:rFonts w:ascii="宋体" w:hAnsi="宋体" w:cs="宋体"/>
                <w:color w:val="auto"/>
                <w:szCs w:val="21"/>
                <w:highlight w:val="none"/>
              </w:rPr>
            </w:pPr>
            <w:r>
              <w:rPr>
                <w:rFonts w:hint="eastAsia" w:ascii="宋体" w:hAnsi="宋体" w:cs="黑体"/>
                <w:color w:val="auto"/>
                <w:szCs w:val="21"/>
                <w:highlight w:val="none"/>
              </w:rPr>
              <w:t>服务期满足招标文件规定；</w:t>
            </w:r>
          </w:p>
        </w:tc>
      </w:tr>
      <w:tr w14:paraId="4C150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00F9B39D">
            <w:pPr>
              <w:widowControl/>
              <w:numPr>
                <w:ilvl w:val="0"/>
                <w:numId w:val="46"/>
              </w:numPr>
              <w:contextualSpacing/>
              <w:jc w:val="center"/>
              <w:rPr>
                <w:rFonts w:ascii="宋体" w:hAnsi="宋体" w:cs="宋体"/>
                <w:color w:val="auto"/>
                <w:szCs w:val="21"/>
                <w:highlight w:val="none"/>
              </w:rPr>
            </w:pPr>
          </w:p>
        </w:tc>
        <w:tc>
          <w:tcPr>
            <w:tcW w:w="1710" w:type="pct"/>
            <w:vAlign w:val="center"/>
          </w:tcPr>
          <w:p w14:paraId="3B27D68B">
            <w:pPr>
              <w:rPr>
                <w:rFonts w:ascii="宋体" w:hAnsi="宋体" w:cs="黑体"/>
                <w:color w:val="auto"/>
                <w:szCs w:val="21"/>
                <w:highlight w:val="none"/>
              </w:rPr>
            </w:pPr>
            <w:r>
              <w:rPr>
                <w:rFonts w:hint="eastAsia" w:ascii="宋体" w:hAnsi="宋体" w:cs="黑体"/>
                <w:color w:val="auto"/>
                <w:szCs w:val="21"/>
                <w:highlight w:val="none"/>
              </w:rPr>
              <w:t>投标有效期满足招标文件规定；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32F6C197">
            <w:pPr>
              <w:adjustRightInd w:val="0"/>
              <w:snapToGrid w:val="0"/>
              <w:rPr>
                <w:rFonts w:ascii="宋体" w:hAnsi="宋体" w:cs="宋体"/>
                <w:color w:val="auto"/>
                <w:szCs w:val="21"/>
                <w:highlight w:val="none"/>
              </w:rPr>
            </w:pPr>
            <w:r>
              <w:rPr>
                <w:rFonts w:hint="eastAsia" w:ascii="宋体" w:hAnsi="宋体" w:cs="黑体"/>
                <w:color w:val="auto"/>
                <w:szCs w:val="21"/>
                <w:highlight w:val="none"/>
              </w:rPr>
              <w:t>投标有效期满足招标文件规定；</w:t>
            </w:r>
          </w:p>
        </w:tc>
      </w:tr>
      <w:tr w14:paraId="4096B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4E9B1798">
            <w:pPr>
              <w:widowControl/>
              <w:numPr>
                <w:ilvl w:val="0"/>
                <w:numId w:val="46"/>
              </w:numPr>
              <w:contextualSpacing/>
              <w:jc w:val="center"/>
              <w:rPr>
                <w:rFonts w:ascii="宋体" w:hAnsi="宋体" w:cs="宋体"/>
                <w:color w:val="auto"/>
                <w:szCs w:val="21"/>
                <w:highlight w:val="none"/>
              </w:rPr>
            </w:pPr>
          </w:p>
        </w:tc>
        <w:tc>
          <w:tcPr>
            <w:tcW w:w="1710" w:type="pct"/>
            <w:vAlign w:val="center"/>
          </w:tcPr>
          <w:p w14:paraId="15EBC08F">
            <w:pPr>
              <w:rPr>
                <w:rFonts w:ascii="宋体" w:hAnsi="宋体" w:cs="黑体"/>
                <w:color w:val="auto"/>
                <w:szCs w:val="21"/>
                <w:highlight w:val="none"/>
              </w:rPr>
            </w:pPr>
            <w:r>
              <w:rPr>
                <w:rFonts w:hint="eastAsia" w:ascii="宋体" w:hAnsi="宋体" w:cs="黑体"/>
                <w:color w:val="auto"/>
                <w:szCs w:val="21"/>
                <w:highlight w:val="none"/>
              </w:rPr>
              <w:t>投标文件中未附有采购人不能接受条件；</w:t>
            </w:r>
          </w:p>
        </w:tc>
        <w:tc>
          <w:tcPr>
            <w:tcW w:w="2889" w:type="pct"/>
            <w:tcBorders>
              <w:top w:val="single" w:color="auto" w:sz="4" w:space="0"/>
              <w:left w:val="single" w:color="auto" w:sz="4" w:space="0"/>
              <w:bottom w:val="single" w:color="auto" w:sz="4" w:space="0"/>
              <w:right w:val="single" w:color="auto" w:sz="4" w:space="0"/>
            </w:tcBorders>
            <w:vAlign w:val="center"/>
          </w:tcPr>
          <w:p w14:paraId="0F38A080">
            <w:pPr>
              <w:adjustRightInd w:val="0"/>
              <w:snapToGrid w:val="0"/>
              <w:rPr>
                <w:rFonts w:ascii="宋体" w:hAnsi="宋体" w:cs="宋体"/>
                <w:color w:val="auto"/>
                <w:szCs w:val="21"/>
                <w:highlight w:val="none"/>
              </w:rPr>
            </w:pPr>
            <w:r>
              <w:rPr>
                <w:rFonts w:hint="eastAsia" w:ascii="宋体" w:hAnsi="宋体" w:cs="黑体"/>
                <w:color w:val="auto"/>
                <w:szCs w:val="21"/>
                <w:highlight w:val="none"/>
              </w:rPr>
              <w:t>投标文件中未附有采购人不能接受条件；</w:t>
            </w:r>
          </w:p>
        </w:tc>
      </w:tr>
      <w:tr w14:paraId="06959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46EFF0E0">
            <w:pPr>
              <w:widowControl/>
              <w:numPr>
                <w:ilvl w:val="0"/>
                <w:numId w:val="46"/>
              </w:numPr>
              <w:contextualSpacing/>
              <w:jc w:val="center"/>
              <w:rPr>
                <w:rFonts w:ascii="宋体" w:hAnsi="宋体" w:cs="宋体"/>
                <w:color w:val="auto"/>
                <w:szCs w:val="21"/>
                <w:highlight w:val="none"/>
              </w:rPr>
            </w:pPr>
          </w:p>
        </w:tc>
        <w:tc>
          <w:tcPr>
            <w:tcW w:w="1710" w:type="pct"/>
            <w:vAlign w:val="center"/>
          </w:tcPr>
          <w:p w14:paraId="5C6BD229">
            <w:pPr>
              <w:rPr>
                <w:rFonts w:ascii="宋体" w:hAnsi="宋体" w:cs="黑体"/>
                <w:color w:val="auto"/>
                <w:szCs w:val="21"/>
                <w:highlight w:val="none"/>
              </w:rPr>
            </w:pPr>
            <w:r>
              <w:rPr>
                <w:rFonts w:hint="eastAsia" w:ascii="宋体" w:hAnsi="宋体" w:cs="黑体"/>
                <w:color w:val="auto"/>
                <w:szCs w:val="21"/>
                <w:highlight w:val="none"/>
              </w:rPr>
              <w:t>投标文件满足招标文件技术、服务及商务等实质性要求；</w:t>
            </w:r>
          </w:p>
        </w:tc>
        <w:tc>
          <w:tcPr>
            <w:tcW w:w="2889" w:type="pct"/>
            <w:tcBorders>
              <w:top w:val="single" w:color="auto" w:sz="4" w:space="0"/>
              <w:left w:val="single" w:color="auto" w:sz="4" w:space="0"/>
              <w:bottom w:val="single" w:color="auto" w:sz="4" w:space="0"/>
              <w:right w:val="single" w:color="auto" w:sz="4" w:space="0"/>
            </w:tcBorders>
            <w:vAlign w:val="center"/>
          </w:tcPr>
          <w:p w14:paraId="466243C8">
            <w:pPr>
              <w:rPr>
                <w:rFonts w:ascii="宋体" w:hAnsi="宋体" w:cs="黑体"/>
                <w:color w:val="auto"/>
                <w:szCs w:val="21"/>
                <w:highlight w:val="none"/>
              </w:rPr>
            </w:pPr>
            <w:r>
              <w:rPr>
                <w:rFonts w:hint="eastAsia" w:ascii="宋体" w:hAnsi="宋体" w:cs="黑体"/>
                <w:color w:val="auto"/>
                <w:szCs w:val="21"/>
                <w:highlight w:val="none"/>
              </w:rPr>
              <w:t>满足招标文件技术、服务、商务、</w:t>
            </w:r>
            <w:r>
              <w:rPr>
                <w:rFonts w:hint="eastAsia" w:ascii="宋体" w:hAnsi="宋体" w:eastAsia="宋体" w:cs="宋体"/>
                <w:b/>
                <w:bCs/>
                <w:color w:val="auto"/>
                <w:szCs w:val="21"/>
                <w:highlight w:val="none"/>
              </w:rPr>
              <w:t>★</w:t>
            </w:r>
            <w:r>
              <w:rPr>
                <w:rFonts w:hint="eastAsia" w:ascii="宋体" w:hAnsi="宋体" w:cs="黑体"/>
                <w:b/>
                <w:bCs/>
                <w:color w:val="auto"/>
                <w:szCs w:val="21"/>
                <w:highlight w:val="none"/>
              </w:rPr>
              <w:t>条款</w:t>
            </w:r>
            <w:r>
              <w:rPr>
                <w:rFonts w:hint="eastAsia" w:ascii="宋体" w:hAnsi="宋体" w:cs="黑体"/>
                <w:color w:val="auto"/>
                <w:szCs w:val="21"/>
                <w:highlight w:val="none"/>
              </w:rPr>
              <w:t>（如有）等实质性要求；</w:t>
            </w:r>
          </w:p>
        </w:tc>
      </w:tr>
      <w:tr w14:paraId="76FAE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277A8A7D">
            <w:pPr>
              <w:widowControl/>
              <w:numPr>
                <w:ilvl w:val="0"/>
                <w:numId w:val="46"/>
              </w:numPr>
              <w:contextualSpacing/>
              <w:jc w:val="center"/>
              <w:rPr>
                <w:rFonts w:ascii="宋体" w:hAnsi="宋体" w:cs="宋体"/>
                <w:color w:val="auto"/>
                <w:szCs w:val="21"/>
                <w:highlight w:val="none"/>
              </w:rPr>
            </w:pPr>
          </w:p>
        </w:tc>
        <w:tc>
          <w:tcPr>
            <w:tcW w:w="1710" w:type="pct"/>
            <w:vAlign w:val="center"/>
          </w:tcPr>
          <w:p w14:paraId="7759F5A8">
            <w:pPr>
              <w:rPr>
                <w:rFonts w:ascii="宋体" w:hAnsi="宋体" w:cs="宋体"/>
                <w:color w:val="auto"/>
                <w:szCs w:val="21"/>
                <w:highlight w:val="none"/>
              </w:rPr>
            </w:pPr>
            <w:r>
              <w:rPr>
                <w:rFonts w:hint="eastAsia" w:ascii="宋体" w:hAnsi="宋体" w:cs="宋体"/>
                <w:color w:val="auto"/>
                <w:szCs w:val="21"/>
                <w:highlight w:val="none"/>
              </w:rPr>
              <w:t>无围标串标情况；</w:t>
            </w:r>
          </w:p>
        </w:tc>
        <w:tc>
          <w:tcPr>
            <w:tcW w:w="2889" w:type="pct"/>
            <w:tcBorders>
              <w:top w:val="single" w:color="auto" w:sz="4" w:space="0"/>
              <w:left w:val="single" w:color="auto" w:sz="4" w:space="0"/>
              <w:bottom w:val="single" w:color="auto" w:sz="4" w:space="0"/>
              <w:right w:val="single" w:color="auto" w:sz="4" w:space="0"/>
            </w:tcBorders>
            <w:vAlign w:val="center"/>
          </w:tcPr>
          <w:p w14:paraId="4FFCD4DD">
            <w:pPr>
              <w:adjustRightInd w:val="0"/>
              <w:snapToGrid w:val="0"/>
              <w:rPr>
                <w:rFonts w:ascii="宋体" w:hAnsi="宋体" w:cs="宋体"/>
                <w:color w:val="auto"/>
                <w:szCs w:val="21"/>
                <w:highlight w:val="none"/>
              </w:rPr>
            </w:pPr>
            <w:r>
              <w:rPr>
                <w:rFonts w:hint="eastAsia" w:ascii="宋体" w:hAnsi="宋体"/>
                <w:color w:val="auto"/>
                <w:szCs w:val="21"/>
                <w:highlight w:val="none"/>
              </w:rPr>
              <w:t>投标人没有下列任一情形</w:t>
            </w:r>
            <w:r>
              <w:rPr>
                <w:rFonts w:hint="eastAsia" w:ascii="宋体" w:hAnsi="宋体" w:cs="宋体"/>
                <w:color w:val="auto"/>
                <w:szCs w:val="21"/>
                <w:highlight w:val="none"/>
              </w:rPr>
              <w:t>：</w:t>
            </w:r>
            <w:r>
              <w:rPr>
                <w:rFonts w:hint="eastAsia" w:ascii="宋体" w:hAnsi="宋体" w:cs="宋体"/>
                <w:color w:val="auto"/>
                <w:szCs w:val="21"/>
                <w:highlight w:val="none"/>
              </w:rPr>
              <w:br w:type="textWrapping"/>
            </w:r>
            <w:r>
              <w:rPr>
                <w:rFonts w:hint="eastAsia" w:ascii="宋体" w:hAnsi="宋体" w:cs="宋体"/>
                <w:color w:val="auto"/>
                <w:szCs w:val="21"/>
                <w:highlight w:val="none"/>
              </w:rPr>
              <w:t>（1）不同投标人的投标文件由同一单位或者个人编制；</w:t>
            </w:r>
            <w:r>
              <w:rPr>
                <w:rFonts w:hint="eastAsia" w:ascii="宋体" w:hAnsi="宋体" w:cs="宋体"/>
                <w:color w:val="auto"/>
                <w:szCs w:val="21"/>
                <w:highlight w:val="none"/>
              </w:rPr>
              <w:br w:type="textWrapping"/>
            </w:r>
            <w:r>
              <w:rPr>
                <w:rFonts w:hint="eastAsia" w:ascii="宋体" w:hAnsi="宋体" w:cs="宋体"/>
                <w:color w:val="auto"/>
                <w:szCs w:val="21"/>
                <w:highlight w:val="none"/>
              </w:rPr>
              <w:t>（2）不同投标人委托同一单位或者个人办理投标事宜；</w:t>
            </w:r>
            <w:r>
              <w:rPr>
                <w:rFonts w:hint="eastAsia" w:ascii="宋体" w:hAnsi="宋体" w:cs="宋体"/>
                <w:color w:val="auto"/>
                <w:szCs w:val="21"/>
                <w:highlight w:val="none"/>
              </w:rPr>
              <w:br w:type="textWrapping"/>
            </w:r>
            <w:r>
              <w:rPr>
                <w:rFonts w:hint="eastAsia" w:ascii="宋体" w:hAnsi="宋体" w:cs="宋体"/>
                <w:color w:val="auto"/>
                <w:szCs w:val="21"/>
                <w:highlight w:val="none"/>
              </w:rPr>
              <w:t>（3）不同投标人的投标文件载明的项目管理成员或者联系人员为同一人；</w:t>
            </w:r>
            <w:r>
              <w:rPr>
                <w:rFonts w:hint="eastAsia" w:ascii="宋体" w:hAnsi="宋体" w:cs="宋体"/>
                <w:color w:val="auto"/>
                <w:szCs w:val="21"/>
                <w:highlight w:val="none"/>
              </w:rPr>
              <w:br w:type="textWrapping"/>
            </w:r>
            <w:r>
              <w:rPr>
                <w:rFonts w:hint="eastAsia" w:ascii="宋体" w:hAnsi="宋体" w:cs="宋体"/>
                <w:color w:val="auto"/>
                <w:szCs w:val="21"/>
                <w:highlight w:val="none"/>
              </w:rPr>
              <w:t>（4）不同投标人的投标文件异常一致或者报价呈规律性差异；</w:t>
            </w:r>
            <w:r>
              <w:rPr>
                <w:rFonts w:hint="eastAsia" w:ascii="宋体" w:hAnsi="宋体" w:cs="宋体"/>
                <w:color w:val="auto"/>
                <w:szCs w:val="21"/>
                <w:highlight w:val="none"/>
              </w:rPr>
              <w:br w:type="textWrapping"/>
            </w:r>
            <w:r>
              <w:rPr>
                <w:rFonts w:hint="eastAsia" w:ascii="宋体" w:hAnsi="宋体" w:cs="宋体"/>
                <w:color w:val="auto"/>
                <w:szCs w:val="21"/>
                <w:highlight w:val="none"/>
              </w:rPr>
              <w:t>（5）不同投标人的投标文件相互混装；</w:t>
            </w:r>
            <w:r>
              <w:rPr>
                <w:rFonts w:hint="eastAsia" w:ascii="宋体" w:hAnsi="宋体" w:cs="宋体"/>
                <w:color w:val="auto"/>
                <w:szCs w:val="21"/>
                <w:highlight w:val="none"/>
              </w:rPr>
              <w:br w:type="textWrapping"/>
            </w:r>
            <w:r>
              <w:rPr>
                <w:rFonts w:hint="eastAsia" w:ascii="宋体" w:hAnsi="宋体" w:cs="宋体"/>
                <w:color w:val="auto"/>
                <w:szCs w:val="21"/>
                <w:highlight w:val="none"/>
              </w:rPr>
              <w:t>（6）不同投标人的保证金从同一单位或者个人的账户转出。</w:t>
            </w:r>
          </w:p>
        </w:tc>
      </w:tr>
      <w:tr w14:paraId="22821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4A256CF1">
            <w:pPr>
              <w:widowControl/>
              <w:numPr>
                <w:ilvl w:val="0"/>
                <w:numId w:val="46"/>
              </w:numPr>
              <w:contextualSpacing/>
              <w:jc w:val="center"/>
              <w:rPr>
                <w:rFonts w:ascii="宋体" w:hAnsi="宋体" w:cs="宋体"/>
                <w:color w:val="auto"/>
                <w:szCs w:val="21"/>
                <w:highlight w:val="none"/>
              </w:rPr>
            </w:pPr>
          </w:p>
        </w:tc>
        <w:tc>
          <w:tcPr>
            <w:tcW w:w="1710" w:type="pct"/>
            <w:vAlign w:val="center"/>
          </w:tcPr>
          <w:p w14:paraId="1B463F50">
            <w:pPr>
              <w:rPr>
                <w:rFonts w:ascii="宋体" w:hAnsi="宋体"/>
                <w:color w:val="auto"/>
                <w:szCs w:val="21"/>
                <w:highlight w:val="none"/>
              </w:rPr>
            </w:pPr>
            <w:r>
              <w:rPr>
                <w:rFonts w:hint="eastAsia" w:ascii="宋体" w:hAnsi="宋体" w:cs="宋体"/>
                <w:color w:val="auto"/>
                <w:kern w:val="0"/>
                <w:szCs w:val="21"/>
                <w:highlight w:val="none"/>
              </w:rPr>
              <w:t>无其他无效投标情形</w:t>
            </w:r>
            <w:r>
              <w:rPr>
                <w:rFonts w:hint="eastAsia" w:ascii="宋体" w:hAnsi="宋体"/>
                <w:color w:val="auto"/>
                <w:szCs w:val="21"/>
                <w:highlight w:val="none"/>
              </w:rPr>
              <w:t>；</w:t>
            </w:r>
          </w:p>
        </w:tc>
        <w:tc>
          <w:tcPr>
            <w:tcW w:w="2889" w:type="pct"/>
            <w:tcBorders>
              <w:top w:val="single" w:color="auto" w:sz="4" w:space="0"/>
              <w:left w:val="single" w:color="auto" w:sz="4" w:space="0"/>
              <w:bottom w:val="single" w:color="auto" w:sz="4" w:space="0"/>
              <w:right w:val="single" w:color="auto" w:sz="4" w:space="0"/>
            </w:tcBorders>
            <w:vAlign w:val="center"/>
          </w:tcPr>
          <w:p w14:paraId="667B1E44">
            <w:pPr>
              <w:adjustRightInd w:val="0"/>
              <w:snapToGrid w:val="0"/>
              <w:rPr>
                <w:rFonts w:ascii="宋体" w:hAnsi="宋体" w:cs="宋体"/>
                <w:color w:val="auto"/>
                <w:szCs w:val="21"/>
                <w:highlight w:val="none"/>
              </w:rPr>
            </w:pPr>
            <w:r>
              <w:rPr>
                <w:rFonts w:hint="eastAsia" w:ascii="宋体" w:hAnsi="宋体" w:cs="宋体"/>
                <w:color w:val="auto"/>
                <w:kern w:val="0"/>
                <w:szCs w:val="21"/>
                <w:highlight w:val="none"/>
              </w:rPr>
              <w:t>没有法律、法规和招标文件规定的其他无效投标情形</w:t>
            </w:r>
            <w:r>
              <w:rPr>
                <w:rFonts w:hint="eastAsia" w:ascii="宋体" w:hAnsi="宋体"/>
                <w:color w:val="auto"/>
                <w:szCs w:val="21"/>
                <w:highlight w:val="none"/>
              </w:rPr>
              <w:t>；</w:t>
            </w:r>
          </w:p>
        </w:tc>
      </w:tr>
    </w:tbl>
    <w:p w14:paraId="2DD853E4">
      <w:pPr>
        <w:tabs>
          <w:tab w:val="center" w:pos="4153"/>
          <w:tab w:val="right" w:pos="8306"/>
        </w:tabs>
        <w:snapToGrid w:val="0"/>
        <w:rPr>
          <w:rFonts w:ascii="宋体" w:hAnsi="宋体"/>
          <w:color w:val="auto"/>
          <w:szCs w:val="21"/>
          <w:highlight w:val="none"/>
        </w:rPr>
      </w:pPr>
    </w:p>
    <w:p w14:paraId="1FCC2213">
      <w:pPr>
        <w:tabs>
          <w:tab w:val="center" w:pos="4153"/>
          <w:tab w:val="right" w:pos="8306"/>
        </w:tabs>
        <w:snapToGrid w:val="0"/>
        <w:rPr>
          <w:rFonts w:ascii="宋体" w:hAnsi="宋体" w:cs="黑体"/>
          <w:color w:val="auto"/>
          <w:szCs w:val="18"/>
          <w:highlight w:val="none"/>
        </w:rPr>
      </w:pPr>
      <w:r>
        <w:rPr>
          <w:rFonts w:hint="eastAsia" w:ascii="宋体" w:hAnsi="宋体"/>
          <w:color w:val="auto"/>
          <w:szCs w:val="21"/>
          <w:highlight w:val="none"/>
        </w:rPr>
        <w:t>说明：</w:t>
      </w:r>
    </w:p>
    <w:p w14:paraId="74D9B00F">
      <w:pPr>
        <w:adjustRightInd w:val="0"/>
        <w:ind w:left="249"/>
        <w:rPr>
          <w:rFonts w:ascii="宋体" w:hAnsi="宋体"/>
          <w:color w:val="auto"/>
          <w:szCs w:val="21"/>
          <w:highlight w:val="none"/>
          <w:lang w:val="zh-CN"/>
        </w:rPr>
      </w:pPr>
      <w:r>
        <w:rPr>
          <w:rFonts w:hint="eastAsia" w:ascii="宋体" w:hAnsi="宋体"/>
          <w:color w:val="auto"/>
          <w:highlight w:val="none"/>
        </w:rPr>
        <w:t>1、</w:t>
      </w:r>
      <w:r>
        <w:rPr>
          <w:rFonts w:hint="eastAsia" w:ascii="宋体" w:hAnsi="宋体"/>
          <w:color w:val="auto"/>
          <w:szCs w:val="21"/>
          <w:highlight w:val="none"/>
          <w:lang w:val="zh-CN"/>
        </w:rPr>
        <w:t>投标文件中有任意一条不满足上表要求的将导致其投标无效，不进入下一项评审。</w:t>
      </w:r>
    </w:p>
    <w:p w14:paraId="4566116B">
      <w:pPr>
        <w:widowControl/>
        <w:spacing w:line="276" w:lineRule="auto"/>
        <w:ind w:firstLine="283" w:firstLineChars="135"/>
        <w:jc w:val="left"/>
        <w:rPr>
          <w:rFonts w:hAnsi="宋体"/>
          <w:b/>
          <w:color w:val="auto"/>
          <w:szCs w:val="21"/>
          <w:highlight w:val="none"/>
          <w:lang w:val="zh-CN"/>
        </w:rPr>
      </w:pPr>
      <w:r>
        <w:rPr>
          <w:rFonts w:hint="eastAsia" w:ascii="宋体" w:hAnsi="宋体"/>
          <w:color w:val="auto"/>
          <w:szCs w:val="21"/>
          <w:highlight w:val="none"/>
          <w:lang w:val="zh-CN"/>
        </w:rPr>
        <w:t>2、符合性审查合格投标人不足3家的，不进行下一步评审。</w:t>
      </w:r>
    </w:p>
    <w:p w14:paraId="7455972F">
      <w:pPr>
        <w:widowControl/>
        <w:spacing w:line="276" w:lineRule="auto"/>
        <w:jc w:val="left"/>
        <w:rPr>
          <w:rFonts w:hAnsi="宋体"/>
          <w:b/>
          <w:color w:val="auto"/>
          <w:szCs w:val="21"/>
          <w:highlight w:val="none"/>
          <w:lang w:val="zh-CN"/>
        </w:rPr>
      </w:pPr>
    </w:p>
    <w:p w14:paraId="77D6287D">
      <w:pPr>
        <w:numPr>
          <w:ilvl w:val="0"/>
          <w:numId w:val="45"/>
        </w:numPr>
        <w:spacing w:line="276" w:lineRule="auto"/>
        <w:ind w:left="1064" w:leftChars="154" w:hanging="741" w:hangingChars="353"/>
        <w:rPr>
          <w:rFonts w:ascii="宋体" w:hAnsi="宋体"/>
          <w:b/>
          <w:color w:val="auto"/>
          <w:szCs w:val="21"/>
          <w:highlight w:val="none"/>
          <w:lang w:val="zh-CN"/>
        </w:rPr>
      </w:pPr>
      <w:r>
        <w:rPr>
          <w:rFonts w:hint="eastAsia" w:ascii="宋体" w:hAnsi="宋体"/>
          <w:b/>
          <w:color w:val="auto"/>
          <w:szCs w:val="21"/>
          <w:highlight w:val="none"/>
          <w:lang w:val="zh-CN"/>
        </w:rPr>
        <w:t>澄清</w:t>
      </w:r>
    </w:p>
    <w:p w14:paraId="2030C6E5">
      <w:pPr>
        <w:numPr>
          <w:ilvl w:val="0"/>
          <w:numId w:val="47"/>
        </w:numPr>
        <w:tabs>
          <w:tab w:val="left" w:pos="616"/>
        </w:tabs>
        <w:spacing w:line="276" w:lineRule="auto"/>
        <w:ind w:left="10" w:leftChars="5" w:firstLine="207" w:firstLineChars="99"/>
        <w:rPr>
          <w:rFonts w:ascii="Helvetica" w:hAnsi="Helvetica" w:cs="Helvetica"/>
          <w:color w:val="auto"/>
          <w:kern w:val="0"/>
          <w:szCs w:val="21"/>
          <w:highlight w:val="none"/>
          <w:lang w:val="zh-CN"/>
        </w:rPr>
      </w:pPr>
      <w:r>
        <w:rPr>
          <w:rFonts w:hint="eastAsia" w:ascii="Helvetica" w:hAnsi="Helvetica" w:cs="Helvetica"/>
          <w:color w:val="auto"/>
          <w:kern w:val="0"/>
          <w:szCs w:val="21"/>
          <w:highlight w:val="none"/>
          <w:lang w:val="zh-CN"/>
        </w:rPr>
        <w:t>评审期间，对于投标文件中含义不明确、同类问题表述不一致或者有明显文字和计算错误的内容，评标委员会应当以书面形式要求投标人作出必要的澄清、说明或者补正。</w:t>
      </w:r>
    </w:p>
    <w:p w14:paraId="1F9ACA94">
      <w:pPr>
        <w:numPr>
          <w:ilvl w:val="0"/>
          <w:numId w:val="47"/>
        </w:numPr>
        <w:tabs>
          <w:tab w:val="left" w:pos="616"/>
        </w:tabs>
        <w:spacing w:line="276" w:lineRule="auto"/>
        <w:ind w:left="10" w:leftChars="5" w:firstLine="207" w:firstLineChars="99"/>
        <w:rPr>
          <w:rFonts w:ascii="宋体" w:hAnsi="宋体"/>
          <w:bCs/>
          <w:strike/>
          <w:color w:val="auto"/>
          <w:szCs w:val="21"/>
          <w:highlight w:val="none"/>
          <w:lang w:val="zh-CN"/>
        </w:rPr>
      </w:pPr>
      <w:r>
        <w:rPr>
          <w:rFonts w:hint="eastAsia" w:ascii="宋体" w:hAnsi="宋体"/>
          <w:bCs/>
          <w:color w:val="auto"/>
          <w:szCs w:val="21"/>
          <w:highlight w:val="none"/>
          <w:lang w:val="zh-CN"/>
        </w:rPr>
        <w:t>投标人应按照评标委员会要求的澄清内容在规定时间内做出澄清。</w:t>
      </w:r>
      <w:r>
        <w:rPr>
          <w:rFonts w:hint="eastAsia" w:ascii="宋体" w:hAnsi="宋体"/>
          <w:color w:val="auto"/>
          <w:szCs w:val="21"/>
          <w:highlight w:val="none"/>
          <w:lang w:val="zh-CN"/>
        </w:rPr>
        <w:t>投标文件报价出现前后不一致的，按照本节第3</w:t>
      </w:r>
      <w:r>
        <w:rPr>
          <w:rFonts w:hint="eastAsia" w:ascii="宋体" w:hAnsi="宋体"/>
          <w:bCs/>
          <w:color w:val="auto"/>
          <w:szCs w:val="21"/>
          <w:highlight w:val="none"/>
          <w:lang w:val="zh-CN"/>
        </w:rPr>
        <w:t>条规定进行修正，</w:t>
      </w:r>
      <w:r>
        <w:rPr>
          <w:rFonts w:hint="eastAsia" w:ascii="Helvetica" w:hAnsi="Helvetica" w:cs="Helvetica"/>
          <w:color w:val="auto"/>
          <w:kern w:val="0"/>
          <w:szCs w:val="21"/>
          <w:highlight w:val="none"/>
          <w:lang w:val="zh-CN"/>
        </w:rPr>
        <w:t>投标人的澄清、说明或者补正不得超出投标文件的范围或者改变投标文件的实质性内容。</w:t>
      </w:r>
    </w:p>
    <w:p w14:paraId="59EE03C5">
      <w:pPr>
        <w:numPr>
          <w:ilvl w:val="0"/>
          <w:numId w:val="47"/>
        </w:numPr>
        <w:tabs>
          <w:tab w:val="left" w:pos="616"/>
        </w:tabs>
        <w:spacing w:line="276" w:lineRule="auto"/>
        <w:ind w:left="10" w:leftChars="5" w:firstLine="207" w:firstLineChars="99"/>
        <w:rPr>
          <w:rFonts w:ascii="宋体" w:hAnsi="宋体"/>
          <w:bCs/>
          <w:color w:val="auto"/>
          <w:szCs w:val="21"/>
          <w:highlight w:val="none"/>
          <w:lang w:val="zh-CN"/>
        </w:rPr>
      </w:pPr>
      <w:r>
        <w:rPr>
          <w:rFonts w:hint="eastAsia" w:ascii="宋体" w:hAnsi="宋体"/>
          <w:bCs/>
          <w:color w:val="auto"/>
          <w:szCs w:val="21"/>
          <w:highlight w:val="none"/>
          <w:lang w:val="zh-CN"/>
        </w:rPr>
        <w:t>投标文件报价出现前后不一致的，按照下列规定修正：</w:t>
      </w:r>
    </w:p>
    <w:p w14:paraId="425C2E65">
      <w:pPr>
        <w:numPr>
          <w:ilvl w:val="0"/>
          <w:numId w:val="48"/>
        </w:numPr>
        <w:adjustRightInd w:val="0"/>
        <w:spacing w:line="276" w:lineRule="auto"/>
        <w:ind w:left="742" w:hanging="493"/>
        <w:rPr>
          <w:rFonts w:ascii="宋体" w:hAnsi="宋体"/>
          <w:color w:val="auto"/>
          <w:szCs w:val="21"/>
          <w:highlight w:val="none"/>
          <w:lang w:val="zh-CN"/>
        </w:rPr>
      </w:pPr>
      <w:r>
        <w:rPr>
          <w:rFonts w:hint="eastAsia" w:ascii="宋体" w:hAnsi="宋体"/>
          <w:color w:val="auto"/>
          <w:szCs w:val="21"/>
          <w:highlight w:val="none"/>
          <w:lang w:val="zh-CN"/>
        </w:rPr>
        <w:t>投标文件中报价一览表内容与投标文件中相应内容不一致的，以报价一览表为准。</w:t>
      </w:r>
    </w:p>
    <w:p w14:paraId="13755E3A">
      <w:pPr>
        <w:numPr>
          <w:ilvl w:val="0"/>
          <w:numId w:val="48"/>
        </w:numPr>
        <w:adjustRightInd w:val="0"/>
        <w:spacing w:line="276" w:lineRule="auto"/>
        <w:ind w:left="742" w:hanging="493"/>
        <w:rPr>
          <w:rFonts w:ascii="宋体" w:hAnsi="宋体"/>
          <w:color w:val="auto"/>
          <w:szCs w:val="21"/>
          <w:highlight w:val="none"/>
          <w:lang w:val="zh-CN"/>
        </w:rPr>
      </w:pPr>
      <w:r>
        <w:rPr>
          <w:rFonts w:hint="eastAsia" w:ascii="宋体" w:hAnsi="宋体"/>
          <w:color w:val="auto"/>
          <w:szCs w:val="21"/>
          <w:highlight w:val="none"/>
          <w:lang w:val="zh-CN"/>
        </w:rPr>
        <w:t>大写金额和小写金额不一致的，以大写金额为准。</w:t>
      </w:r>
    </w:p>
    <w:p w14:paraId="7ADC8610">
      <w:pPr>
        <w:numPr>
          <w:ilvl w:val="0"/>
          <w:numId w:val="48"/>
        </w:numPr>
        <w:adjustRightInd w:val="0"/>
        <w:spacing w:line="276" w:lineRule="auto"/>
        <w:ind w:left="742" w:hanging="493"/>
        <w:rPr>
          <w:rFonts w:ascii="宋体" w:hAnsi="宋体"/>
          <w:color w:val="auto"/>
          <w:szCs w:val="21"/>
          <w:highlight w:val="none"/>
          <w:lang w:val="zh-CN"/>
        </w:rPr>
      </w:pPr>
      <w:r>
        <w:rPr>
          <w:rFonts w:hint="eastAsia" w:ascii="宋体" w:hAnsi="宋体"/>
          <w:color w:val="auto"/>
          <w:szCs w:val="21"/>
          <w:highlight w:val="none"/>
          <w:lang w:val="zh-CN"/>
        </w:rPr>
        <w:t>单价金额小数点或者百分比有明显错位的，以报价一览表的总价为准，并修改单价。</w:t>
      </w:r>
    </w:p>
    <w:p w14:paraId="021F7AED">
      <w:pPr>
        <w:numPr>
          <w:ilvl w:val="0"/>
          <w:numId w:val="48"/>
        </w:numPr>
        <w:adjustRightInd w:val="0"/>
        <w:spacing w:line="276" w:lineRule="auto"/>
        <w:ind w:left="742" w:hanging="493"/>
        <w:rPr>
          <w:rFonts w:ascii="宋体" w:hAnsi="宋体"/>
          <w:color w:val="auto"/>
          <w:szCs w:val="21"/>
          <w:highlight w:val="none"/>
          <w:lang w:val="zh-CN"/>
        </w:rPr>
      </w:pPr>
      <w:r>
        <w:rPr>
          <w:rFonts w:hint="eastAsia" w:ascii="宋体" w:hAnsi="宋体"/>
          <w:color w:val="auto"/>
          <w:szCs w:val="21"/>
          <w:highlight w:val="none"/>
          <w:lang w:val="zh-CN"/>
        </w:rPr>
        <w:t>总价金额与按单价汇总金额不一致的，以单价金额计算结果为准。</w:t>
      </w:r>
    </w:p>
    <w:p w14:paraId="43C80A78">
      <w:pPr>
        <w:numPr>
          <w:ilvl w:val="0"/>
          <w:numId w:val="48"/>
        </w:numPr>
        <w:adjustRightInd w:val="0"/>
        <w:spacing w:line="276" w:lineRule="auto"/>
        <w:ind w:left="742" w:hanging="493"/>
        <w:rPr>
          <w:rFonts w:ascii="宋体" w:hAnsi="宋体"/>
          <w:color w:val="auto"/>
          <w:szCs w:val="21"/>
          <w:highlight w:val="none"/>
          <w:lang w:val="zh-CN"/>
        </w:rPr>
      </w:pPr>
      <w:r>
        <w:rPr>
          <w:rFonts w:hint="eastAsia" w:ascii="宋体" w:hAnsi="宋体"/>
          <w:color w:val="auto"/>
          <w:szCs w:val="21"/>
          <w:highlight w:val="none"/>
          <w:lang w:val="zh-CN"/>
        </w:rPr>
        <w:t>同时出现两种以上不一致的，按照前款规定的顺序修正。</w:t>
      </w:r>
    </w:p>
    <w:p w14:paraId="5FAFE8DC">
      <w:pPr>
        <w:numPr>
          <w:ilvl w:val="0"/>
          <w:numId w:val="48"/>
        </w:numPr>
        <w:adjustRightInd w:val="0"/>
        <w:spacing w:line="276" w:lineRule="auto"/>
        <w:ind w:left="742" w:hanging="493"/>
        <w:rPr>
          <w:rFonts w:ascii="宋体" w:hAnsi="宋体"/>
          <w:color w:val="auto"/>
          <w:szCs w:val="21"/>
          <w:highlight w:val="none"/>
          <w:lang w:val="zh-CN"/>
        </w:rPr>
      </w:pPr>
      <w:r>
        <w:rPr>
          <w:rFonts w:hint="eastAsia" w:ascii="宋体" w:hAnsi="宋体"/>
          <w:color w:val="auto"/>
          <w:szCs w:val="21"/>
          <w:highlight w:val="none"/>
          <w:lang w:val="zh-CN"/>
        </w:rPr>
        <w:t>修正后的报价按照本节第4条规定经投标人确认后产生约束力，投标人不确认的，按照</w:t>
      </w:r>
      <w:r>
        <w:rPr>
          <w:rFonts w:hint="eastAsia" w:ascii="宋体" w:hAnsi="宋体"/>
          <w:b/>
          <w:color w:val="auto"/>
          <w:szCs w:val="21"/>
          <w:highlight w:val="none"/>
          <w:lang w:val="zh-CN"/>
        </w:rPr>
        <w:t>无效投标处理</w:t>
      </w:r>
      <w:r>
        <w:rPr>
          <w:rFonts w:hint="eastAsia" w:ascii="宋体" w:hAnsi="宋体"/>
          <w:color w:val="auto"/>
          <w:szCs w:val="21"/>
          <w:highlight w:val="none"/>
          <w:lang w:val="zh-CN"/>
        </w:rPr>
        <w:t>。</w:t>
      </w:r>
    </w:p>
    <w:p w14:paraId="4A55695A">
      <w:pPr>
        <w:numPr>
          <w:ilvl w:val="0"/>
          <w:numId w:val="47"/>
        </w:numPr>
        <w:tabs>
          <w:tab w:val="left" w:pos="616"/>
        </w:tabs>
        <w:spacing w:line="276" w:lineRule="auto"/>
        <w:ind w:left="10" w:leftChars="5" w:firstLine="207" w:firstLineChars="99"/>
        <w:rPr>
          <w:rFonts w:ascii="宋体" w:hAnsi="宋体"/>
          <w:color w:val="auto"/>
          <w:szCs w:val="21"/>
          <w:highlight w:val="none"/>
          <w:lang w:val="zh-CN"/>
        </w:rPr>
      </w:pPr>
      <w:r>
        <w:rPr>
          <w:rFonts w:hint="eastAsia" w:ascii="宋体" w:hAnsi="宋体"/>
          <w:color w:val="auto"/>
          <w:szCs w:val="21"/>
          <w:highlight w:val="none"/>
          <w:lang w:val="zh-CN"/>
        </w:rPr>
        <w:t>投标人的</w:t>
      </w:r>
      <w:r>
        <w:rPr>
          <w:rFonts w:hint="eastAsia" w:ascii="Helvetica" w:hAnsi="Helvetica" w:cs="Helvetica"/>
          <w:color w:val="auto"/>
          <w:kern w:val="0"/>
          <w:szCs w:val="21"/>
          <w:highlight w:val="none"/>
          <w:lang w:val="zh-CN"/>
        </w:rPr>
        <w:t>澄清、说明或者补正</w:t>
      </w:r>
      <w:r>
        <w:rPr>
          <w:rFonts w:hint="eastAsia" w:ascii="宋体" w:hAnsi="宋体"/>
          <w:color w:val="auto"/>
          <w:szCs w:val="21"/>
          <w:highlight w:val="none"/>
          <w:lang w:val="zh-CN"/>
        </w:rPr>
        <w:t>是其投标文件的有效组成部分。</w:t>
      </w:r>
      <w:r>
        <w:rPr>
          <w:rFonts w:hint="eastAsia" w:ascii="Helvetica" w:hAnsi="Helvetica" w:cs="Helvetica"/>
          <w:color w:val="auto"/>
          <w:kern w:val="0"/>
          <w:szCs w:val="21"/>
          <w:highlight w:val="none"/>
          <w:lang w:val="zh-CN"/>
        </w:rPr>
        <w:t>投标人的澄清、说明或者补正应当采用书面形式，并加盖公章，或者由法定代表人或其授权的代表</w:t>
      </w:r>
      <w:r>
        <w:rPr>
          <w:rFonts w:hint="eastAsia"/>
          <w:bCs/>
          <w:color w:val="auto"/>
          <w:szCs w:val="21"/>
          <w:highlight w:val="none"/>
        </w:rPr>
        <w:t>签名</w:t>
      </w:r>
      <w:r>
        <w:rPr>
          <w:rFonts w:hint="eastAsia" w:ascii="Helvetica" w:hAnsi="Helvetica" w:cs="Helvetica"/>
          <w:color w:val="auto"/>
          <w:kern w:val="0"/>
          <w:szCs w:val="21"/>
          <w:highlight w:val="none"/>
          <w:lang w:val="zh-CN"/>
        </w:rPr>
        <w:t>。</w:t>
      </w:r>
    </w:p>
    <w:p w14:paraId="08C65D53">
      <w:pPr>
        <w:numPr>
          <w:ilvl w:val="0"/>
          <w:numId w:val="45"/>
        </w:numPr>
        <w:spacing w:line="276" w:lineRule="auto"/>
        <w:ind w:left="1064" w:leftChars="154" w:hanging="741" w:hangingChars="353"/>
        <w:rPr>
          <w:rFonts w:ascii="宋体" w:hAnsi="宋体"/>
          <w:b/>
          <w:color w:val="auto"/>
          <w:szCs w:val="21"/>
          <w:highlight w:val="none"/>
          <w:lang w:val="zh-CN"/>
        </w:rPr>
      </w:pPr>
      <w:r>
        <w:rPr>
          <w:rFonts w:hint="eastAsia" w:ascii="宋体" w:hAnsi="宋体"/>
          <w:b/>
          <w:color w:val="auto"/>
          <w:szCs w:val="21"/>
          <w:highlight w:val="none"/>
          <w:lang w:val="zh-CN"/>
        </w:rPr>
        <w:t>综合比较与评价</w:t>
      </w:r>
    </w:p>
    <w:p w14:paraId="2CCCE37E">
      <w:pPr>
        <w:numPr>
          <w:ilvl w:val="0"/>
          <w:numId w:val="49"/>
        </w:numPr>
        <w:tabs>
          <w:tab w:val="left" w:pos="616"/>
        </w:tabs>
        <w:spacing w:line="276" w:lineRule="auto"/>
        <w:ind w:left="10" w:leftChars="5" w:firstLine="207" w:firstLineChars="99"/>
        <w:rPr>
          <w:rFonts w:ascii="宋体" w:hAnsi="宋体"/>
          <w:bCs/>
          <w:color w:val="auto"/>
          <w:szCs w:val="21"/>
          <w:highlight w:val="none"/>
          <w:lang w:val="zh-CN"/>
        </w:rPr>
      </w:pPr>
      <w:r>
        <w:rPr>
          <w:rFonts w:hint="eastAsia" w:ascii="宋体" w:hAnsi="宋体"/>
          <w:b/>
          <w:bCs/>
          <w:color w:val="auto"/>
          <w:szCs w:val="21"/>
          <w:highlight w:val="none"/>
          <w:lang w:val="zh-CN"/>
        </w:rPr>
        <w:t>技术、服务和商务评议</w:t>
      </w:r>
    </w:p>
    <w:p w14:paraId="29504A75">
      <w:pPr>
        <w:spacing w:line="276" w:lineRule="auto"/>
        <w:ind w:firstLine="420" w:firstLineChars="200"/>
        <w:rPr>
          <w:rFonts w:ascii="宋体" w:hAnsi="宋体"/>
          <w:bCs/>
          <w:color w:val="auto"/>
          <w:szCs w:val="21"/>
          <w:highlight w:val="none"/>
          <w:lang w:val="zh-CN"/>
        </w:rPr>
      </w:pPr>
      <w:r>
        <w:rPr>
          <w:rFonts w:hint="eastAsia" w:ascii="宋体" w:hAnsi="宋体"/>
          <w:bCs/>
          <w:color w:val="auto"/>
          <w:szCs w:val="21"/>
          <w:highlight w:val="none"/>
        </w:rPr>
        <w:t>评标委员会应当按照本章中规定的评审因素及评分标准</w:t>
      </w:r>
      <w:r>
        <w:rPr>
          <w:rFonts w:hint="eastAsia" w:ascii="宋体" w:hAnsi="宋体"/>
          <w:bCs/>
          <w:color w:val="auto"/>
          <w:szCs w:val="21"/>
          <w:highlight w:val="none"/>
          <w:lang w:val="zh-CN"/>
        </w:rPr>
        <w:t>，对符合性审查合格的投标文件进行技术、服务和商务评估，综合比较与评价。</w:t>
      </w:r>
    </w:p>
    <w:p w14:paraId="2A77D8BF">
      <w:pPr>
        <w:numPr>
          <w:ilvl w:val="0"/>
          <w:numId w:val="49"/>
        </w:numPr>
        <w:tabs>
          <w:tab w:val="left" w:pos="616"/>
        </w:tabs>
        <w:spacing w:line="276" w:lineRule="auto"/>
        <w:ind w:left="10" w:leftChars="5" w:firstLine="207" w:firstLineChars="99"/>
        <w:rPr>
          <w:rFonts w:ascii="宋体" w:hAnsi="宋体"/>
          <w:b/>
          <w:bCs/>
          <w:color w:val="auto"/>
          <w:szCs w:val="21"/>
          <w:highlight w:val="none"/>
          <w:lang w:val="zh-CN"/>
        </w:rPr>
      </w:pPr>
      <w:r>
        <w:rPr>
          <w:rFonts w:hint="eastAsia" w:ascii="宋体" w:hAnsi="宋体"/>
          <w:b/>
          <w:bCs/>
          <w:color w:val="auto"/>
          <w:szCs w:val="21"/>
          <w:highlight w:val="none"/>
          <w:lang w:val="zh-CN"/>
        </w:rPr>
        <w:t>价格评议</w:t>
      </w:r>
    </w:p>
    <w:p w14:paraId="4A148F43">
      <w:pPr>
        <w:spacing w:line="276" w:lineRule="auto"/>
        <w:ind w:firstLine="420" w:firstLineChars="200"/>
        <w:rPr>
          <w:rFonts w:ascii="宋体" w:hAnsi="宋体"/>
          <w:bCs/>
          <w:color w:val="auto"/>
          <w:szCs w:val="21"/>
          <w:highlight w:val="none"/>
        </w:rPr>
      </w:pPr>
      <w:r>
        <w:rPr>
          <w:rFonts w:hint="eastAsia" w:ascii="宋体" w:hAnsi="宋体"/>
          <w:bCs/>
          <w:color w:val="auto"/>
          <w:szCs w:val="21"/>
          <w:highlight w:val="none"/>
        </w:rPr>
        <w:t>评标委员会对符合性审查合格的投标文件进行价格评议，报价分采用低价优先法计算，即满足招标文件要求且投标价格最低的投标报价为评标基准价，其报价分为满分。其他投标人的报价分值计算详见本章“评审因素及评分标准”中的具体计算方式。</w:t>
      </w:r>
    </w:p>
    <w:p w14:paraId="37084B6F">
      <w:pPr>
        <w:keepNext w:val="0"/>
        <w:keepLines w:val="0"/>
        <w:pageBreakBefore w:val="0"/>
        <w:widowControl w:val="0"/>
        <w:numPr>
          <w:ilvl w:val="0"/>
          <w:numId w:val="50"/>
        </w:numPr>
        <w:kinsoku/>
        <w:wordWrap/>
        <w:overflowPunct/>
        <w:topLinePunct w:val="0"/>
        <w:autoSpaceDE/>
        <w:autoSpaceDN/>
        <w:bidi w:val="0"/>
        <w:adjustRightInd w:val="0"/>
        <w:snapToGrid/>
        <w:spacing w:before="48" w:beforeLines="15" w:after="48" w:afterLines="15" w:line="20" w:lineRule="atLeast"/>
        <w:ind w:left="742" w:hanging="493"/>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异常低价审查</w:t>
      </w:r>
    </w:p>
    <w:p w14:paraId="3701A774">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审查情形:按照&lt;&lt;关于推动解决政府采购异常低价问题的通知&gt;&gt;(财库[2026]2号)规定，自2026年2月1日起。政府采购评审中出现下列情形之一的，评审委员会应当启动异常低价投标(响应)审查程序:</w:t>
      </w:r>
    </w:p>
    <w:p w14:paraId="5EC96F0E">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（1）投标（响应）报价低于全部通过符合性审查投标人投标（响应）报价平均值50%的，即投标（响应）报价&lt;全部通过符合性审查投标人投标（响应）报价平均值×50%;</w:t>
      </w:r>
    </w:p>
    <w:p w14:paraId="74FCC3ED">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（2）投标（响应）报价低于通过符合性审查的次低报价投标人投标（响应）报价50%的，即投标（响应）报价&lt;通过符合性审查的次低报价投标人投标（响应）报价×50%;</w:t>
      </w:r>
    </w:p>
    <w:p w14:paraId="0754FC61">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（3）投标（响应）报价低于采购项目最高限价</w:t>
      </w:r>
      <w:r>
        <w:rPr>
          <w:rFonts w:hint="eastAsia" w:ascii="宋体" w:hAnsi="宋体"/>
          <w:bCs/>
          <w:color w:val="auto"/>
          <w:sz w:val="21"/>
          <w:szCs w:val="21"/>
          <w:highlight w:val="none"/>
          <w:lang w:val="en-US" w:eastAsia="zh-CN"/>
        </w:rPr>
        <w:t>45</w:t>
      </w:r>
      <w:r>
        <w:rPr>
          <w:rFonts w:hint="eastAsia" w:ascii="宋体" w:hAnsi="宋体"/>
          <w:bCs/>
          <w:color w:val="auto"/>
          <w:sz w:val="21"/>
          <w:szCs w:val="21"/>
          <w:highlight w:val="none"/>
        </w:rPr>
        <w:t>%的，即投标（响应）报价&lt;采购项目最高限价×</w:t>
      </w:r>
      <w:r>
        <w:rPr>
          <w:rFonts w:hint="eastAsia" w:ascii="宋体" w:hAnsi="宋体"/>
          <w:bCs/>
          <w:color w:val="auto"/>
          <w:sz w:val="21"/>
          <w:szCs w:val="21"/>
          <w:highlight w:val="none"/>
          <w:lang w:val="en-US" w:eastAsia="zh-CN"/>
        </w:rPr>
        <w:t>45</w:t>
      </w:r>
      <w:r>
        <w:rPr>
          <w:rFonts w:hint="eastAsia" w:ascii="宋体" w:hAnsi="宋体"/>
          <w:bCs/>
          <w:color w:val="auto"/>
          <w:sz w:val="21"/>
          <w:szCs w:val="21"/>
          <w:highlight w:val="none"/>
        </w:rPr>
        <w:t>%;</w:t>
      </w:r>
    </w:p>
    <w:p w14:paraId="205D6624">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（4）评审委员会基于专业判断，认为投标人报价过低，有可能影响产品质量或者不能诚信履约的其他情形。</w:t>
      </w:r>
    </w:p>
    <w:p w14:paraId="2B56411E">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资料要求: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不少于30分钟。其中，属于第3项情形，投标人已随投标(响应)文件一并提交相关书面说明及必要的证明材料的，在评审现场可不再重复提交。</w:t>
      </w:r>
    </w:p>
    <w:p w14:paraId="4DE65273">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color w:val="auto"/>
          <w:highlight w:val="none"/>
        </w:rPr>
      </w:pPr>
      <w:r>
        <w:rPr>
          <w:rFonts w:hint="eastAsia" w:ascii="宋体" w:hAnsi="宋体"/>
          <w:bCs/>
          <w:color w:val="auto"/>
          <w:sz w:val="21"/>
          <w:szCs w:val="21"/>
          <w:highlight w:val="none"/>
        </w:rPr>
        <w:t>审查要求: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w:t>
      </w:r>
      <w:r>
        <w:rPr>
          <w:rFonts w:hint="eastAsia" w:ascii="宋体" w:hAnsi="宋体"/>
          <w:b/>
          <w:bCs w:val="0"/>
          <w:color w:val="auto"/>
          <w:sz w:val="21"/>
          <w:szCs w:val="21"/>
          <w:highlight w:val="none"/>
        </w:rPr>
        <w:t>无效投标(响应)处理</w:t>
      </w:r>
      <w:r>
        <w:rPr>
          <w:rFonts w:hint="eastAsia" w:ascii="宋体" w:hAnsi="宋体"/>
          <w:bCs/>
          <w:color w:val="auto"/>
          <w:sz w:val="21"/>
          <w:szCs w:val="21"/>
          <w:highlight w:val="none"/>
        </w:rPr>
        <w:t>。</w:t>
      </w:r>
    </w:p>
    <w:p w14:paraId="71EB696A">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color w:val="auto"/>
          <w:highlight w:val="none"/>
        </w:rPr>
      </w:pPr>
      <w:r>
        <w:rPr>
          <w:rFonts w:hint="eastAsia"/>
          <w:color w:val="auto"/>
          <w:highlight w:val="none"/>
        </w:rPr>
        <w:t>评审组织</w:t>
      </w:r>
      <w:r>
        <w:rPr>
          <w:rFonts w:hint="eastAsia"/>
          <w:color w:val="auto"/>
          <w:highlight w:val="none"/>
          <w:lang w:eastAsia="zh-CN"/>
        </w:rPr>
        <w:t>：</w:t>
      </w:r>
      <w:r>
        <w:rPr>
          <w:rFonts w:hint="eastAsia"/>
          <w:color w:val="auto"/>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0FA76B5">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color w:val="auto"/>
          <w:highlight w:val="none"/>
        </w:rPr>
      </w:pPr>
      <w:r>
        <w:rPr>
          <w:rFonts w:hint="eastAsia"/>
          <w:color w:val="auto"/>
          <w:highlight w:val="none"/>
        </w:rPr>
        <w:t>记录及归档</w:t>
      </w:r>
      <w:r>
        <w:rPr>
          <w:rFonts w:hint="eastAsia"/>
          <w:color w:val="auto"/>
          <w:highlight w:val="none"/>
          <w:lang w:eastAsia="zh-CN"/>
        </w:rPr>
        <w:t>：</w:t>
      </w:r>
      <w:r>
        <w:rPr>
          <w:rFonts w:hint="eastAsia"/>
          <w:color w:val="auto"/>
          <w:highlight w:val="none"/>
        </w:rPr>
        <w:t>异常低价投标审查的启动原因、审查意见和审查结果应当在评审报告中记录，并随供应商提供的相关书面说明及证明材料，以及评审委员会有关互联网浏览、查询历史一并归档。</w:t>
      </w:r>
    </w:p>
    <w:p w14:paraId="1E692673">
      <w:pPr>
        <w:numPr>
          <w:ilvl w:val="0"/>
          <w:numId w:val="0"/>
        </w:numPr>
        <w:adjustRightInd w:val="0"/>
        <w:spacing w:line="276" w:lineRule="auto"/>
        <w:ind w:left="742" w:hanging="493"/>
        <w:rPr>
          <w:rFonts w:ascii="宋体" w:hAnsi="宋体"/>
          <w:b/>
          <w:color w:val="auto"/>
          <w:szCs w:val="21"/>
          <w:highlight w:val="none"/>
          <w:lang w:val="zh-CN"/>
        </w:rPr>
      </w:pPr>
      <w:r>
        <w:rPr>
          <w:rFonts w:hint="eastAsia" w:ascii="宋体" w:hAnsi="宋体" w:eastAsia="宋体" w:cs="Times New Roman"/>
          <w:b w:val="0"/>
          <w:strike w:val="0"/>
          <w:dstrike w:val="0"/>
          <w:color w:val="auto"/>
          <w:kern w:val="2"/>
          <w:sz w:val="21"/>
          <w:szCs w:val="21"/>
          <w:highlight w:val="none"/>
          <w:u w:val="none"/>
          <w:lang w:val="zh-CN" w:eastAsia="zh-CN" w:bidi="ar-SA"/>
        </w:rPr>
        <w:t>2.</w:t>
      </w:r>
      <w:r>
        <w:rPr>
          <w:rFonts w:hint="eastAsia" w:ascii="宋体" w:hAnsi="宋体" w:eastAsia="宋体" w:cs="Times New Roman"/>
          <w:b w:val="0"/>
          <w:strike w:val="0"/>
          <w:dstrike w:val="0"/>
          <w:color w:val="auto"/>
          <w:kern w:val="2"/>
          <w:sz w:val="21"/>
          <w:szCs w:val="21"/>
          <w:highlight w:val="none"/>
          <w:u w:val="none"/>
          <w:lang w:val="en-US" w:eastAsia="zh-CN" w:bidi="ar-SA"/>
        </w:rPr>
        <w:t>3</w:t>
      </w:r>
      <w:r>
        <w:rPr>
          <w:rFonts w:hint="eastAsia" w:ascii="宋体" w:hAnsi="宋体"/>
          <w:b/>
          <w:color w:val="auto"/>
          <w:szCs w:val="21"/>
          <w:highlight w:val="none"/>
          <w:lang w:val="zh-CN"/>
        </w:rPr>
        <w:t>政府采购节能环保政策</w:t>
      </w:r>
    </w:p>
    <w:p w14:paraId="6B112816">
      <w:pPr>
        <w:ind w:left="709" w:firstLine="420" w:firstLineChars="200"/>
        <w:rPr>
          <w:rFonts w:hint="eastAsia"/>
          <w:color w:val="auto"/>
          <w:highlight w:val="none"/>
          <w:lang w:val="zh-CN"/>
        </w:rPr>
      </w:pPr>
      <w:r>
        <w:rPr>
          <w:rFonts w:hint="eastAsia" w:ascii="宋体" w:hAnsi="宋体"/>
          <w:bCs/>
          <w:color w:val="auto"/>
          <w:szCs w:val="21"/>
          <w:highlight w:val="none"/>
          <w:lang w:val="zh-CN"/>
        </w:rPr>
        <w:t>根据《财政部、发展改革委、生态环境部、市场监管总局关于调整优化节能产品、环境标志产品政府采购执行机制的通知（财库〔2019〕9号）》的规定，采购人拟采购产品属于品目清单（指《财政部、生态环境部关于印发环境标志产品政府采购品目清单的通知（财库〔2019〕18号）》、《财政部、发展改革委关于印发节能产品政府采购品目清单的通知（财库〔2019〕19号）》所列清单）范围的，采购人及其委托的采购代理机构应当依据国家确定的认证机构（指《市场监管总局关于发布参与实施政府采购节能产品、环境标志产品认证机构名录的公告（2019年第16号）》中所列认证机构）出具的、处于有效期之内的节能产品、环境标志产品认证证书，对获得证书的产品实施政府优先采购（</w:t>
      </w:r>
      <w:r>
        <w:rPr>
          <w:rFonts w:hint="eastAsia" w:ascii="宋体" w:hAnsi="宋体"/>
          <w:bCs/>
          <w:color w:val="auto"/>
          <w:szCs w:val="21"/>
          <w:highlight w:val="none"/>
        </w:rPr>
        <w:t>同等条件下</w:t>
      </w:r>
      <w:r>
        <w:rPr>
          <w:rFonts w:hint="eastAsia" w:ascii="宋体" w:hAnsi="宋体"/>
          <w:bCs/>
          <w:color w:val="auto"/>
          <w:szCs w:val="21"/>
          <w:highlight w:val="none"/>
          <w:lang w:val="zh-CN"/>
        </w:rPr>
        <w:t>）或强制采购。</w:t>
      </w:r>
    </w:p>
    <w:p w14:paraId="2EDD79D4">
      <w:pPr>
        <w:numPr>
          <w:ilvl w:val="0"/>
          <w:numId w:val="49"/>
        </w:numPr>
        <w:tabs>
          <w:tab w:val="left" w:pos="616"/>
        </w:tabs>
        <w:spacing w:line="276" w:lineRule="auto"/>
        <w:ind w:left="10" w:leftChars="5" w:firstLine="207" w:firstLineChars="99"/>
        <w:rPr>
          <w:rFonts w:ascii="宋体" w:hAnsi="宋体"/>
          <w:b/>
          <w:bCs/>
          <w:color w:val="auto"/>
          <w:szCs w:val="21"/>
          <w:highlight w:val="none"/>
          <w:lang w:val="zh-CN"/>
        </w:rPr>
      </w:pPr>
      <w:r>
        <w:rPr>
          <w:rFonts w:hint="eastAsia" w:ascii="宋体" w:hAnsi="宋体"/>
          <w:b/>
          <w:bCs/>
          <w:color w:val="auto"/>
          <w:szCs w:val="21"/>
          <w:highlight w:val="none"/>
          <w:lang w:val="zh-CN"/>
        </w:rPr>
        <w:t>相同品牌处理原则</w:t>
      </w:r>
    </w:p>
    <w:p w14:paraId="4681FD0D">
      <w:pPr>
        <w:numPr>
          <w:ilvl w:val="0"/>
          <w:numId w:val="51"/>
        </w:numPr>
        <w:adjustRightInd w:val="0"/>
        <w:spacing w:line="276" w:lineRule="auto"/>
        <w:ind w:left="756" w:hanging="507"/>
        <w:rPr>
          <w:rFonts w:ascii="Helvetica" w:hAnsi="Helvetica" w:cs="Helvetica"/>
          <w:color w:val="auto"/>
          <w:kern w:val="0"/>
          <w:szCs w:val="21"/>
          <w:highlight w:val="none"/>
          <w:lang w:val="zh-CN"/>
        </w:rPr>
      </w:pPr>
      <w:r>
        <w:rPr>
          <w:rFonts w:hint="eastAsia" w:ascii="Helvetica" w:hAnsi="Helvetica" w:cs="Helvetica"/>
          <w:color w:val="auto"/>
          <w:kern w:val="0"/>
          <w:szCs w:val="21"/>
          <w:highlight w:val="none"/>
          <w:lang w:val="zh-CN"/>
        </w:rPr>
        <w:t>提供相同品牌产品且通过资格审查、符合性审查的不同投标人参加同一合同项下投标的，按一家投标人计算，评审后得分最高的同品牌投标人获得中标候选人推荐资格；评审得分相同的，由采购人确定或者采购人委托评标委员会以投票方式确定一个投标人获得中标候选人推荐资格，其他同品牌投标人不作为中标候选人。</w:t>
      </w:r>
    </w:p>
    <w:p w14:paraId="731BAA03">
      <w:pPr>
        <w:numPr>
          <w:ilvl w:val="0"/>
          <w:numId w:val="51"/>
        </w:numPr>
        <w:adjustRightInd w:val="0"/>
        <w:spacing w:line="276" w:lineRule="auto"/>
        <w:ind w:left="756" w:hanging="507"/>
        <w:rPr>
          <w:rFonts w:ascii="Helvetica" w:hAnsi="Helvetica" w:cs="Helvetica"/>
          <w:color w:val="auto"/>
          <w:kern w:val="0"/>
          <w:szCs w:val="21"/>
          <w:highlight w:val="none"/>
          <w:lang w:val="zh-CN"/>
        </w:rPr>
      </w:pPr>
      <w:r>
        <w:rPr>
          <w:rFonts w:hint="eastAsia" w:ascii="Helvetica" w:hAnsi="Helvetica" w:cs="Helvetica"/>
          <w:color w:val="auto"/>
          <w:kern w:val="0"/>
          <w:szCs w:val="21"/>
          <w:highlight w:val="none"/>
          <w:lang w:val="zh-CN"/>
        </w:rPr>
        <w:t>非单一产品采购项目，采购人应当根据采购项目技术构成、产品价格比重等合理确定</w:t>
      </w:r>
      <w:r>
        <w:rPr>
          <w:rFonts w:hint="eastAsia" w:ascii="Helvetica" w:hAnsi="Helvetica" w:cs="Helvetica"/>
          <w:b/>
          <w:color w:val="auto"/>
          <w:kern w:val="0"/>
          <w:szCs w:val="21"/>
          <w:highlight w:val="none"/>
          <w:lang w:val="zh-CN"/>
        </w:rPr>
        <w:t>核心产品</w:t>
      </w:r>
      <w:r>
        <w:rPr>
          <w:rFonts w:hint="eastAsia" w:ascii="Helvetica" w:hAnsi="Helvetica" w:cs="Helvetica"/>
          <w:color w:val="auto"/>
          <w:kern w:val="0"/>
          <w:szCs w:val="21"/>
          <w:highlight w:val="none"/>
          <w:lang w:val="zh-CN"/>
        </w:rPr>
        <w:t>，并以</w:t>
      </w:r>
      <w:r>
        <w:rPr>
          <w:rFonts w:hint="eastAsia" w:ascii="Helvetica" w:hAnsi="Helvetica" w:cs="Helvetica"/>
          <w:b/>
          <w:color w:val="auto"/>
          <w:kern w:val="0"/>
          <w:szCs w:val="21"/>
          <w:highlight w:val="none"/>
          <w:lang w:val="zh-CN"/>
        </w:rPr>
        <w:t>“</w:t>
      </w:r>
      <w:r>
        <w:rPr>
          <w:rFonts w:hint="eastAsia" w:ascii="MS Gothic" w:hAnsi="MS Gothic" w:cs="MS Gothic"/>
          <w:b/>
          <w:color w:val="auto"/>
          <w:kern w:val="0"/>
          <w:szCs w:val="21"/>
          <w:highlight w:val="none"/>
          <w:lang w:val="zh-CN"/>
        </w:rPr>
        <w:t>核心产品</w:t>
      </w:r>
      <w:r>
        <w:rPr>
          <w:rFonts w:hint="eastAsia" w:ascii="Helvetica" w:hAnsi="Helvetica" w:cs="Helvetica"/>
          <w:b/>
          <w:color w:val="auto"/>
          <w:kern w:val="0"/>
          <w:szCs w:val="21"/>
          <w:highlight w:val="none"/>
          <w:lang w:val="zh-CN"/>
        </w:rPr>
        <w:t>”</w:t>
      </w:r>
      <w:r>
        <w:rPr>
          <w:rFonts w:hint="eastAsia" w:ascii="Helvetica" w:hAnsi="Helvetica" w:cs="Helvetica"/>
          <w:color w:val="auto"/>
          <w:kern w:val="0"/>
          <w:szCs w:val="21"/>
          <w:highlight w:val="none"/>
          <w:lang w:val="zh-CN"/>
        </w:rPr>
        <w:t>在招标文件中标注。多家投标人提供的核心产品品牌相同的，按</w:t>
      </w:r>
      <w:r>
        <w:rPr>
          <w:rFonts w:hint="eastAsia" w:ascii="宋体" w:hAnsi="宋体" w:cs="Helvetica"/>
          <w:color w:val="auto"/>
          <w:kern w:val="0"/>
          <w:szCs w:val="21"/>
          <w:highlight w:val="none"/>
          <w:lang w:val="zh-CN"/>
        </w:rPr>
        <w:t>前述</w:t>
      </w:r>
      <w:r>
        <w:rPr>
          <w:rFonts w:hint="eastAsia" w:ascii="Helvetica" w:hAnsi="Helvetica" w:cs="Helvetica"/>
          <w:color w:val="auto"/>
          <w:kern w:val="0"/>
          <w:szCs w:val="21"/>
          <w:highlight w:val="none"/>
          <w:lang w:val="zh-CN"/>
        </w:rPr>
        <w:t>规定处理。</w:t>
      </w:r>
    </w:p>
    <w:p w14:paraId="7833969D">
      <w:pPr>
        <w:numPr>
          <w:ilvl w:val="0"/>
          <w:numId w:val="45"/>
        </w:numPr>
        <w:spacing w:line="276" w:lineRule="auto"/>
        <w:ind w:left="1064" w:leftChars="154" w:hanging="741" w:hangingChars="353"/>
        <w:rPr>
          <w:rFonts w:ascii="宋体" w:hAnsi="宋体"/>
          <w:b/>
          <w:color w:val="auto"/>
          <w:szCs w:val="21"/>
          <w:highlight w:val="none"/>
          <w:lang w:val="zh-CN"/>
        </w:rPr>
      </w:pPr>
      <w:r>
        <w:rPr>
          <w:rFonts w:hint="eastAsia" w:ascii="宋体" w:hAnsi="宋体"/>
          <w:b/>
          <w:color w:val="auto"/>
          <w:szCs w:val="21"/>
          <w:highlight w:val="none"/>
          <w:lang w:val="zh-CN"/>
        </w:rPr>
        <w:t>计分办法</w:t>
      </w:r>
    </w:p>
    <w:p w14:paraId="674941F6">
      <w:pPr>
        <w:numPr>
          <w:ilvl w:val="0"/>
          <w:numId w:val="52"/>
        </w:numPr>
        <w:tabs>
          <w:tab w:val="left" w:pos="284"/>
        </w:tabs>
        <w:spacing w:line="276" w:lineRule="auto"/>
        <w:ind w:left="567" w:hanging="351"/>
        <w:rPr>
          <w:rFonts w:ascii="宋体" w:hAnsi="宋体"/>
          <w:b/>
          <w:color w:val="auto"/>
          <w:szCs w:val="21"/>
          <w:highlight w:val="none"/>
          <w:lang w:val="zh-CN"/>
        </w:rPr>
      </w:pPr>
      <w:r>
        <w:rPr>
          <w:rFonts w:hint="eastAsia"/>
          <w:color w:val="auto"/>
          <w:kern w:val="0"/>
          <w:szCs w:val="21"/>
          <w:highlight w:val="none"/>
        </w:rPr>
        <w:t>采购代理机构对各评委的总分进行复核。各项统计结果保留小数点后两位，小数点后第三位“四舍五入”。</w:t>
      </w:r>
    </w:p>
    <w:p w14:paraId="34C56313">
      <w:pPr>
        <w:numPr>
          <w:ilvl w:val="0"/>
          <w:numId w:val="52"/>
        </w:numPr>
        <w:tabs>
          <w:tab w:val="left" w:pos="284"/>
        </w:tabs>
        <w:spacing w:line="276" w:lineRule="auto"/>
        <w:ind w:left="567" w:hanging="351"/>
        <w:rPr>
          <w:rFonts w:ascii="宋体" w:hAnsi="宋体"/>
          <w:bCs/>
          <w:color w:val="auto"/>
          <w:szCs w:val="21"/>
          <w:highlight w:val="none"/>
          <w:lang w:val="zh-CN"/>
        </w:rPr>
      </w:pPr>
      <w:r>
        <w:rPr>
          <w:rFonts w:hint="eastAsia"/>
          <w:color w:val="auto"/>
          <w:kern w:val="0"/>
          <w:szCs w:val="21"/>
          <w:highlight w:val="none"/>
        </w:rPr>
        <w:t>投标人的最终得分</w:t>
      </w:r>
      <w:r>
        <w:rPr>
          <w:rFonts w:hint="eastAsia" w:ascii="宋体" w:hAnsi="宋体"/>
          <w:bCs/>
          <w:color w:val="auto"/>
          <w:szCs w:val="21"/>
          <w:highlight w:val="none"/>
          <w:lang w:val="zh-CN"/>
        </w:rPr>
        <w:t>为各评委所评定分数的算术平均值。</w:t>
      </w:r>
    </w:p>
    <w:p w14:paraId="0ACEB1BF">
      <w:pPr>
        <w:numPr>
          <w:ilvl w:val="0"/>
          <w:numId w:val="45"/>
        </w:numPr>
        <w:spacing w:line="276" w:lineRule="auto"/>
        <w:ind w:left="1064" w:leftChars="154" w:hanging="741" w:hangingChars="353"/>
        <w:rPr>
          <w:rFonts w:ascii="宋体" w:hAnsi="宋体"/>
          <w:b/>
          <w:color w:val="auto"/>
          <w:szCs w:val="21"/>
          <w:highlight w:val="none"/>
          <w:lang w:val="zh-CN"/>
        </w:rPr>
      </w:pPr>
      <w:r>
        <w:rPr>
          <w:rFonts w:hint="eastAsia" w:ascii="宋体" w:hAnsi="宋体"/>
          <w:b/>
          <w:color w:val="auto"/>
          <w:szCs w:val="21"/>
          <w:highlight w:val="none"/>
          <w:lang w:val="zh-CN"/>
        </w:rPr>
        <w:t>推荐中标候选人名单或确定中标人</w:t>
      </w:r>
    </w:p>
    <w:p w14:paraId="3E44334F">
      <w:pPr>
        <w:numPr>
          <w:ilvl w:val="0"/>
          <w:numId w:val="53"/>
        </w:numPr>
        <w:tabs>
          <w:tab w:val="left" w:pos="284"/>
        </w:tabs>
        <w:spacing w:line="276" w:lineRule="auto"/>
        <w:rPr>
          <w:rFonts w:ascii="宋体" w:hAnsi="宋体"/>
          <w:bCs/>
          <w:color w:val="auto"/>
          <w:szCs w:val="21"/>
          <w:highlight w:val="none"/>
          <w:lang w:val="zh-CN"/>
        </w:rPr>
      </w:pPr>
      <w:bookmarkStart w:id="93" w:name="_Toc494561963"/>
      <w:r>
        <w:rPr>
          <w:rFonts w:hint="eastAsia" w:ascii="宋体" w:hAnsi="宋体"/>
          <w:bCs/>
          <w:color w:val="auto"/>
          <w:szCs w:val="21"/>
          <w:highlight w:val="none"/>
          <w:lang w:val="zh-CN"/>
        </w:rPr>
        <w:t>投标人按评审后得分由高到低顺序排列，得分相同的，按投标报价由低到高顺序排列。得分且投标报价相同的并列。</w:t>
      </w:r>
    </w:p>
    <w:p w14:paraId="17BF2F9B">
      <w:pPr>
        <w:numPr>
          <w:ilvl w:val="0"/>
          <w:numId w:val="53"/>
        </w:numPr>
        <w:tabs>
          <w:tab w:val="left" w:pos="284"/>
        </w:tabs>
        <w:spacing w:line="276" w:lineRule="auto"/>
        <w:ind w:left="567" w:hanging="351"/>
        <w:rPr>
          <w:rFonts w:ascii="宋体" w:hAnsi="宋体"/>
          <w:bCs/>
          <w:color w:val="auto"/>
          <w:szCs w:val="21"/>
          <w:highlight w:val="none"/>
          <w:lang w:val="zh-CN"/>
        </w:rPr>
      </w:pPr>
      <w:r>
        <w:rPr>
          <w:rFonts w:hint="eastAsia" w:ascii="宋体" w:hAnsi="宋体"/>
          <w:bCs/>
          <w:color w:val="auto"/>
          <w:szCs w:val="21"/>
          <w:highlight w:val="none"/>
          <w:lang w:val="zh-CN"/>
        </w:rPr>
        <w:t>评标委员会依据评审结果推荐得分前三名的进入中标候选人名单，并形成书面评标报告。</w:t>
      </w:r>
    </w:p>
    <w:p w14:paraId="64F68EFF">
      <w:pPr>
        <w:numPr>
          <w:ilvl w:val="0"/>
          <w:numId w:val="53"/>
        </w:numPr>
        <w:tabs>
          <w:tab w:val="left" w:pos="284"/>
        </w:tabs>
        <w:spacing w:line="276" w:lineRule="auto"/>
        <w:ind w:left="567" w:hanging="351"/>
        <w:rPr>
          <w:rFonts w:ascii="宋体" w:hAnsi="宋体"/>
          <w:bCs/>
          <w:color w:val="auto"/>
          <w:szCs w:val="21"/>
          <w:highlight w:val="none"/>
          <w:lang w:val="zh-CN"/>
        </w:rPr>
      </w:pPr>
      <w:r>
        <w:rPr>
          <w:rFonts w:hint="eastAsia" w:ascii="宋体" w:hAnsi="宋体"/>
          <w:bCs/>
          <w:color w:val="auto"/>
          <w:szCs w:val="21"/>
          <w:highlight w:val="none"/>
          <w:lang w:val="zh-CN"/>
        </w:rPr>
        <w:t>中标候选人并列的，由采购人确定或者采购人委托评标委员会以投票方式确定中标人。</w:t>
      </w:r>
    </w:p>
    <w:p w14:paraId="7985FC77">
      <w:pPr>
        <w:numPr>
          <w:ilvl w:val="0"/>
          <w:numId w:val="53"/>
        </w:numPr>
        <w:tabs>
          <w:tab w:val="left" w:pos="284"/>
        </w:tabs>
        <w:spacing w:line="276" w:lineRule="auto"/>
        <w:ind w:left="567" w:hanging="351"/>
        <w:rPr>
          <w:rFonts w:ascii="宋体" w:hAnsi="宋体"/>
          <w:bCs/>
          <w:color w:val="auto"/>
          <w:szCs w:val="21"/>
          <w:highlight w:val="none"/>
          <w:lang w:val="zh-CN"/>
        </w:rPr>
      </w:pPr>
      <w:r>
        <w:rPr>
          <w:rFonts w:hint="eastAsia" w:hAnsi="宋体"/>
          <w:color w:val="auto"/>
          <w:szCs w:val="21"/>
          <w:highlight w:val="none"/>
        </w:rPr>
        <w:t>若投标人同时投多</w:t>
      </w:r>
      <w:r>
        <w:rPr>
          <w:rFonts w:hint="eastAsia" w:ascii="宋体" w:hAnsi="宋体"/>
          <w:color w:val="auto"/>
          <w:szCs w:val="21"/>
          <w:highlight w:val="none"/>
          <w:lang w:val="zh-CN"/>
        </w:rPr>
        <w:t>标包</w:t>
      </w:r>
      <w:r>
        <w:rPr>
          <w:rFonts w:hint="eastAsia" w:hAnsi="宋体"/>
          <w:color w:val="auto"/>
          <w:szCs w:val="21"/>
          <w:highlight w:val="none"/>
        </w:rPr>
        <w:t>，根据《投标人须知前附表》的规定确定各</w:t>
      </w:r>
      <w:r>
        <w:rPr>
          <w:rFonts w:hint="eastAsia" w:ascii="宋体" w:hAnsi="宋体"/>
          <w:color w:val="auto"/>
          <w:szCs w:val="21"/>
          <w:highlight w:val="none"/>
          <w:lang w:val="zh-CN"/>
        </w:rPr>
        <w:t>标包</w:t>
      </w:r>
      <w:r>
        <w:rPr>
          <w:rFonts w:hint="eastAsia" w:hAnsi="宋体"/>
          <w:color w:val="auto"/>
          <w:szCs w:val="21"/>
          <w:highlight w:val="none"/>
        </w:rPr>
        <w:t>中标候选人。</w:t>
      </w:r>
    </w:p>
    <w:p w14:paraId="189199BA">
      <w:pPr>
        <w:numPr>
          <w:ilvl w:val="0"/>
          <w:numId w:val="53"/>
        </w:numPr>
        <w:tabs>
          <w:tab w:val="left" w:pos="284"/>
        </w:tabs>
        <w:spacing w:line="276" w:lineRule="auto"/>
        <w:ind w:left="567" w:hanging="351"/>
        <w:rPr>
          <w:rFonts w:ascii="宋体" w:hAnsi="宋体"/>
          <w:bCs/>
          <w:color w:val="auto"/>
          <w:szCs w:val="21"/>
          <w:highlight w:val="none"/>
          <w:lang w:val="zh-CN"/>
        </w:rPr>
      </w:pPr>
      <w:r>
        <w:rPr>
          <w:rFonts w:hint="eastAsia" w:ascii="宋体" w:hAnsi="宋体"/>
          <w:bCs/>
          <w:color w:val="auto"/>
          <w:szCs w:val="21"/>
          <w:highlight w:val="none"/>
          <w:lang w:val="zh-CN"/>
        </w:rPr>
        <w:t>评标委员会应当在评标报告上签名，对自己的评审意见承担法律责任。对评标报告有异议的，应当在评标报告上签署不同意见，并说明理由，否则视为同意评标报告。</w:t>
      </w:r>
    </w:p>
    <w:p w14:paraId="6B41FD27">
      <w:pPr>
        <w:pStyle w:val="20"/>
        <w:rPr>
          <w:color w:val="auto"/>
          <w:highlight w:val="none"/>
          <w:lang w:val="zh-CN"/>
        </w:rPr>
      </w:pPr>
    </w:p>
    <w:p w14:paraId="05394239">
      <w:pPr>
        <w:keepNext/>
        <w:keepLines/>
        <w:numPr>
          <w:ilvl w:val="0"/>
          <w:numId w:val="44"/>
        </w:numPr>
        <w:spacing w:line="276" w:lineRule="auto"/>
        <w:ind w:left="616" w:hanging="616"/>
        <w:jc w:val="left"/>
        <w:outlineLvl w:val="1"/>
        <w:rPr>
          <w:rFonts w:ascii="宋体" w:hAnsi="宋体"/>
          <w:b/>
          <w:i/>
          <w:color w:val="auto"/>
          <w:szCs w:val="21"/>
          <w:highlight w:val="none"/>
        </w:rPr>
      </w:pPr>
      <w:bookmarkStart w:id="94" w:name="_Toc97815021"/>
      <w:bookmarkStart w:id="95" w:name="_Toc7084"/>
      <w:r>
        <w:rPr>
          <w:rFonts w:hint="eastAsia" w:ascii="宋体" w:hAnsi="宋体"/>
          <w:b/>
          <w:color w:val="auto"/>
          <w:kern w:val="0"/>
          <w:szCs w:val="21"/>
          <w:highlight w:val="none"/>
          <w:lang w:val="zh-CN"/>
        </w:rPr>
        <w:t>评审因素及评分标准</w:t>
      </w:r>
      <w:bookmarkEnd w:id="93"/>
      <w:bookmarkEnd w:id="94"/>
      <w:bookmarkEnd w:id="95"/>
    </w:p>
    <w:tbl>
      <w:tblPr>
        <w:tblStyle w:val="21"/>
        <w:tblW w:w="92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07"/>
        <w:gridCol w:w="705"/>
        <w:gridCol w:w="6533"/>
        <w:gridCol w:w="826"/>
      </w:tblGrid>
      <w:tr w14:paraId="40BF6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blHeader/>
          <w:jc w:val="center"/>
        </w:trPr>
        <w:tc>
          <w:tcPr>
            <w:tcW w:w="1912" w:type="dxa"/>
            <w:gridSpan w:val="2"/>
            <w:tcBorders>
              <w:top w:val="single" w:color="auto" w:sz="6" w:space="0"/>
              <w:left w:val="single" w:color="auto" w:sz="6" w:space="0"/>
              <w:bottom w:val="single" w:color="auto" w:sz="6" w:space="0"/>
              <w:right w:val="single" w:color="auto" w:sz="6" w:space="0"/>
            </w:tcBorders>
            <w:shd w:val="clear" w:color="auto" w:fill="C0C0C0"/>
            <w:vAlign w:val="center"/>
          </w:tcPr>
          <w:p w14:paraId="0C547B1C">
            <w:pPr>
              <w:spacing w:line="276" w:lineRule="auto"/>
              <w:jc w:val="center"/>
              <w:rPr>
                <w:rFonts w:ascii="宋体" w:hAnsi="宋体" w:cs="宋体"/>
                <w:b/>
                <w:color w:val="auto"/>
                <w:szCs w:val="21"/>
                <w:highlight w:val="none"/>
              </w:rPr>
            </w:pPr>
            <w:r>
              <w:rPr>
                <w:rFonts w:hint="eastAsia" w:ascii="宋体" w:hAnsi="宋体" w:cs="宋体"/>
                <w:b/>
                <w:color w:val="auto"/>
                <w:szCs w:val="21"/>
                <w:highlight w:val="none"/>
              </w:rPr>
              <w:t>评分内容</w:t>
            </w:r>
          </w:p>
        </w:tc>
        <w:tc>
          <w:tcPr>
            <w:tcW w:w="6533" w:type="dxa"/>
            <w:tcBorders>
              <w:top w:val="single" w:color="auto" w:sz="6" w:space="0"/>
              <w:left w:val="single" w:color="auto" w:sz="6" w:space="0"/>
              <w:bottom w:val="single" w:color="auto" w:sz="6" w:space="0"/>
              <w:right w:val="single" w:color="auto" w:sz="6" w:space="0"/>
            </w:tcBorders>
            <w:shd w:val="clear" w:color="auto" w:fill="C0C0C0"/>
            <w:vAlign w:val="center"/>
          </w:tcPr>
          <w:p w14:paraId="30341472">
            <w:pPr>
              <w:spacing w:line="276" w:lineRule="auto"/>
              <w:jc w:val="center"/>
              <w:rPr>
                <w:rFonts w:ascii="宋体" w:hAnsi="宋体" w:cs="宋体"/>
                <w:b/>
                <w:color w:val="auto"/>
                <w:szCs w:val="21"/>
                <w:highlight w:val="none"/>
              </w:rPr>
            </w:pPr>
            <w:r>
              <w:rPr>
                <w:rFonts w:hint="eastAsia" w:ascii="宋体" w:hAnsi="宋体" w:cs="宋体"/>
                <w:b/>
                <w:color w:val="auto"/>
                <w:szCs w:val="21"/>
                <w:highlight w:val="none"/>
              </w:rPr>
              <w:t>评分标准</w:t>
            </w:r>
          </w:p>
        </w:tc>
        <w:tc>
          <w:tcPr>
            <w:tcW w:w="826" w:type="dxa"/>
            <w:tcBorders>
              <w:top w:val="single" w:color="auto" w:sz="6" w:space="0"/>
              <w:left w:val="single" w:color="auto" w:sz="6" w:space="0"/>
              <w:bottom w:val="single" w:color="auto" w:sz="6" w:space="0"/>
              <w:right w:val="single" w:color="auto" w:sz="6" w:space="0"/>
            </w:tcBorders>
            <w:shd w:val="clear" w:color="auto" w:fill="C0C0C0"/>
            <w:vAlign w:val="center"/>
          </w:tcPr>
          <w:p w14:paraId="7F4B870B">
            <w:pPr>
              <w:spacing w:line="276" w:lineRule="auto"/>
              <w:jc w:val="center"/>
              <w:rPr>
                <w:rFonts w:ascii="宋体" w:hAnsi="宋体" w:cs="宋体"/>
                <w:b/>
                <w:color w:val="auto"/>
                <w:szCs w:val="21"/>
                <w:highlight w:val="none"/>
              </w:rPr>
            </w:pPr>
            <w:r>
              <w:rPr>
                <w:rFonts w:hint="eastAsia" w:ascii="宋体" w:hAnsi="宋体" w:cs="宋体"/>
                <w:b/>
                <w:color w:val="auto"/>
                <w:szCs w:val="21"/>
                <w:highlight w:val="none"/>
              </w:rPr>
              <w:t>分值</w:t>
            </w:r>
          </w:p>
        </w:tc>
      </w:tr>
      <w:tr w14:paraId="7479E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40" w:hRule="atLeast"/>
          <w:tblHeader/>
          <w:jc w:val="center"/>
        </w:trPr>
        <w:tc>
          <w:tcPr>
            <w:tcW w:w="1207" w:type="dxa"/>
            <w:tcBorders>
              <w:top w:val="single" w:color="auto" w:sz="6" w:space="0"/>
              <w:left w:val="single" w:color="auto" w:sz="6" w:space="0"/>
              <w:bottom w:val="single" w:color="auto" w:sz="6" w:space="0"/>
              <w:right w:val="single" w:color="auto" w:sz="6" w:space="0"/>
            </w:tcBorders>
            <w:vAlign w:val="center"/>
          </w:tcPr>
          <w:p w14:paraId="43DB3DE8">
            <w:pPr>
              <w:spacing w:line="276" w:lineRule="auto"/>
              <w:jc w:val="center"/>
              <w:rPr>
                <w:rFonts w:ascii="宋体" w:hAnsi="宋体" w:cs="宋体"/>
                <w:color w:val="auto"/>
                <w:szCs w:val="21"/>
                <w:highlight w:val="none"/>
              </w:rPr>
            </w:pPr>
            <w:r>
              <w:rPr>
                <w:rFonts w:hint="eastAsia" w:ascii="宋体" w:hAnsi="宋体" w:cs="宋体"/>
                <w:color w:val="auto"/>
                <w:szCs w:val="21"/>
                <w:highlight w:val="none"/>
              </w:rPr>
              <w:t>投标报价（</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0分）</w:t>
            </w:r>
          </w:p>
        </w:tc>
        <w:tc>
          <w:tcPr>
            <w:tcW w:w="705" w:type="dxa"/>
            <w:tcBorders>
              <w:top w:val="single" w:color="auto" w:sz="4" w:space="0"/>
              <w:left w:val="single" w:color="auto" w:sz="6" w:space="0"/>
              <w:bottom w:val="single" w:color="auto" w:sz="6" w:space="0"/>
              <w:right w:val="single" w:color="auto" w:sz="6" w:space="0"/>
            </w:tcBorders>
            <w:vAlign w:val="center"/>
          </w:tcPr>
          <w:p w14:paraId="4BE70C42">
            <w:pPr>
              <w:spacing w:line="276" w:lineRule="auto"/>
              <w:jc w:val="center"/>
              <w:rPr>
                <w:rFonts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0分</w:t>
            </w:r>
          </w:p>
        </w:tc>
        <w:tc>
          <w:tcPr>
            <w:tcW w:w="6533" w:type="dxa"/>
            <w:tcBorders>
              <w:top w:val="single" w:color="auto" w:sz="6" w:space="0"/>
              <w:left w:val="single" w:color="auto" w:sz="6" w:space="0"/>
              <w:bottom w:val="single" w:color="auto" w:sz="6" w:space="0"/>
              <w:right w:val="single" w:color="auto" w:sz="6" w:space="0"/>
            </w:tcBorders>
            <w:vAlign w:val="center"/>
          </w:tcPr>
          <w:p w14:paraId="5CC36240">
            <w:pPr>
              <w:spacing w:line="276" w:lineRule="auto"/>
              <w:jc w:val="left"/>
              <w:rPr>
                <w:rFonts w:ascii="宋体" w:hAnsi="宋体" w:cs="宋体"/>
                <w:color w:val="auto"/>
                <w:szCs w:val="21"/>
                <w:highlight w:val="none"/>
              </w:rPr>
            </w:pPr>
            <w:r>
              <w:rPr>
                <w:rFonts w:hint="eastAsia" w:ascii="宋体" w:hAnsi="宋体" w:cs="宋体"/>
                <w:color w:val="auto"/>
                <w:szCs w:val="21"/>
                <w:highlight w:val="none"/>
              </w:rPr>
              <w:t>评标委员会只对资格性、符合性审查合格的投标文件进行价格评议，报价分采用低价优先法计算，即满足招标文件要求且报价最低的投标报价为评标基准价，其价格分为满分。其他投标人的价格分按照下列</w:t>
            </w:r>
            <w:r>
              <w:rPr>
                <w:rFonts w:hint="eastAsia" w:ascii="宋体" w:hAnsi="宋体" w:cs="Times New Roman"/>
                <w:color w:val="auto"/>
                <w:szCs w:val="21"/>
                <w:highlight w:val="none"/>
              </w:rPr>
              <w:t>公式</w:t>
            </w:r>
            <w:r>
              <w:rPr>
                <w:rFonts w:hint="eastAsia" w:ascii="宋体" w:hAnsi="宋体" w:cs="宋体"/>
                <w:color w:val="auto"/>
                <w:szCs w:val="21"/>
                <w:highlight w:val="none"/>
              </w:rPr>
              <w:t>计算：报价得分=(评标基准价／投标报价)×</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rPr>
              <w:t>0%×100</w:t>
            </w:r>
          </w:p>
        </w:tc>
        <w:tc>
          <w:tcPr>
            <w:tcW w:w="826" w:type="dxa"/>
            <w:tcBorders>
              <w:top w:val="single" w:color="auto" w:sz="6" w:space="0"/>
              <w:left w:val="single" w:color="auto" w:sz="6" w:space="0"/>
              <w:bottom w:val="single" w:color="auto" w:sz="6" w:space="0"/>
              <w:right w:val="single" w:color="auto" w:sz="6" w:space="0"/>
            </w:tcBorders>
            <w:vAlign w:val="center"/>
          </w:tcPr>
          <w:p w14:paraId="229397BD">
            <w:pPr>
              <w:spacing w:line="276" w:lineRule="auto"/>
              <w:jc w:val="center"/>
              <w:rPr>
                <w:rFonts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w:t>
            </w:r>
          </w:p>
        </w:tc>
      </w:tr>
      <w:tr w14:paraId="1B26D2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0" w:hRule="atLeast"/>
          <w:tblHeader/>
          <w:jc w:val="center"/>
        </w:trPr>
        <w:tc>
          <w:tcPr>
            <w:tcW w:w="1207" w:type="dxa"/>
            <w:vMerge w:val="restart"/>
            <w:tcBorders>
              <w:top w:val="single" w:color="auto" w:sz="6" w:space="0"/>
              <w:left w:val="single" w:color="auto" w:sz="6" w:space="0"/>
              <w:bottom w:val="single" w:color="auto" w:sz="6" w:space="0"/>
              <w:right w:val="single" w:color="auto" w:sz="6" w:space="0"/>
            </w:tcBorders>
            <w:vAlign w:val="center"/>
          </w:tcPr>
          <w:p w14:paraId="0422B526">
            <w:pPr>
              <w:widowControl/>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商务部分</w:t>
            </w:r>
          </w:p>
          <w:p w14:paraId="65F1577C">
            <w:pPr>
              <w:spacing w:line="276" w:lineRule="auto"/>
              <w:jc w:val="center"/>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30</w:t>
            </w:r>
            <w:r>
              <w:rPr>
                <w:rFonts w:hint="eastAsia" w:ascii="宋体" w:hAnsi="宋体" w:cs="宋体"/>
                <w:color w:val="auto"/>
                <w:szCs w:val="21"/>
                <w:highlight w:val="none"/>
              </w:rPr>
              <w:t>分）</w:t>
            </w:r>
          </w:p>
        </w:tc>
        <w:tc>
          <w:tcPr>
            <w:tcW w:w="705" w:type="dxa"/>
            <w:tcBorders>
              <w:top w:val="single" w:color="auto" w:sz="6" w:space="0"/>
              <w:left w:val="single" w:color="auto" w:sz="6" w:space="0"/>
              <w:bottom w:val="single" w:color="auto" w:sz="4" w:space="0"/>
              <w:right w:val="single" w:color="auto" w:sz="4" w:space="0"/>
            </w:tcBorders>
            <w:vAlign w:val="center"/>
          </w:tcPr>
          <w:p w14:paraId="1FE42EC6">
            <w:pPr>
              <w:adjustRightInd w:val="0"/>
              <w:snapToGrid w:val="0"/>
              <w:jc w:val="center"/>
              <w:rPr>
                <w:rFonts w:ascii="宋体" w:hAnsi="宋体" w:cs="宋体"/>
                <w:color w:val="auto"/>
                <w:szCs w:val="21"/>
                <w:highlight w:val="none"/>
              </w:rPr>
            </w:pPr>
            <w:r>
              <w:rPr>
                <w:rFonts w:hint="eastAsia" w:ascii="宋体" w:hAnsi="宋体"/>
                <w:color w:val="auto"/>
                <w:szCs w:val="21"/>
                <w:highlight w:val="none"/>
              </w:rPr>
              <w:t>企业业绩</w:t>
            </w:r>
          </w:p>
        </w:tc>
        <w:tc>
          <w:tcPr>
            <w:tcW w:w="6533" w:type="dxa"/>
            <w:tcBorders>
              <w:top w:val="single" w:color="auto" w:sz="6" w:space="0"/>
              <w:left w:val="single" w:color="auto" w:sz="4" w:space="0"/>
              <w:bottom w:val="single" w:color="auto" w:sz="4" w:space="0"/>
              <w:right w:val="single" w:color="auto" w:sz="6" w:space="0"/>
            </w:tcBorders>
            <w:shd w:val="clear" w:color="auto" w:fill="auto"/>
            <w:vAlign w:val="center"/>
          </w:tcPr>
          <w:p w14:paraId="2FCE5C2F">
            <w:pPr>
              <w:pStyle w:val="20"/>
              <w:spacing w:line="320" w:lineRule="exact"/>
              <w:ind w:left="0" w:firstLine="0"/>
              <w:rPr>
                <w:rFonts w:hint="eastAsia" w:ascii="宋体" w:hAnsi="宋体" w:cs="宋体"/>
                <w:color w:val="auto"/>
                <w:kern w:val="21"/>
                <w:szCs w:val="21"/>
                <w:highlight w:val="none"/>
              </w:rPr>
            </w:pPr>
            <w:r>
              <w:rPr>
                <w:rFonts w:hint="eastAsia" w:ascii="宋体" w:hAnsi="宋体" w:cs="宋体"/>
                <w:color w:val="auto"/>
                <w:kern w:val="21"/>
                <w:szCs w:val="21"/>
                <w:highlight w:val="none"/>
              </w:rPr>
              <w:t>根据投标人提供近三年（从递交投标文件截止日往前推算，以合同签订日期为准）的供配电设施运维类或同类电力设施运行维护项目业绩材料进行评审，最多评审</w:t>
            </w:r>
            <w:r>
              <w:rPr>
                <w:rFonts w:hint="eastAsia" w:ascii="宋体" w:hAnsi="宋体" w:cs="宋体"/>
                <w:color w:val="auto"/>
                <w:kern w:val="21"/>
                <w:szCs w:val="21"/>
                <w:highlight w:val="none"/>
                <w:lang w:val="en-US" w:eastAsia="zh-CN"/>
              </w:rPr>
              <w:t>7</w:t>
            </w:r>
            <w:r>
              <w:rPr>
                <w:rFonts w:hint="eastAsia" w:ascii="宋体" w:hAnsi="宋体" w:cs="宋体"/>
                <w:color w:val="auto"/>
                <w:kern w:val="21"/>
                <w:szCs w:val="21"/>
                <w:highlight w:val="none"/>
              </w:rPr>
              <w:t>个业绩（按投标人提交的《业绩一览表》顺序取前</w:t>
            </w:r>
            <w:r>
              <w:rPr>
                <w:rFonts w:hint="eastAsia" w:ascii="宋体" w:hAnsi="宋体" w:cs="宋体"/>
                <w:color w:val="auto"/>
                <w:kern w:val="21"/>
                <w:szCs w:val="21"/>
                <w:highlight w:val="none"/>
                <w:lang w:val="en-US" w:eastAsia="zh-CN"/>
              </w:rPr>
              <w:t>7</w:t>
            </w:r>
            <w:r>
              <w:rPr>
                <w:rFonts w:hint="eastAsia" w:ascii="宋体" w:hAnsi="宋体" w:cs="宋体"/>
                <w:color w:val="auto"/>
                <w:kern w:val="21"/>
                <w:szCs w:val="21"/>
                <w:highlight w:val="none"/>
              </w:rPr>
              <w:t>个）</w:t>
            </w:r>
          </w:p>
          <w:p w14:paraId="1F7EEB05">
            <w:pPr>
              <w:pStyle w:val="20"/>
              <w:spacing w:line="320" w:lineRule="exact"/>
              <w:ind w:left="0" w:firstLine="0"/>
              <w:rPr>
                <w:rFonts w:hint="eastAsia" w:ascii="宋体" w:hAnsi="宋体" w:cs="宋体"/>
                <w:color w:val="auto"/>
                <w:kern w:val="21"/>
                <w:szCs w:val="21"/>
                <w:highlight w:val="none"/>
              </w:rPr>
            </w:pPr>
            <w:r>
              <w:rPr>
                <w:rFonts w:hint="eastAsia" w:ascii="宋体" w:hAnsi="宋体" w:cs="宋体"/>
                <w:color w:val="auto"/>
                <w:kern w:val="21"/>
                <w:szCs w:val="21"/>
                <w:highlight w:val="none"/>
                <w:lang w:val="en-US" w:eastAsia="zh-CN"/>
              </w:rPr>
              <w:t>其中</w:t>
            </w:r>
            <w:r>
              <w:rPr>
                <w:rFonts w:hint="eastAsia" w:ascii="宋体" w:hAnsi="宋体" w:cs="宋体"/>
                <w:color w:val="auto"/>
                <w:kern w:val="21"/>
                <w:szCs w:val="21"/>
                <w:highlight w:val="none"/>
              </w:rPr>
              <w:t>：若运维电压等级低于110kV（10kV及以上），得</w:t>
            </w:r>
            <w:r>
              <w:rPr>
                <w:rFonts w:hint="eastAsia" w:ascii="宋体" w:hAnsi="宋体" w:cs="宋体"/>
                <w:color w:val="auto"/>
                <w:kern w:val="21"/>
                <w:szCs w:val="21"/>
                <w:highlight w:val="none"/>
                <w:lang w:val="en-US" w:eastAsia="zh-CN"/>
              </w:rPr>
              <w:t>2</w:t>
            </w:r>
            <w:r>
              <w:rPr>
                <w:rFonts w:hint="eastAsia" w:ascii="宋体" w:hAnsi="宋体" w:cs="宋体"/>
                <w:color w:val="auto"/>
                <w:kern w:val="21"/>
                <w:szCs w:val="21"/>
                <w:highlight w:val="none"/>
              </w:rPr>
              <w:t>分</w:t>
            </w:r>
            <w:r>
              <w:rPr>
                <w:rFonts w:hint="eastAsia" w:ascii="宋体" w:hAnsi="宋体" w:cs="宋体"/>
                <w:color w:val="auto"/>
                <w:kern w:val="21"/>
                <w:szCs w:val="21"/>
                <w:highlight w:val="none"/>
                <w:lang w:eastAsia="zh-CN"/>
              </w:rPr>
              <w:t>，</w:t>
            </w:r>
            <w:r>
              <w:rPr>
                <w:rFonts w:hint="eastAsia" w:ascii="宋体" w:hAnsi="宋体" w:cs="宋体"/>
                <w:color w:val="auto"/>
                <w:kern w:val="21"/>
                <w:szCs w:val="21"/>
                <w:highlight w:val="none"/>
                <w:lang w:val="en-US" w:eastAsia="zh-CN"/>
              </w:rPr>
              <w:t>最多计5个</w:t>
            </w:r>
            <w:r>
              <w:rPr>
                <w:rFonts w:hint="eastAsia" w:ascii="宋体" w:hAnsi="宋体" w:cs="宋体"/>
                <w:color w:val="auto"/>
                <w:kern w:val="21"/>
                <w:szCs w:val="21"/>
                <w:highlight w:val="none"/>
                <w:lang w:eastAsia="zh-CN"/>
              </w:rPr>
              <w:t>；</w:t>
            </w:r>
            <w:r>
              <w:rPr>
                <w:rFonts w:hint="eastAsia" w:ascii="宋体" w:hAnsi="宋体" w:cs="宋体"/>
                <w:color w:val="auto"/>
                <w:kern w:val="21"/>
                <w:szCs w:val="21"/>
                <w:highlight w:val="none"/>
              </w:rPr>
              <w:t>若运维电压等级达到110kV及以上，得</w:t>
            </w:r>
            <w:r>
              <w:rPr>
                <w:rFonts w:hint="eastAsia" w:ascii="宋体" w:hAnsi="宋体" w:cs="宋体"/>
                <w:color w:val="auto"/>
                <w:kern w:val="21"/>
                <w:szCs w:val="21"/>
                <w:highlight w:val="none"/>
                <w:lang w:val="en-US" w:eastAsia="zh-CN"/>
              </w:rPr>
              <w:t>4</w:t>
            </w:r>
            <w:r>
              <w:rPr>
                <w:rFonts w:hint="eastAsia" w:ascii="宋体" w:hAnsi="宋体" w:cs="宋体"/>
                <w:color w:val="auto"/>
                <w:kern w:val="21"/>
                <w:szCs w:val="21"/>
                <w:highlight w:val="none"/>
              </w:rPr>
              <w:t>分</w:t>
            </w:r>
            <w:r>
              <w:rPr>
                <w:rFonts w:hint="eastAsia" w:ascii="宋体" w:hAnsi="宋体" w:cs="宋体"/>
                <w:color w:val="auto"/>
                <w:kern w:val="21"/>
                <w:szCs w:val="21"/>
                <w:highlight w:val="none"/>
                <w:lang w:eastAsia="zh-CN"/>
              </w:rPr>
              <w:t>，</w:t>
            </w:r>
            <w:r>
              <w:rPr>
                <w:rFonts w:hint="eastAsia" w:ascii="宋体" w:hAnsi="宋体" w:cs="宋体"/>
                <w:color w:val="auto"/>
                <w:kern w:val="21"/>
                <w:szCs w:val="21"/>
                <w:highlight w:val="none"/>
                <w:lang w:val="en-US" w:eastAsia="zh-CN"/>
              </w:rPr>
              <w:t>最多计2个</w:t>
            </w:r>
            <w:r>
              <w:rPr>
                <w:rFonts w:hint="eastAsia" w:ascii="宋体" w:hAnsi="宋体" w:cs="宋体"/>
                <w:color w:val="auto"/>
                <w:kern w:val="21"/>
                <w:szCs w:val="21"/>
                <w:highlight w:val="none"/>
              </w:rPr>
              <w:t>；低于10kV的运维项目不计分。此项最多得18分。</w:t>
            </w:r>
          </w:p>
          <w:p w14:paraId="119D998A">
            <w:pPr>
              <w:pStyle w:val="20"/>
              <w:spacing w:line="320" w:lineRule="exact"/>
              <w:ind w:left="0" w:firstLine="0"/>
              <w:rPr>
                <w:rFonts w:hint="eastAsia" w:ascii="宋体" w:hAnsi="宋体" w:cs="宋体"/>
                <w:color w:val="auto"/>
                <w:kern w:val="21"/>
                <w:szCs w:val="21"/>
                <w:highlight w:val="none"/>
              </w:rPr>
            </w:pPr>
            <w:r>
              <w:rPr>
                <w:rFonts w:hint="eastAsia" w:ascii="宋体" w:hAnsi="宋体" w:cs="宋体"/>
                <w:color w:val="auto"/>
                <w:kern w:val="21"/>
                <w:szCs w:val="21"/>
                <w:highlight w:val="none"/>
              </w:rPr>
              <w:t>证明材料需同时满足：</w:t>
            </w:r>
          </w:p>
          <w:p w14:paraId="42C0904C">
            <w:pPr>
              <w:pStyle w:val="20"/>
              <w:spacing w:line="320" w:lineRule="exact"/>
              <w:ind w:left="0" w:firstLine="0"/>
              <w:rPr>
                <w:rFonts w:hint="eastAsia" w:ascii="宋体" w:hAnsi="宋体" w:cs="宋体"/>
                <w:color w:val="auto"/>
                <w:kern w:val="21"/>
                <w:szCs w:val="21"/>
                <w:highlight w:val="none"/>
              </w:rPr>
            </w:pPr>
            <w:r>
              <w:rPr>
                <w:rFonts w:hint="eastAsia" w:ascii="宋体" w:hAnsi="宋体" w:cs="宋体"/>
                <w:color w:val="auto"/>
                <w:kern w:val="21"/>
                <w:szCs w:val="21"/>
                <w:highlight w:val="none"/>
              </w:rPr>
              <w:t>1、合同清晰复印件，清晰复印件至少应包含首页、签章页、项目服务内容，并加盖投标人公章；</w:t>
            </w:r>
          </w:p>
          <w:p w14:paraId="1CC31224">
            <w:pPr>
              <w:keepNext/>
              <w:keepLines/>
              <w:numPr>
                <w:ilvl w:val="0"/>
                <w:numId w:val="0"/>
              </w:numPr>
              <w:adjustRightInd/>
              <w:snapToGrid/>
              <w:spacing w:line="276" w:lineRule="auto"/>
              <w:jc w:val="left"/>
              <w:outlineLvl w:val="1"/>
              <w:rPr>
                <w:rFonts w:ascii="宋体" w:hAnsi="宋体" w:eastAsia="宋体" w:cs="宋体"/>
                <w:color w:val="auto"/>
                <w:kern w:val="2"/>
                <w:sz w:val="21"/>
                <w:szCs w:val="21"/>
                <w:highlight w:val="none"/>
                <w:lang w:val="en-US" w:eastAsia="zh-CN" w:bidi="ar-SA"/>
              </w:rPr>
            </w:pPr>
            <w:bookmarkStart w:id="96" w:name="_Toc3040"/>
            <w:r>
              <w:rPr>
                <w:rFonts w:hint="eastAsia" w:ascii="宋体" w:hAnsi="宋体" w:cs="宋体"/>
                <w:color w:val="auto"/>
                <w:kern w:val="21"/>
                <w:szCs w:val="21"/>
                <w:highlight w:val="none"/>
              </w:rPr>
              <w:t>2、提供中标通知书及其中标或成交的网页截图彩色复印件，并加盖投标人公章。</w:t>
            </w:r>
            <w:bookmarkEnd w:id="96"/>
          </w:p>
        </w:tc>
        <w:tc>
          <w:tcPr>
            <w:tcW w:w="826" w:type="dxa"/>
            <w:tcBorders>
              <w:top w:val="single" w:color="auto" w:sz="6" w:space="0"/>
              <w:left w:val="single" w:color="auto" w:sz="6" w:space="0"/>
              <w:bottom w:val="single" w:color="auto" w:sz="4" w:space="0"/>
              <w:right w:val="single" w:color="auto" w:sz="6" w:space="0"/>
            </w:tcBorders>
            <w:shd w:val="clear" w:color="auto" w:fill="auto"/>
            <w:vAlign w:val="center"/>
          </w:tcPr>
          <w:p w14:paraId="7F7E0B4E">
            <w:pPr>
              <w:adjustRightInd w:val="0"/>
              <w:snapToGrid w:val="0"/>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strike w:val="0"/>
                <w:dstrike w:val="0"/>
                <w:color w:val="auto"/>
                <w:szCs w:val="21"/>
                <w:highlight w:val="none"/>
                <w:lang w:val="en-US" w:eastAsia="zh-CN"/>
              </w:rPr>
              <w:t>18</w:t>
            </w:r>
          </w:p>
        </w:tc>
      </w:tr>
      <w:tr w14:paraId="0A71CC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0" w:hRule="atLeast"/>
          <w:tblHeader/>
          <w:jc w:val="center"/>
        </w:trPr>
        <w:tc>
          <w:tcPr>
            <w:tcW w:w="1207" w:type="dxa"/>
            <w:vMerge w:val="continue"/>
            <w:tcBorders>
              <w:left w:val="single" w:color="auto" w:sz="6" w:space="0"/>
              <w:right w:val="single" w:color="auto" w:sz="6" w:space="0"/>
            </w:tcBorders>
            <w:vAlign w:val="center"/>
          </w:tcPr>
          <w:p w14:paraId="7999900F">
            <w:pPr>
              <w:spacing w:line="276" w:lineRule="auto"/>
              <w:jc w:val="center"/>
              <w:rPr>
                <w:rFonts w:hint="eastAsia" w:ascii="宋体" w:hAnsi="宋体" w:cs="宋体"/>
                <w:color w:val="auto"/>
                <w:szCs w:val="21"/>
                <w:highlight w:val="none"/>
              </w:rPr>
            </w:pPr>
          </w:p>
        </w:tc>
        <w:tc>
          <w:tcPr>
            <w:tcW w:w="705" w:type="dxa"/>
            <w:tcBorders>
              <w:top w:val="single" w:color="auto" w:sz="6" w:space="0"/>
              <w:left w:val="single" w:color="auto" w:sz="6" w:space="0"/>
              <w:bottom w:val="single" w:color="auto" w:sz="4" w:space="0"/>
              <w:right w:val="single" w:color="auto" w:sz="4" w:space="0"/>
            </w:tcBorders>
            <w:vAlign w:val="center"/>
          </w:tcPr>
          <w:p w14:paraId="15EF5693">
            <w:pPr>
              <w:adjustRightInd w:val="0"/>
              <w:snapToGrid w:val="0"/>
              <w:jc w:val="center"/>
              <w:rPr>
                <w:rFonts w:hint="eastAsia" w:ascii="宋体" w:hAnsi="宋体" w:cs="宋体"/>
                <w:color w:val="auto"/>
                <w:szCs w:val="21"/>
                <w:highlight w:val="none"/>
              </w:rPr>
            </w:pPr>
            <w:r>
              <w:rPr>
                <w:rFonts w:hint="eastAsia" w:ascii="宋体" w:hAnsi="宋体"/>
                <w:color w:val="auto"/>
                <w:szCs w:val="21"/>
                <w:highlight w:val="none"/>
              </w:rPr>
              <w:t>客户反馈</w:t>
            </w:r>
          </w:p>
        </w:tc>
        <w:tc>
          <w:tcPr>
            <w:tcW w:w="6533" w:type="dxa"/>
            <w:tcBorders>
              <w:top w:val="single" w:color="auto" w:sz="6" w:space="0"/>
              <w:left w:val="single" w:color="auto" w:sz="4" w:space="0"/>
              <w:bottom w:val="single" w:color="auto" w:sz="4" w:space="0"/>
              <w:right w:val="single" w:color="auto" w:sz="6" w:space="0"/>
            </w:tcBorders>
            <w:shd w:val="clear" w:color="auto" w:fill="auto"/>
            <w:vAlign w:val="center"/>
          </w:tcPr>
          <w:p w14:paraId="66A4140D">
            <w:pPr>
              <w:adjustRightInd w:val="0"/>
              <w:snapToGrid w:val="0"/>
              <w:rPr>
                <w:rFonts w:ascii="宋体" w:hAnsi="宋体" w:eastAsia="宋体" w:cs="宋体"/>
                <w:color w:val="auto"/>
                <w:kern w:val="2"/>
                <w:sz w:val="21"/>
                <w:szCs w:val="21"/>
                <w:highlight w:val="none"/>
                <w:lang w:val="en-US" w:eastAsia="zh-CN" w:bidi="ar-SA"/>
              </w:rPr>
            </w:pPr>
            <w:r>
              <w:rPr>
                <w:rFonts w:hint="eastAsia" w:ascii="宋体" w:hAnsi="宋体"/>
                <w:color w:val="auto"/>
                <w:szCs w:val="21"/>
                <w:highlight w:val="none"/>
              </w:rPr>
              <w:t>投标人提供类似业绩的甲方书面评价意见，书面评价意见为满意或良好或其他积极正面的评价描述的，每个得</w:t>
            </w:r>
            <w:r>
              <w:rPr>
                <w:rFonts w:hint="eastAsia" w:ascii="宋体" w:hAnsi="宋体"/>
                <w:color w:val="auto"/>
                <w:szCs w:val="21"/>
                <w:highlight w:val="none"/>
                <w:lang w:val="en-US" w:eastAsia="zh-CN"/>
              </w:rPr>
              <w:t>1</w:t>
            </w:r>
            <w:r>
              <w:rPr>
                <w:rFonts w:hint="eastAsia" w:ascii="宋体" w:hAnsi="宋体"/>
                <w:color w:val="auto"/>
                <w:szCs w:val="21"/>
                <w:highlight w:val="none"/>
              </w:rPr>
              <w:t>分，本项最高得</w:t>
            </w:r>
            <w:r>
              <w:rPr>
                <w:rFonts w:hint="eastAsia" w:ascii="宋体" w:hAnsi="宋体"/>
                <w:color w:val="auto"/>
                <w:szCs w:val="21"/>
                <w:highlight w:val="none"/>
                <w:lang w:val="en-US" w:eastAsia="zh-CN"/>
              </w:rPr>
              <w:t>5</w:t>
            </w:r>
            <w:r>
              <w:rPr>
                <w:rFonts w:hint="eastAsia" w:ascii="宋体" w:hAnsi="宋体"/>
                <w:color w:val="auto"/>
                <w:szCs w:val="21"/>
                <w:highlight w:val="none"/>
              </w:rPr>
              <w:t>分。不提供或提供不全不得分。(同一甲方出具的多个书面评价意见，只按一个评价意见计分；提供甲方签署时间、联系方式、签章的意见书，并加盖投标人公章）</w:t>
            </w:r>
          </w:p>
        </w:tc>
        <w:tc>
          <w:tcPr>
            <w:tcW w:w="826" w:type="dxa"/>
            <w:tcBorders>
              <w:top w:val="single" w:color="auto" w:sz="6" w:space="0"/>
              <w:left w:val="single" w:color="auto" w:sz="6" w:space="0"/>
              <w:bottom w:val="single" w:color="auto" w:sz="4" w:space="0"/>
              <w:right w:val="single" w:color="auto" w:sz="6" w:space="0"/>
            </w:tcBorders>
            <w:shd w:val="clear" w:color="auto" w:fill="auto"/>
            <w:vAlign w:val="center"/>
          </w:tcPr>
          <w:p w14:paraId="2C059743">
            <w:pPr>
              <w:adjustRightInd w:val="0"/>
              <w:snapToGrid w:val="0"/>
              <w:jc w:val="center"/>
              <w:rPr>
                <w:rFonts w:ascii="宋体" w:hAnsi="宋体" w:eastAsia="宋体" w:cs="宋体"/>
                <w:color w:val="auto"/>
                <w:spacing w:val="-6"/>
                <w:kern w:val="2"/>
                <w:sz w:val="21"/>
                <w:szCs w:val="21"/>
                <w:highlight w:val="none"/>
                <w:lang w:val="en-US" w:eastAsia="zh-CN" w:bidi="ar-SA"/>
              </w:rPr>
            </w:pPr>
            <w:r>
              <w:rPr>
                <w:rFonts w:hint="eastAsia" w:ascii="宋体" w:hAnsi="宋体"/>
                <w:color w:val="auto"/>
                <w:szCs w:val="21"/>
                <w:highlight w:val="none"/>
                <w:lang w:val="en-US" w:eastAsia="zh-CN"/>
              </w:rPr>
              <w:t>5</w:t>
            </w:r>
          </w:p>
        </w:tc>
      </w:tr>
      <w:tr w14:paraId="0F6FAD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0" w:hRule="atLeast"/>
          <w:tblHeader/>
          <w:jc w:val="center"/>
        </w:trPr>
        <w:tc>
          <w:tcPr>
            <w:tcW w:w="1207" w:type="dxa"/>
            <w:vMerge w:val="continue"/>
            <w:tcBorders>
              <w:left w:val="single" w:color="auto" w:sz="6" w:space="0"/>
              <w:right w:val="single" w:color="auto" w:sz="6" w:space="0"/>
            </w:tcBorders>
            <w:vAlign w:val="center"/>
          </w:tcPr>
          <w:p w14:paraId="0883597E">
            <w:pPr>
              <w:spacing w:line="276" w:lineRule="auto"/>
              <w:jc w:val="center"/>
              <w:rPr>
                <w:rFonts w:hint="eastAsia" w:ascii="宋体" w:hAnsi="宋体" w:cs="宋体"/>
                <w:color w:val="auto"/>
                <w:szCs w:val="21"/>
                <w:highlight w:val="none"/>
              </w:rPr>
            </w:pPr>
          </w:p>
        </w:tc>
        <w:tc>
          <w:tcPr>
            <w:tcW w:w="705" w:type="dxa"/>
            <w:tcBorders>
              <w:top w:val="single" w:color="auto" w:sz="6" w:space="0"/>
              <w:left w:val="single" w:color="auto" w:sz="6" w:space="0"/>
              <w:bottom w:val="single" w:color="auto" w:sz="4" w:space="0"/>
              <w:right w:val="single" w:color="auto" w:sz="4" w:space="0"/>
            </w:tcBorders>
            <w:vAlign w:val="center"/>
          </w:tcPr>
          <w:p w14:paraId="0C3E50F4">
            <w:pPr>
              <w:adjustRightInd w:val="0"/>
              <w:snapToGrid w:val="0"/>
              <w:jc w:val="center"/>
              <w:rPr>
                <w:rFonts w:hint="eastAsia" w:ascii="宋体" w:hAnsi="宋体" w:cs="宋体"/>
                <w:color w:val="auto"/>
                <w:szCs w:val="21"/>
                <w:highlight w:val="none"/>
              </w:rPr>
            </w:pPr>
            <w:r>
              <w:rPr>
                <w:rFonts w:hint="eastAsia" w:ascii="宋体" w:hAnsi="宋体"/>
                <w:color w:val="auto"/>
                <w:szCs w:val="21"/>
                <w:highlight w:val="none"/>
              </w:rPr>
              <w:t>人员资历</w:t>
            </w:r>
          </w:p>
        </w:tc>
        <w:tc>
          <w:tcPr>
            <w:tcW w:w="6533" w:type="dxa"/>
            <w:tcBorders>
              <w:top w:val="single" w:color="auto" w:sz="6" w:space="0"/>
              <w:left w:val="single" w:color="auto" w:sz="4" w:space="0"/>
              <w:bottom w:val="single" w:color="auto" w:sz="4" w:space="0"/>
              <w:right w:val="single" w:color="auto" w:sz="6" w:space="0"/>
            </w:tcBorders>
            <w:shd w:val="clear" w:color="auto" w:fill="auto"/>
            <w:vAlign w:val="center"/>
          </w:tcPr>
          <w:p w14:paraId="667A8EB5">
            <w:pPr>
              <w:adjustRightInd w:val="0"/>
              <w:snapToGrid w:val="0"/>
              <w:rPr>
                <w:rFonts w:hint="eastAsia" w:ascii="宋体" w:hAnsi="宋体"/>
                <w:color w:val="auto"/>
                <w:szCs w:val="21"/>
                <w:highlight w:val="none"/>
              </w:rPr>
            </w:pPr>
            <w:r>
              <w:rPr>
                <w:rFonts w:hint="eastAsia" w:ascii="宋体" w:hAnsi="宋体"/>
                <w:color w:val="auto"/>
                <w:szCs w:val="21"/>
                <w:highlight w:val="none"/>
              </w:rPr>
              <w:t>拟派项目负责人具有电力相关专业高级工程师职称的，得2分；具有中级职称得1分。此项最高2分。</w:t>
            </w:r>
          </w:p>
          <w:p w14:paraId="23EDD19E">
            <w:pPr>
              <w:adjustRightInd w:val="0"/>
              <w:snapToGrid w:val="0"/>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注：需提供有效证书复印件加盖公章。</w:t>
            </w:r>
          </w:p>
        </w:tc>
        <w:tc>
          <w:tcPr>
            <w:tcW w:w="826" w:type="dxa"/>
            <w:tcBorders>
              <w:top w:val="single" w:color="auto" w:sz="6" w:space="0"/>
              <w:left w:val="single" w:color="auto" w:sz="6" w:space="0"/>
              <w:bottom w:val="single" w:color="auto" w:sz="4" w:space="0"/>
              <w:right w:val="single" w:color="auto" w:sz="6" w:space="0"/>
            </w:tcBorders>
            <w:shd w:val="clear" w:color="auto" w:fill="auto"/>
            <w:vAlign w:val="center"/>
          </w:tcPr>
          <w:p w14:paraId="6F0D754D">
            <w:pPr>
              <w:adjustRightInd w:val="0"/>
              <w:snapToGrid w:val="0"/>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2</w:t>
            </w:r>
          </w:p>
        </w:tc>
      </w:tr>
      <w:tr w14:paraId="1F31E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0" w:hRule="atLeast"/>
          <w:tblHeader/>
          <w:jc w:val="center"/>
        </w:trPr>
        <w:tc>
          <w:tcPr>
            <w:tcW w:w="1207" w:type="dxa"/>
            <w:vMerge w:val="continue"/>
            <w:tcBorders>
              <w:top w:val="single" w:color="auto" w:sz="6" w:space="0"/>
              <w:left w:val="single" w:color="auto" w:sz="6" w:space="0"/>
              <w:bottom w:val="single" w:color="auto" w:sz="6" w:space="0"/>
              <w:right w:val="single" w:color="auto" w:sz="6" w:space="0"/>
            </w:tcBorders>
            <w:vAlign w:val="center"/>
          </w:tcPr>
          <w:p w14:paraId="65D6A254">
            <w:pPr>
              <w:widowControl/>
              <w:jc w:val="left"/>
              <w:rPr>
                <w:rFonts w:ascii="宋体" w:hAnsi="宋体" w:cs="宋体"/>
                <w:color w:val="auto"/>
                <w:szCs w:val="21"/>
                <w:highlight w:val="none"/>
              </w:rPr>
            </w:pPr>
          </w:p>
        </w:tc>
        <w:tc>
          <w:tcPr>
            <w:tcW w:w="705" w:type="dxa"/>
            <w:tcBorders>
              <w:top w:val="single" w:color="auto" w:sz="6" w:space="0"/>
              <w:left w:val="single" w:color="auto" w:sz="6" w:space="0"/>
              <w:bottom w:val="single" w:color="auto" w:sz="4" w:space="0"/>
              <w:right w:val="single" w:color="auto" w:sz="4" w:space="0"/>
            </w:tcBorders>
            <w:vAlign w:val="center"/>
          </w:tcPr>
          <w:p w14:paraId="5BAC2659">
            <w:pPr>
              <w:adjustRightInd w:val="0"/>
              <w:snapToGrid w:val="0"/>
              <w:jc w:val="center"/>
              <w:rPr>
                <w:rFonts w:ascii="宋体" w:hAnsi="宋体" w:cs="宋体"/>
                <w:color w:val="auto"/>
                <w:szCs w:val="21"/>
                <w:highlight w:val="none"/>
              </w:rPr>
            </w:pPr>
            <w:r>
              <w:rPr>
                <w:rFonts w:hint="eastAsia" w:ascii="宋体" w:hAnsi="宋体"/>
                <w:color w:val="auto"/>
                <w:szCs w:val="21"/>
                <w:highlight w:val="none"/>
              </w:rPr>
              <w:t>服务支持</w:t>
            </w:r>
          </w:p>
        </w:tc>
        <w:tc>
          <w:tcPr>
            <w:tcW w:w="6533" w:type="dxa"/>
            <w:tcBorders>
              <w:top w:val="single" w:color="auto" w:sz="6" w:space="0"/>
              <w:left w:val="single" w:color="auto" w:sz="4" w:space="0"/>
              <w:bottom w:val="single" w:color="auto" w:sz="4" w:space="0"/>
              <w:right w:val="single" w:color="auto" w:sz="6" w:space="0"/>
            </w:tcBorders>
            <w:shd w:val="clear" w:color="auto" w:fill="auto"/>
            <w:vAlign w:val="center"/>
          </w:tcPr>
          <w:p w14:paraId="2FA29CF9">
            <w:pPr>
              <w:adjustRightInd w:val="0"/>
              <w:snapToGrid w:val="0"/>
              <w:rPr>
                <w:rFonts w:ascii="宋体" w:hAnsi="宋体" w:eastAsia="宋体" w:cs="宋体"/>
                <w:b/>
                <w:bCs/>
                <w:color w:val="auto"/>
                <w:kern w:val="2"/>
                <w:sz w:val="21"/>
                <w:szCs w:val="21"/>
                <w:highlight w:val="none"/>
                <w:lang w:val="en-US" w:eastAsia="zh-CN" w:bidi="ar-SA"/>
              </w:rPr>
            </w:pPr>
            <w:r>
              <w:rPr>
                <w:rFonts w:hint="eastAsia" w:ascii="宋体" w:hAnsi="宋体"/>
                <w:color w:val="auto"/>
                <w:szCs w:val="21"/>
                <w:highlight w:val="none"/>
              </w:rPr>
              <w:t>当配电设备出现严重故障，影响安全运行时，投标人技术人员30分钟内赶赴按照技术流程迅速找出故障原因予以处置，得</w:t>
            </w:r>
            <w:r>
              <w:rPr>
                <w:rFonts w:hint="eastAsia" w:ascii="宋体" w:hAnsi="宋体"/>
                <w:color w:val="auto"/>
                <w:szCs w:val="21"/>
                <w:highlight w:val="none"/>
                <w:lang w:val="en-US" w:eastAsia="zh-CN"/>
              </w:rPr>
              <w:t>2</w:t>
            </w:r>
            <w:r>
              <w:rPr>
                <w:rFonts w:hint="eastAsia" w:ascii="宋体" w:hAnsi="宋体"/>
                <w:color w:val="auto"/>
                <w:szCs w:val="21"/>
                <w:highlight w:val="none"/>
              </w:rPr>
              <w:t>分。其他不得分（提供承诺函盖公章）</w:t>
            </w:r>
          </w:p>
        </w:tc>
        <w:tc>
          <w:tcPr>
            <w:tcW w:w="826" w:type="dxa"/>
            <w:tcBorders>
              <w:top w:val="single" w:color="auto" w:sz="6" w:space="0"/>
              <w:left w:val="single" w:color="auto" w:sz="6" w:space="0"/>
              <w:bottom w:val="single" w:color="auto" w:sz="4" w:space="0"/>
              <w:right w:val="single" w:color="auto" w:sz="6" w:space="0"/>
            </w:tcBorders>
            <w:shd w:val="clear" w:color="auto" w:fill="auto"/>
            <w:vAlign w:val="center"/>
          </w:tcPr>
          <w:p w14:paraId="6019DDE1">
            <w:pPr>
              <w:adjustRightInd w:val="0"/>
              <w:snapToGrid w:val="0"/>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2</w:t>
            </w:r>
          </w:p>
        </w:tc>
      </w:tr>
      <w:tr w14:paraId="3980D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4" w:hRule="atLeast"/>
          <w:tblHeader/>
          <w:jc w:val="center"/>
        </w:trPr>
        <w:tc>
          <w:tcPr>
            <w:tcW w:w="1207" w:type="dxa"/>
            <w:vMerge w:val="continue"/>
            <w:tcBorders>
              <w:top w:val="single" w:color="auto" w:sz="6" w:space="0"/>
              <w:left w:val="single" w:color="auto" w:sz="6" w:space="0"/>
              <w:bottom w:val="single" w:color="auto" w:sz="6" w:space="0"/>
              <w:right w:val="single" w:color="auto" w:sz="6" w:space="0"/>
            </w:tcBorders>
            <w:vAlign w:val="center"/>
          </w:tcPr>
          <w:p w14:paraId="49850EA1">
            <w:pPr>
              <w:widowControl/>
              <w:jc w:val="left"/>
              <w:rPr>
                <w:rFonts w:ascii="宋体" w:hAnsi="宋体" w:cs="宋体"/>
                <w:color w:val="auto"/>
                <w:szCs w:val="21"/>
                <w:highlight w:val="none"/>
              </w:rPr>
            </w:pPr>
          </w:p>
        </w:tc>
        <w:tc>
          <w:tcPr>
            <w:tcW w:w="705" w:type="dxa"/>
            <w:tcBorders>
              <w:top w:val="single" w:color="auto" w:sz="4" w:space="0"/>
              <w:left w:val="single" w:color="auto" w:sz="6" w:space="0"/>
              <w:bottom w:val="single" w:color="auto" w:sz="4" w:space="0"/>
              <w:right w:val="single" w:color="auto" w:sz="4" w:space="0"/>
            </w:tcBorders>
            <w:vAlign w:val="center"/>
          </w:tcPr>
          <w:p w14:paraId="15620DBD">
            <w:pPr>
              <w:adjustRightInd w:val="0"/>
              <w:snapToGrid w:val="0"/>
              <w:jc w:val="center"/>
              <w:rPr>
                <w:rFonts w:ascii="宋体" w:hAnsi="宋体" w:cs="宋体"/>
                <w:color w:val="auto"/>
                <w:szCs w:val="21"/>
                <w:highlight w:val="none"/>
              </w:rPr>
            </w:pPr>
            <w:r>
              <w:rPr>
                <w:rFonts w:hint="eastAsia" w:ascii="宋体" w:hAnsi="宋体"/>
                <w:color w:val="auto"/>
                <w:szCs w:val="21"/>
                <w:highlight w:val="none"/>
              </w:rPr>
              <w:t>认证体系</w:t>
            </w:r>
          </w:p>
        </w:tc>
        <w:tc>
          <w:tcPr>
            <w:tcW w:w="6533" w:type="dxa"/>
            <w:tcBorders>
              <w:top w:val="single" w:color="auto" w:sz="4" w:space="0"/>
              <w:left w:val="single" w:color="auto" w:sz="4" w:space="0"/>
              <w:bottom w:val="single" w:color="auto" w:sz="4" w:space="0"/>
              <w:right w:val="single" w:color="auto" w:sz="6" w:space="0"/>
            </w:tcBorders>
            <w:shd w:val="clear" w:color="auto" w:fill="auto"/>
            <w:vAlign w:val="center"/>
          </w:tcPr>
          <w:p w14:paraId="1168BA72">
            <w:pPr>
              <w:adjustRightInd w:val="0"/>
              <w:snapToGrid w:val="0"/>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投标人具有有效的质量管理体系认证证书、环境管理体系认证证书及职业健康管理体系认证证书，每提供一份得</w:t>
            </w:r>
            <w:r>
              <w:rPr>
                <w:rFonts w:hint="eastAsia" w:ascii="宋体" w:hAnsi="宋体"/>
                <w:color w:val="auto"/>
                <w:szCs w:val="21"/>
                <w:highlight w:val="none"/>
                <w:lang w:val="en-US" w:eastAsia="zh-CN"/>
              </w:rPr>
              <w:t>1</w:t>
            </w:r>
            <w:r>
              <w:rPr>
                <w:rFonts w:hint="eastAsia" w:ascii="宋体" w:hAnsi="宋体"/>
                <w:color w:val="auto"/>
                <w:szCs w:val="21"/>
                <w:highlight w:val="none"/>
              </w:rPr>
              <w:t>分，累计最多得</w:t>
            </w:r>
            <w:r>
              <w:rPr>
                <w:rFonts w:hint="eastAsia" w:ascii="宋体" w:hAnsi="宋体"/>
                <w:color w:val="auto"/>
                <w:szCs w:val="21"/>
                <w:highlight w:val="none"/>
                <w:lang w:val="en-US" w:eastAsia="zh-CN"/>
              </w:rPr>
              <w:t>3</w:t>
            </w:r>
            <w:r>
              <w:rPr>
                <w:rFonts w:hint="eastAsia" w:ascii="宋体" w:hAnsi="宋体"/>
                <w:color w:val="auto"/>
                <w:szCs w:val="21"/>
                <w:highlight w:val="none"/>
              </w:rPr>
              <w:t>分。（提供对应证书复印件加盖公章）</w:t>
            </w:r>
          </w:p>
        </w:tc>
        <w:tc>
          <w:tcPr>
            <w:tcW w:w="826" w:type="dxa"/>
            <w:tcBorders>
              <w:top w:val="single" w:color="auto" w:sz="4" w:space="0"/>
              <w:left w:val="single" w:color="auto" w:sz="6" w:space="0"/>
              <w:bottom w:val="single" w:color="auto" w:sz="4" w:space="0"/>
              <w:right w:val="single" w:color="auto" w:sz="6" w:space="0"/>
            </w:tcBorders>
            <w:shd w:val="clear" w:color="auto" w:fill="auto"/>
            <w:vAlign w:val="center"/>
          </w:tcPr>
          <w:p w14:paraId="3ECCD4E8">
            <w:pPr>
              <w:adjustRightInd w:val="0"/>
              <w:snapToGrid w:val="0"/>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3</w:t>
            </w:r>
          </w:p>
        </w:tc>
      </w:tr>
      <w:tr w14:paraId="4C8A70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8" w:hRule="atLeast"/>
          <w:tblHeader/>
          <w:jc w:val="center"/>
        </w:trPr>
        <w:tc>
          <w:tcPr>
            <w:tcW w:w="1207" w:type="dxa"/>
            <w:vMerge w:val="restart"/>
            <w:tcBorders>
              <w:top w:val="single" w:color="auto" w:sz="6" w:space="0"/>
              <w:left w:val="single" w:color="auto" w:sz="6" w:space="0"/>
              <w:bottom w:val="single" w:color="auto" w:sz="6" w:space="0"/>
              <w:right w:val="single" w:color="auto" w:sz="6" w:space="0"/>
            </w:tcBorders>
            <w:vAlign w:val="center"/>
          </w:tcPr>
          <w:p w14:paraId="78C01EF3">
            <w:pPr>
              <w:spacing w:line="276" w:lineRule="auto"/>
              <w:jc w:val="center"/>
              <w:rPr>
                <w:rFonts w:ascii="宋体" w:hAnsi="宋体" w:cs="宋体"/>
                <w:color w:val="auto"/>
                <w:szCs w:val="21"/>
                <w:highlight w:val="none"/>
              </w:rPr>
            </w:pPr>
            <w:r>
              <w:rPr>
                <w:rFonts w:hint="eastAsia" w:ascii="宋体" w:hAnsi="宋体" w:cs="宋体"/>
                <w:color w:val="auto"/>
                <w:szCs w:val="21"/>
                <w:highlight w:val="none"/>
              </w:rPr>
              <w:t>技术部分</w:t>
            </w:r>
          </w:p>
          <w:p w14:paraId="3A33FB0F">
            <w:pPr>
              <w:spacing w:line="276" w:lineRule="auto"/>
              <w:jc w:val="center"/>
              <w:rPr>
                <w:rFonts w:ascii="宋体" w:hAnsi="宋体" w:cs="宋体"/>
                <w:color w:val="auto"/>
                <w:szCs w:val="21"/>
                <w:highlight w:val="none"/>
              </w:rPr>
            </w:pPr>
            <w:r>
              <w:rPr>
                <w:rFonts w:hint="eastAsia" w:ascii="宋体" w:hAnsi="宋体" w:cs="宋体"/>
                <w:color w:val="auto"/>
                <w:szCs w:val="21"/>
                <w:highlight w:val="none"/>
              </w:rPr>
              <w:t>（40分）</w:t>
            </w:r>
          </w:p>
        </w:tc>
        <w:tc>
          <w:tcPr>
            <w:tcW w:w="705" w:type="dxa"/>
            <w:tcBorders>
              <w:top w:val="single" w:color="auto" w:sz="6" w:space="0"/>
              <w:left w:val="single" w:color="auto" w:sz="6" w:space="0"/>
              <w:bottom w:val="single" w:color="auto" w:sz="6" w:space="0"/>
              <w:right w:val="single" w:color="auto" w:sz="4" w:space="0"/>
            </w:tcBorders>
            <w:vAlign w:val="center"/>
          </w:tcPr>
          <w:p w14:paraId="2F76017C">
            <w:pPr>
              <w:adjustRightInd w:val="0"/>
              <w:snapToGrid w:val="0"/>
              <w:jc w:val="center"/>
              <w:rPr>
                <w:rFonts w:ascii="宋体" w:hAnsi="宋体" w:cs="宋体"/>
                <w:color w:val="auto"/>
                <w:szCs w:val="21"/>
                <w:highlight w:val="none"/>
              </w:rPr>
            </w:pPr>
            <w:r>
              <w:rPr>
                <w:rFonts w:hint="eastAsia" w:ascii="宋体" w:hAnsi="宋体"/>
                <w:color w:val="auto"/>
                <w:szCs w:val="21"/>
                <w:highlight w:val="none"/>
              </w:rPr>
              <w:t>日常运行维护服务方案</w:t>
            </w:r>
          </w:p>
        </w:tc>
        <w:tc>
          <w:tcPr>
            <w:tcW w:w="6533" w:type="dxa"/>
            <w:tcBorders>
              <w:top w:val="single" w:color="auto" w:sz="6" w:space="0"/>
              <w:left w:val="single" w:color="auto" w:sz="4" w:space="0"/>
              <w:bottom w:val="single" w:color="auto" w:sz="6" w:space="0"/>
              <w:right w:val="single" w:color="auto" w:sz="6" w:space="0"/>
            </w:tcBorders>
            <w:shd w:val="clear" w:color="auto" w:fill="auto"/>
            <w:vAlign w:val="center"/>
          </w:tcPr>
          <w:p w14:paraId="7EE20B84">
            <w:pPr>
              <w:spacing w:line="320" w:lineRule="exact"/>
              <w:rPr>
                <w:rFonts w:hint="eastAsia" w:ascii="宋体" w:hAnsi="宋体" w:eastAsia="宋体" w:cs="宋体"/>
                <w:color w:val="auto"/>
                <w:kern w:val="21"/>
                <w:sz w:val="21"/>
                <w:szCs w:val="21"/>
                <w:highlight w:val="none"/>
              </w:rPr>
            </w:pPr>
            <w:r>
              <w:rPr>
                <w:rFonts w:hint="eastAsia" w:ascii="宋体" w:hAnsi="宋体" w:eastAsia="宋体" w:cs="宋体"/>
                <w:color w:val="auto"/>
                <w:kern w:val="21"/>
                <w:sz w:val="21"/>
                <w:szCs w:val="21"/>
                <w:highlight w:val="none"/>
              </w:rPr>
              <w:t>根据投标人拟定的日常运行维护服务方案进行综合评审。</w:t>
            </w:r>
          </w:p>
          <w:p w14:paraId="6D58E1B7">
            <w:pPr>
              <w:spacing w:line="320" w:lineRule="exact"/>
              <w:rPr>
                <w:rFonts w:hint="eastAsia" w:ascii="宋体" w:hAnsi="宋体" w:eastAsia="宋体" w:cs="宋体"/>
                <w:color w:val="auto"/>
                <w:kern w:val="21"/>
                <w:sz w:val="21"/>
                <w:szCs w:val="21"/>
                <w:highlight w:val="none"/>
              </w:rPr>
            </w:pPr>
            <w:r>
              <w:rPr>
                <w:rFonts w:hint="eastAsia" w:ascii="宋体" w:hAnsi="宋体" w:eastAsia="宋体" w:cs="宋体"/>
                <w:color w:val="auto"/>
                <w:kern w:val="21"/>
                <w:sz w:val="21"/>
                <w:szCs w:val="21"/>
                <w:highlight w:val="none"/>
              </w:rPr>
              <w:t>评审因素：</w:t>
            </w:r>
          </w:p>
          <w:p w14:paraId="6A959641">
            <w:pPr>
              <w:spacing w:line="320" w:lineRule="exact"/>
              <w:rPr>
                <w:rFonts w:hint="eastAsia" w:ascii="宋体" w:hAnsi="宋体" w:eastAsia="宋体" w:cs="宋体"/>
                <w:color w:val="auto"/>
                <w:kern w:val="21"/>
                <w:sz w:val="21"/>
                <w:szCs w:val="21"/>
                <w:highlight w:val="none"/>
              </w:rPr>
            </w:pPr>
            <w:r>
              <w:rPr>
                <w:rFonts w:hint="eastAsia" w:ascii="宋体" w:hAnsi="宋体" w:eastAsia="宋体" w:cs="宋体"/>
                <w:color w:val="auto"/>
                <w:kern w:val="21"/>
                <w:sz w:val="21"/>
                <w:szCs w:val="21"/>
                <w:highlight w:val="none"/>
              </w:rPr>
              <w:t>①交接班制度（2分）；</w:t>
            </w:r>
          </w:p>
          <w:p w14:paraId="611FB979">
            <w:pPr>
              <w:spacing w:line="320" w:lineRule="exact"/>
              <w:rPr>
                <w:rFonts w:hint="eastAsia" w:ascii="宋体" w:hAnsi="宋体" w:eastAsia="宋体" w:cs="宋体"/>
                <w:color w:val="auto"/>
                <w:kern w:val="21"/>
                <w:sz w:val="21"/>
                <w:szCs w:val="21"/>
                <w:highlight w:val="none"/>
              </w:rPr>
            </w:pPr>
            <w:r>
              <w:rPr>
                <w:rFonts w:hint="eastAsia" w:ascii="宋体" w:hAnsi="宋体" w:eastAsia="宋体" w:cs="宋体"/>
                <w:color w:val="auto"/>
                <w:kern w:val="21"/>
                <w:sz w:val="21"/>
                <w:szCs w:val="21"/>
                <w:highlight w:val="none"/>
              </w:rPr>
              <w:t>②运行值班制度（2分）；</w:t>
            </w:r>
          </w:p>
          <w:p w14:paraId="0C00EB72">
            <w:pPr>
              <w:spacing w:line="320" w:lineRule="exact"/>
              <w:rPr>
                <w:rFonts w:hint="eastAsia" w:ascii="宋体" w:hAnsi="宋体" w:eastAsia="宋体" w:cs="宋体"/>
                <w:color w:val="auto"/>
                <w:kern w:val="21"/>
                <w:sz w:val="21"/>
                <w:szCs w:val="21"/>
                <w:highlight w:val="none"/>
              </w:rPr>
            </w:pPr>
            <w:r>
              <w:rPr>
                <w:rFonts w:hint="eastAsia" w:ascii="宋体" w:hAnsi="宋体" w:eastAsia="宋体" w:cs="宋体"/>
                <w:color w:val="auto"/>
                <w:kern w:val="21"/>
                <w:sz w:val="21"/>
                <w:szCs w:val="21"/>
                <w:highlight w:val="none"/>
              </w:rPr>
              <w:t>③巡检故障维护方案（2分）；</w:t>
            </w:r>
          </w:p>
          <w:p w14:paraId="5F8C898F">
            <w:pPr>
              <w:spacing w:line="320" w:lineRule="exact"/>
              <w:rPr>
                <w:rFonts w:hint="eastAsia" w:ascii="宋体" w:hAnsi="宋体" w:eastAsia="宋体" w:cs="宋体"/>
                <w:color w:val="auto"/>
                <w:kern w:val="21"/>
                <w:sz w:val="21"/>
                <w:szCs w:val="21"/>
                <w:highlight w:val="none"/>
              </w:rPr>
            </w:pPr>
            <w:r>
              <w:rPr>
                <w:rFonts w:hint="eastAsia" w:ascii="宋体" w:hAnsi="宋体" w:eastAsia="宋体" w:cs="宋体"/>
                <w:color w:val="auto"/>
                <w:kern w:val="21"/>
                <w:sz w:val="21"/>
                <w:szCs w:val="21"/>
                <w:highlight w:val="none"/>
              </w:rPr>
              <w:t>④配电设施设备运行维护方案（2分）。</w:t>
            </w:r>
          </w:p>
          <w:p w14:paraId="3904C298">
            <w:pPr>
              <w:spacing w:line="320" w:lineRule="exact"/>
              <w:rPr>
                <w:rFonts w:hint="eastAsia" w:ascii="宋体" w:hAnsi="宋体" w:eastAsia="宋体" w:cs="宋体"/>
                <w:color w:val="auto"/>
                <w:kern w:val="21"/>
                <w:sz w:val="21"/>
                <w:szCs w:val="21"/>
                <w:highlight w:val="none"/>
              </w:rPr>
            </w:pPr>
            <w:r>
              <w:rPr>
                <w:rFonts w:hint="eastAsia" w:ascii="宋体" w:hAnsi="宋体" w:eastAsia="宋体" w:cs="宋体"/>
                <w:color w:val="auto"/>
                <w:kern w:val="21"/>
                <w:sz w:val="21"/>
                <w:szCs w:val="21"/>
                <w:highlight w:val="none"/>
              </w:rPr>
              <w:t>评审标准：</w:t>
            </w:r>
          </w:p>
          <w:p w14:paraId="32FF6A4B">
            <w:pPr>
              <w:spacing w:line="320" w:lineRule="exact"/>
              <w:rPr>
                <w:rFonts w:hint="eastAsia" w:ascii="宋体" w:hAnsi="宋体" w:eastAsia="宋体" w:cs="宋体"/>
                <w:color w:val="auto"/>
                <w:kern w:val="21"/>
                <w:sz w:val="21"/>
                <w:szCs w:val="21"/>
                <w:highlight w:val="none"/>
              </w:rPr>
            </w:pPr>
            <w:r>
              <w:rPr>
                <w:rFonts w:hint="eastAsia" w:ascii="宋体" w:hAnsi="宋体" w:eastAsia="宋体" w:cs="宋体"/>
                <w:color w:val="auto"/>
                <w:kern w:val="21"/>
                <w:sz w:val="21"/>
                <w:szCs w:val="21"/>
                <w:highlight w:val="none"/>
              </w:rPr>
              <w:t>①内容完全结合整体需求，进行全方面的描述。（是指：方案内容根据本项目定制，与本项目切合度高，对项目内容做了全方面、多层次的描述，且针对具体点有深度分析。</w:t>
            </w:r>
          </w:p>
          <w:p w14:paraId="1B27757F">
            <w:pPr>
              <w:spacing w:line="320" w:lineRule="exact"/>
              <w:rPr>
                <w:rFonts w:hint="eastAsia" w:ascii="宋体" w:hAnsi="宋体" w:eastAsia="宋体" w:cs="宋体"/>
                <w:color w:val="auto"/>
                <w:kern w:val="21"/>
                <w:sz w:val="21"/>
                <w:szCs w:val="21"/>
                <w:highlight w:val="none"/>
              </w:rPr>
            </w:pPr>
            <w:r>
              <w:rPr>
                <w:rFonts w:hint="eastAsia" w:ascii="宋体" w:hAnsi="宋体" w:eastAsia="宋体" w:cs="宋体"/>
                <w:color w:val="auto"/>
                <w:kern w:val="21"/>
                <w:sz w:val="21"/>
                <w:szCs w:val="21"/>
                <w:highlight w:val="none"/>
              </w:rPr>
              <w:t>②措施合理可行。（是指：依据相关标准规范进行科学设计，且具备可操作性，符合实际操作。）</w:t>
            </w:r>
          </w:p>
          <w:p w14:paraId="6291CF2D">
            <w:pPr>
              <w:adjustRightInd w:val="0"/>
              <w:snapToGrid w:val="0"/>
              <w:rPr>
                <w:rFonts w:ascii="宋体" w:hAnsi="宋体" w:eastAsia="宋体" w:cs="Times New Roman"/>
                <w:bCs/>
                <w:color w:val="auto"/>
                <w:kern w:val="2"/>
                <w:sz w:val="21"/>
                <w:szCs w:val="21"/>
                <w:highlight w:val="none"/>
                <w:lang w:val="en-US" w:eastAsia="zh-CN" w:bidi="ar-SA"/>
              </w:rPr>
            </w:pPr>
            <w:r>
              <w:rPr>
                <w:rFonts w:hint="eastAsia" w:ascii="宋体" w:hAnsi="宋体" w:eastAsia="宋体" w:cs="宋体"/>
                <w:color w:val="auto"/>
                <w:kern w:val="21"/>
                <w:sz w:val="21"/>
                <w:szCs w:val="21"/>
                <w:highlight w:val="none"/>
              </w:rPr>
              <w:t>上述4项评审因素满足一项评审标准的得1分，全部满足的得2分。对4项评审因素进行打分，此项满分8分，未提供不得分。</w:t>
            </w:r>
          </w:p>
        </w:tc>
        <w:tc>
          <w:tcPr>
            <w:tcW w:w="826" w:type="dxa"/>
            <w:tcBorders>
              <w:top w:val="single" w:color="auto" w:sz="6" w:space="0"/>
              <w:left w:val="single" w:color="auto" w:sz="6" w:space="0"/>
              <w:bottom w:val="single" w:color="auto" w:sz="6" w:space="0"/>
              <w:right w:val="single" w:color="auto" w:sz="6" w:space="0"/>
            </w:tcBorders>
            <w:shd w:val="clear" w:color="auto" w:fill="auto"/>
            <w:vAlign w:val="center"/>
          </w:tcPr>
          <w:p w14:paraId="7027D545">
            <w:pPr>
              <w:adjustRightInd w:val="0"/>
              <w:snapToGrid w:val="0"/>
              <w:jc w:val="center"/>
              <w:rPr>
                <w:rFonts w:ascii="宋体" w:hAnsi="宋体" w:eastAsia="宋体" w:cs="Times New Roman"/>
                <w:bCs/>
                <w:color w:val="auto"/>
                <w:kern w:val="2"/>
                <w:sz w:val="21"/>
                <w:szCs w:val="21"/>
                <w:highlight w:val="none"/>
                <w:lang w:val="en-US" w:eastAsia="zh-CN" w:bidi="ar-SA"/>
              </w:rPr>
            </w:pPr>
            <w:r>
              <w:rPr>
                <w:rFonts w:hint="eastAsia" w:ascii="宋体" w:hAnsi="宋体"/>
                <w:color w:val="auto"/>
                <w:szCs w:val="21"/>
                <w:highlight w:val="none"/>
                <w:lang w:val="en-US" w:eastAsia="zh-CN"/>
              </w:rPr>
              <w:t>8</w:t>
            </w:r>
          </w:p>
        </w:tc>
      </w:tr>
      <w:tr w14:paraId="102303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8" w:hRule="atLeast"/>
          <w:tblHeader/>
          <w:jc w:val="center"/>
        </w:trPr>
        <w:tc>
          <w:tcPr>
            <w:tcW w:w="1207" w:type="dxa"/>
            <w:vMerge w:val="continue"/>
            <w:tcBorders>
              <w:left w:val="single" w:color="auto" w:sz="6" w:space="0"/>
              <w:right w:val="single" w:color="auto" w:sz="6" w:space="0"/>
            </w:tcBorders>
            <w:vAlign w:val="center"/>
          </w:tcPr>
          <w:p w14:paraId="3D347604">
            <w:pPr>
              <w:spacing w:line="276" w:lineRule="auto"/>
              <w:jc w:val="center"/>
              <w:rPr>
                <w:rFonts w:hint="eastAsia" w:ascii="宋体" w:hAnsi="宋体" w:cs="宋体"/>
                <w:color w:val="auto"/>
                <w:szCs w:val="21"/>
                <w:highlight w:val="none"/>
              </w:rPr>
            </w:pPr>
          </w:p>
        </w:tc>
        <w:tc>
          <w:tcPr>
            <w:tcW w:w="705" w:type="dxa"/>
            <w:tcBorders>
              <w:top w:val="single" w:color="auto" w:sz="6" w:space="0"/>
              <w:left w:val="single" w:color="auto" w:sz="6" w:space="0"/>
              <w:bottom w:val="single" w:color="auto" w:sz="6" w:space="0"/>
              <w:right w:val="single" w:color="auto" w:sz="4" w:space="0"/>
            </w:tcBorders>
            <w:vAlign w:val="center"/>
          </w:tcPr>
          <w:p w14:paraId="7C9A65DF">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项目重难点分析</w:t>
            </w:r>
          </w:p>
        </w:tc>
        <w:tc>
          <w:tcPr>
            <w:tcW w:w="6533" w:type="dxa"/>
            <w:tcBorders>
              <w:top w:val="single" w:color="auto" w:sz="6" w:space="0"/>
              <w:left w:val="single" w:color="auto" w:sz="4" w:space="0"/>
              <w:bottom w:val="single" w:color="auto" w:sz="6" w:space="0"/>
              <w:right w:val="single" w:color="auto" w:sz="6" w:space="0"/>
            </w:tcBorders>
            <w:shd w:val="clear" w:color="auto" w:fill="auto"/>
            <w:vAlign w:val="center"/>
          </w:tcPr>
          <w:p w14:paraId="23637945">
            <w:pPr>
              <w:widowControl/>
              <w:spacing w:line="240" w:lineRule="auto"/>
              <w:jc w:val="left"/>
              <w:rPr>
                <w:rFonts w:hint="eastAsia" w:ascii="宋体" w:hAnsi="宋体" w:eastAsia="宋体" w:cs="宋体"/>
                <w:color w:val="auto"/>
                <w:kern w:val="21"/>
                <w:sz w:val="21"/>
                <w:szCs w:val="21"/>
                <w:highlight w:val="none"/>
              </w:rPr>
            </w:pPr>
            <w:r>
              <w:rPr>
                <w:rFonts w:hint="eastAsia" w:ascii="宋体" w:hAnsi="宋体" w:eastAsia="宋体" w:cs="宋体"/>
                <w:color w:val="auto"/>
                <w:kern w:val="21"/>
                <w:sz w:val="21"/>
                <w:szCs w:val="21"/>
                <w:highlight w:val="none"/>
              </w:rPr>
              <w:t>项目重难点分析</w:t>
            </w:r>
          </w:p>
          <w:p w14:paraId="0EB8B4F5">
            <w:pPr>
              <w:widowControl/>
              <w:spacing w:line="240" w:lineRule="auto"/>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根据投标人拟定的项目重难点分析进行综合评审。</w:t>
            </w:r>
          </w:p>
          <w:p w14:paraId="1CF10D7B">
            <w:pPr>
              <w:widowControl/>
              <w:spacing w:line="240" w:lineRule="auto"/>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评审因素：</w:t>
            </w:r>
          </w:p>
          <w:p w14:paraId="0C21825A">
            <w:pPr>
              <w:widowControl/>
              <w:spacing w:line="240" w:lineRule="auto"/>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①项目重点、难点的分析（1分）；</w:t>
            </w:r>
          </w:p>
          <w:p w14:paraId="5D8D66EA">
            <w:pPr>
              <w:widowControl/>
              <w:spacing w:line="240" w:lineRule="auto"/>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②项目重点、难点的初步对策（1分）。</w:t>
            </w:r>
          </w:p>
          <w:p w14:paraId="157A71E5">
            <w:pPr>
              <w:widowControl/>
              <w:spacing w:line="240" w:lineRule="auto"/>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评审标准：</w:t>
            </w:r>
          </w:p>
          <w:p w14:paraId="4DDFFC67">
            <w:pPr>
              <w:widowControl/>
              <w:spacing w:line="240" w:lineRule="auto"/>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①内容完全结合整体需求，进行全方面的描述。（是指：方案内容根据本项目定制，与本项目切合度高，对项目内容做了全方面、多层次的描述，且针对具体点有深度分析。</w:t>
            </w:r>
          </w:p>
          <w:p w14:paraId="5C79D2EC">
            <w:pPr>
              <w:widowControl/>
              <w:spacing w:line="240" w:lineRule="auto"/>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②措施合理可行。（是指：依据相关标准规范进行科学设计，且具备可操作性，符合实际操作。）</w:t>
            </w:r>
          </w:p>
          <w:p w14:paraId="4A428F9F">
            <w:pPr>
              <w:widowControl/>
              <w:adjustRightInd/>
              <w:snapToGrid/>
              <w:jc w:val="left"/>
              <w:rPr>
                <w:rFonts w:hint="eastAsia" w:ascii="宋体" w:hAnsi="宋体" w:cs="宋体"/>
                <w:color w:val="auto"/>
                <w:szCs w:val="21"/>
                <w:highlight w:val="none"/>
                <w:lang w:val="en-US" w:eastAsia="zh-CN"/>
              </w:rPr>
            </w:pPr>
            <w:r>
              <w:rPr>
                <w:rFonts w:hint="eastAsia" w:ascii="宋体" w:hAnsi="宋体" w:eastAsia="宋体" w:cs="宋体"/>
                <w:color w:val="auto"/>
                <w:spacing w:val="-6"/>
                <w:sz w:val="21"/>
                <w:szCs w:val="21"/>
                <w:highlight w:val="none"/>
              </w:rPr>
              <w:t>上述2项评审因素满足一项评审标准的得0.5分，全部满足的得1分。对2项评审因素进行打分，此项满分2分，未提供不得分</w:t>
            </w:r>
            <w:r>
              <w:rPr>
                <w:rFonts w:hint="eastAsia" w:ascii="宋体" w:hAnsi="宋体" w:cs="宋体"/>
                <w:color w:val="auto"/>
                <w:szCs w:val="21"/>
                <w:highlight w:val="none"/>
              </w:rPr>
              <w:t>。</w:t>
            </w:r>
          </w:p>
        </w:tc>
        <w:tc>
          <w:tcPr>
            <w:tcW w:w="826" w:type="dxa"/>
            <w:tcBorders>
              <w:top w:val="single" w:color="auto" w:sz="6" w:space="0"/>
              <w:left w:val="single" w:color="auto" w:sz="6" w:space="0"/>
              <w:bottom w:val="single" w:color="auto" w:sz="6" w:space="0"/>
              <w:right w:val="single" w:color="auto" w:sz="6" w:space="0"/>
            </w:tcBorders>
            <w:shd w:val="clear" w:color="auto" w:fill="auto"/>
            <w:vAlign w:val="center"/>
          </w:tcPr>
          <w:p w14:paraId="1A147D69">
            <w:pPr>
              <w:adjustRightInd w:val="0"/>
              <w:snapToGrid w:val="0"/>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2</w:t>
            </w:r>
          </w:p>
        </w:tc>
      </w:tr>
      <w:tr w14:paraId="122F4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1" w:hRule="atLeast"/>
          <w:tblHeader/>
          <w:jc w:val="center"/>
        </w:trPr>
        <w:tc>
          <w:tcPr>
            <w:tcW w:w="1207" w:type="dxa"/>
            <w:vMerge w:val="continue"/>
            <w:tcBorders>
              <w:top w:val="single" w:color="auto" w:sz="6" w:space="0"/>
              <w:left w:val="single" w:color="auto" w:sz="6" w:space="0"/>
              <w:bottom w:val="single" w:color="auto" w:sz="6" w:space="0"/>
              <w:right w:val="single" w:color="auto" w:sz="6" w:space="0"/>
            </w:tcBorders>
            <w:vAlign w:val="center"/>
          </w:tcPr>
          <w:p w14:paraId="06A0CF22">
            <w:pPr>
              <w:widowControl/>
              <w:jc w:val="left"/>
              <w:rPr>
                <w:rFonts w:ascii="宋体" w:hAnsi="宋体" w:cs="宋体"/>
                <w:color w:val="auto"/>
                <w:szCs w:val="21"/>
                <w:highlight w:val="none"/>
              </w:rPr>
            </w:pPr>
          </w:p>
        </w:tc>
        <w:tc>
          <w:tcPr>
            <w:tcW w:w="705" w:type="dxa"/>
            <w:tcBorders>
              <w:top w:val="single" w:color="auto" w:sz="6" w:space="0"/>
              <w:left w:val="single" w:color="auto" w:sz="6" w:space="0"/>
              <w:bottom w:val="single" w:color="auto" w:sz="6" w:space="0"/>
              <w:right w:val="single" w:color="auto" w:sz="6" w:space="0"/>
            </w:tcBorders>
            <w:vAlign w:val="center"/>
          </w:tcPr>
          <w:p w14:paraId="7113AF7B">
            <w:pPr>
              <w:adjustRightInd w:val="0"/>
              <w:snapToGrid w:val="0"/>
              <w:jc w:val="center"/>
              <w:rPr>
                <w:rFonts w:ascii="宋体" w:hAnsi="宋体" w:cs="宋体"/>
                <w:color w:val="auto"/>
                <w:szCs w:val="21"/>
                <w:highlight w:val="none"/>
              </w:rPr>
            </w:pPr>
            <w:r>
              <w:rPr>
                <w:rFonts w:hint="eastAsia" w:ascii="宋体" w:hAnsi="宋体"/>
                <w:color w:val="auto"/>
                <w:szCs w:val="21"/>
                <w:highlight w:val="none"/>
              </w:rPr>
              <w:t>服务理念与管理方案</w:t>
            </w:r>
          </w:p>
        </w:tc>
        <w:tc>
          <w:tcPr>
            <w:tcW w:w="6533" w:type="dxa"/>
            <w:tcBorders>
              <w:top w:val="single" w:color="auto" w:sz="6" w:space="0"/>
              <w:left w:val="single" w:color="auto" w:sz="6" w:space="0"/>
              <w:bottom w:val="single" w:color="auto" w:sz="6" w:space="0"/>
              <w:right w:val="single" w:color="auto" w:sz="6" w:space="0"/>
            </w:tcBorders>
            <w:shd w:val="clear" w:color="auto" w:fill="auto"/>
            <w:vAlign w:val="center"/>
          </w:tcPr>
          <w:p w14:paraId="6BB7B22E">
            <w:pPr>
              <w:pStyle w:val="20"/>
              <w:spacing w:line="320" w:lineRule="exact"/>
              <w:ind w:left="0" w:firstLine="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根据投标人拟定的服务理念与管理方案进行综合评审。</w:t>
            </w:r>
          </w:p>
          <w:p w14:paraId="7A7EFD8E">
            <w:pPr>
              <w:pStyle w:val="20"/>
              <w:spacing w:line="320" w:lineRule="exact"/>
              <w:ind w:left="0" w:firstLine="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评审因素：</w:t>
            </w:r>
          </w:p>
          <w:p w14:paraId="765327FE">
            <w:pPr>
              <w:pStyle w:val="20"/>
              <w:spacing w:line="320" w:lineRule="exact"/>
              <w:ind w:left="0" w:firstLine="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①服务理念和定位（2分）；</w:t>
            </w:r>
          </w:p>
          <w:p w14:paraId="70515A86">
            <w:pPr>
              <w:pStyle w:val="20"/>
              <w:spacing w:line="320" w:lineRule="exact"/>
              <w:ind w:left="0" w:firstLine="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②管理思路和制度（2分）。</w:t>
            </w:r>
          </w:p>
          <w:p w14:paraId="01995275">
            <w:pPr>
              <w:pStyle w:val="20"/>
              <w:spacing w:line="320" w:lineRule="exact"/>
              <w:ind w:left="0" w:firstLine="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评审标准：</w:t>
            </w:r>
          </w:p>
          <w:p w14:paraId="088733DA">
            <w:pPr>
              <w:pStyle w:val="20"/>
              <w:spacing w:line="320" w:lineRule="exact"/>
              <w:ind w:left="0" w:firstLine="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①内容完全结合整体需求，进行全方面的描述。（是指：方案内容根据本项目定制，与本项目切合度高，对项目内容做了全方面、多层次的描述，且针对具体点有深度分析。</w:t>
            </w:r>
          </w:p>
          <w:p w14:paraId="3A462932">
            <w:pPr>
              <w:pStyle w:val="20"/>
              <w:spacing w:line="320" w:lineRule="exact"/>
              <w:ind w:left="0" w:firstLine="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②措施合理可行。（是指：依据相关标准规范进行科学设计，且具备可操作性，符合实际操作。）</w:t>
            </w:r>
          </w:p>
          <w:p w14:paraId="456D315D">
            <w:pPr>
              <w:adjustRightInd w:val="0"/>
              <w:snapToGrid w:val="0"/>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6"/>
                <w:sz w:val="21"/>
                <w:szCs w:val="21"/>
                <w:highlight w:val="none"/>
              </w:rPr>
              <w:t>上述2项评审因素满足一项评审标准的得1分，全部满足的得2分。对2项评审因素进行打分，此项满分4分，未提供不得分</w:t>
            </w:r>
            <w:r>
              <w:rPr>
                <w:rFonts w:hint="eastAsia" w:ascii="宋体" w:hAnsi="宋体"/>
                <w:color w:val="auto"/>
                <w:szCs w:val="21"/>
                <w:highlight w:val="none"/>
              </w:rPr>
              <w:t>。</w:t>
            </w:r>
          </w:p>
        </w:tc>
        <w:tc>
          <w:tcPr>
            <w:tcW w:w="826" w:type="dxa"/>
            <w:tcBorders>
              <w:top w:val="single" w:color="auto" w:sz="6" w:space="0"/>
              <w:left w:val="single" w:color="auto" w:sz="6" w:space="0"/>
              <w:bottom w:val="single" w:color="auto" w:sz="6" w:space="0"/>
              <w:right w:val="single" w:color="auto" w:sz="6" w:space="0"/>
            </w:tcBorders>
            <w:shd w:val="clear" w:color="auto" w:fill="auto"/>
            <w:vAlign w:val="center"/>
          </w:tcPr>
          <w:p w14:paraId="6533114E">
            <w:pPr>
              <w:adjustRightInd w:val="0"/>
              <w:snapToGrid w:val="0"/>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4</w:t>
            </w:r>
          </w:p>
        </w:tc>
      </w:tr>
      <w:tr w14:paraId="64B456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1" w:hRule="atLeast"/>
          <w:tblHeader/>
          <w:jc w:val="center"/>
        </w:trPr>
        <w:tc>
          <w:tcPr>
            <w:tcW w:w="1207" w:type="dxa"/>
            <w:vMerge w:val="continue"/>
            <w:tcBorders>
              <w:top w:val="single" w:color="auto" w:sz="6" w:space="0"/>
              <w:left w:val="single" w:color="auto" w:sz="6" w:space="0"/>
              <w:bottom w:val="single" w:color="auto" w:sz="6" w:space="0"/>
              <w:right w:val="single" w:color="auto" w:sz="6" w:space="0"/>
            </w:tcBorders>
            <w:vAlign w:val="center"/>
          </w:tcPr>
          <w:p w14:paraId="169EC2C6">
            <w:pPr>
              <w:widowControl/>
              <w:jc w:val="left"/>
              <w:rPr>
                <w:rFonts w:ascii="宋体" w:hAnsi="宋体" w:cs="宋体"/>
                <w:color w:val="auto"/>
                <w:szCs w:val="21"/>
                <w:highlight w:val="none"/>
              </w:rPr>
            </w:pPr>
          </w:p>
        </w:tc>
        <w:tc>
          <w:tcPr>
            <w:tcW w:w="705" w:type="dxa"/>
            <w:tcBorders>
              <w:top w:val="single" w:color="auto" w:sz="6" w:space="0"/>
              <w:left w:val="single" w:color="auto" w:sz="6" w:space="0"/>
              <w:bottom w:val="single" w:color="auto" w:sz="6" w:space="0"/>
              <w:right w:val="single" w:color="auto" w:sz="6" w:space="0"/>
            </w:tcBorders>
            <w:vAlign w:val="center"/>
          </w:tcPr>
          <w:p w14:paraId="32B63D96">
            <w:pPr>
              <w:adjustRightInd w:val="0"/>
              <w:snapToGrid w:val="0"/>
              <w:jc w:val="center"/>
              <w:rPr>
                <w:rFonts w:ascii="宋体" w:hAnsi="宋体" w:cs="宋体"/>
                <w:color w:val="auto"/>
                <w:szCs w:val="21"/>
                <w:highlight w:val="none"/>
              </w:rPr>
            </w:pPr>
            <w:r>
              <w:rPr>
                <w:rFonts w:hint="eastAsia" w:ascii="宋体" w:hAnsi="宋体"/>
                <w:color w:val="auto"/>
                <w:szCs w:val="21"/>
                <w:highlight w:val="none"/>
              </w:rPr>
              <w:t>质量保证</w:t>
            </w:r>
          </w:p>
        </w:tc>
        <w:tc>
          <w:tcPr>
            <w:tcW w:w="6533" w:type="dxa"/>
            <w:tcBorders>
              <w:top w:val="single" w:color="auto" w:sz="6" w:space="0"/>
              <w:left w:val="single" w:color="auto" w:sz="6" w:space="0"/>
              <w:bottom w:val="single" w:color="auto" w:sz="6" w:space="0"/>
              <w:right w:val="single" w:color="auto" w:sz="6" w:space="0"/>
            </w:tcBorders>
            <w:shd w:val="clear" w:color="auto" w:fill="auto"/>
            <w:vAlign w:val="center"/>
          </w:tcPr>
          <w:p w14:paraId="5062DBE5">
            <w:pPr>
              <w:widowControl/>
              <w:spacing w:line="240" w:lineRule="auto"/>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根据投标人人拟定的质量保证措施进行评审。</w:t>
            </w:r>
          </w:p>
          <w:p w14:paraId="5824DAB5">
            <w:pPr>
              <w:widowControl/>
              <w:spacing w:line="240" w:lineRule="auto"/>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评审因素：</w:t>
            </w:r>
          </w:p>
          <w:p w14:paraId="226C0C7D">
            <w:pPr>
              <w:widowControl/>
              <w:spacing w:line="240" w:lineRule="auto"/>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①质量目标（2分）；</w:t>
            </w:r>
          </w:p>
          <w:p w14:paraId="6CA48825">
            <w:pPr>
              <w:widowControl/>
              <w:spacing w:line="240" w:lineRule="auto"/>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②保障措施（2分）。</w:t>
            </w:r>
          </w:p>
          <w:p w14:paraId="18C9609D">
            <w:pPr>
              <w:widowControl/>
              <w:spacing w:line="240" w:lineRule="auto"/>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评审标准：</w:t>
            </w:r>
          </w:p>
          <w:p w14:paraId="2555788B">
            <w:pPr>
              <w:widowControl/>
              <w:spacing w:line="240" w:lineRule="auto"/>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①内容完全结合整体需求，进行全方面的描述。（是指：方案内容根据本项目定制，与本项目切合度高，对项目内容做了全方面、多层次的描述，且针对具体点有深度分析。</w:t>
            </w:r>
          </w:p>
          <w:p w14:paraId="48323A59">
            <w:pPr>
              <w:widowControl/>
              <w:spacing w:line="240" w:lineRule="auto"/>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②措施合理可行。（是指：依据相关标准规范进行科学设计，且具备可操作性，符合实际操作。）</w:t>
            </w:r>
          </w:p>
          <w:p w14:paraId="1400BCE2">
            <w:pPr>
              <w:widowControl/>
              <w:adjustRightInd/>
              <w:snapToGrid/>
              <w:jc w:val="left"/>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6"/>
                <w:sz w:val="21"/>
                <w:szCs w:val="21"/>
                <w:highlight w:val="none"/>
              </w:rPr>
              <w:t>上述2项评审因素满足一项评审标准的得1分，全部满足的得2分。对2项评审因素进行打分，此项满分4分，未提供不得分</w:t>
            </w:r>
            <w:r>
              <w:rPr>
                <w:rFonts w:hint="eastAsia" w:ascii="宋体" w:hAnsi="宋体"/>
                <w:color w:val="auto"/>
                <w:szCs w:val="21"/>
                <w:highlight w:val="none"/>
              </w:rPr>
              <w:t>。</w:t>
            </w:r>
          </w:p>
        </w:tc>
        <w:tc>
          <w:tcPr>
            <w:tcW w:w="826" w:type="dxa"/>
            <w:tcBorders>
              <w:top w:val="single" w:color="auto" w:sz="6" w:space="0"/>
              <w:left w:val="single" w:color="auto" w:sz="6" w:space="0"/>
              <w:bottom w:val="single" w:color="auto" w:sz="6" w:space="0"/>
              <w:right w:val="single" w:color="auto" w:sz="6" w:space="0"/>
            </w:tcBorders>
            <w:shd w:val="clear" w:color="auto" w:fill="auto"/>
            <w:vAlign w:val="center"/>
          </w:tcPr>
          <w:p w14:paraId="30295951">
            <w:pPr>
              <w:adjustRightInd w:val="0"/>
              <w:snapToGrid w:val="0"/>
              <w:jc w:val="center"/>
              <w:rPr>
                <w:rFonts w:ascii="宋体" w:hAnsi="宋体" w:eastAsia="宋体" w:cs="Times New Roman"/>
                <w:color w:val="auto"/>
                <w:kern w:val="2"/>
                <w:sz w:val="21"/>
                <w:szCs w:val="21"/>
                <w:highlight w:val="none"/>
                <w:lang w:val="en-US" w:eastAsia="zh-CN" w:bidi="ar-SA"/>
              </w:rPr>
            </w:pPr>
            <w:r>
              <w:rPr>
                <w:rFonts w:hint="eastAsia" w:ascii="宋体" w:hAnsi="宋体"/>
                <w:strike w:val="0"/>
                <w:dstrike w:val="0"/>
                <w:color w:val="auto"/>
                <w:szCs w:val="21"/>
                <w:highlight w:val="none"/>
                <w:lang w:val="en-US" w:eastAsia="zh-CN"/>
              </w:rPr>
              <w:t>4</w:t>
            </w:r>
          </w:p>
        </w:tc>
      </w:tr>
      <w:tr w14:paraId="6FE48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1" w:hRule="atLeast"/>
          <w:tblHeader/>
          <w:jc w:val="center"/>
        </w:trPr>
        <w:tc>
          <w:tcPr>
            <w:tcW w:w="1207" w:type="dxa"/>
            <w:vMerge w:val="continue"/>
            <w:tcBorders>
              <w:top w:val="single" w:color="auto" w:sz="6" w:space="0"/>
              <w:left w:val="single" w:color="auto" w:sz="6" w:space="0"/>
              <w:bottom w:val="single" w:color="auto" w:sz="6" w:space="0"/>
              <w:right w:val="single" w:color="auto" w:sz="6" w:space="0"/>
            </w:tcBorders>
            <w:vAlign w:val="center"/>
          </w:tcPr>
          <w:p w14:paraId="0E63E89B">
            <w:pPr>
              <w:widowControl/>
              <w:jc w:val="left"/>
              <w:rPr>
                <w:rFonts w:ascii="宋体" w:hAnsi="宋体" w:cs="宋体"/>
                <w:color w:val="auto"/>
                <w:szCs w:val="21"/>
                <w:highlight w:val="none"/>
              </w:rPr>
            </w:pPr>
          </w:p>
        </w:tc>
        <w:tc>
          <w:tcPr>
            <w:tcW w:w="705" w:type="dxa"/>
            <w:tcBorders>
              <w:top w:val="single" w:color="auto" w:sz="6" w:space="0"/>
              <w:left w:val="single" w:color="auto" w:sz="6" w:space="0"/>
              <w:bottom w:val="single" w:color="auto" w:sz="6" w:space="0"/>
              <w:right w:val="single" w:color="auto" w:sz="6" w:space="0"/>
            </w:tcBorders>
            <w:vAlign w:val="center"/>
          </w:tcPr>
          <w:p w14:paraId="778BD9CF">
            <w:pPr>
              <w:adjustRightInd w:val="0"/>
              <w:snapToGrid w:val="0"/>
              <w:jc w:val="center"/>
              <w:rPr>
                <w:rFonts w:ascii="宋体" w:hAnsi="宋体" w:cs="宋体"/>
                <w:color w:val="auto"/>
                <w:szCs w:val="21"/>
                <w:highlight w:val="none"/>
              </w:rPr>
            </w:pPr>
            <w:r>
              <w:rPr>
                <w:rFonts w:hint="eastAsia" w:ascii="宋体" w:hAnsi="宋体"/>
                <w:color w:val="auto"/>
                <w:szCs w:val="21"/>
                <w:highlight w:val="none"/>
              </w:rPr>
              <w:t>安全作业保障方案</w:t>
            </w:r>
          </w:p>
        </w:tc>
        <w:tc>
          <w:tcPr>
            <w:tcW w:w="6533" w:type="dxa"/>
            <w:tcBorders>
              <w:top w:val="single" w:color="auto" w:sz="6" w:space="0"/>
              <w:left w:val="single" w:color="auto" w:sz="6" w:space="0"/>
              <w:bottom w:val="single" w:color="auto" w:sz="6" w:space="0"/>
              <w:right w:val="single" w:color="auto" w:sz="6" w:space="0"/>
            </w:tcBorders>
            <w:shd w:val="clear" w:color="auto" w:fill="auto"/>
            <w:vAlign w:val="center"/>
          </w:tcPr>
          <w:p w14:paraId="7CEA6E1A">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根据投标人拟定的安全作业保障方案进行评审。</w:t>
            </w:r>
          </w:p>
          <w:p w14:paraId="239FB96A">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评审因素：</w:t>
            </w:r>
          </w:p>
          <w:p w14:paraId="06BDD6A7">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①安全保障方案（细化条款，涵盖巡检、运行和供电保障等）</w:t>
            </w:r>
          </w:p>
          <w:p w14:paraId="3563C10F">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（2分）；</w:t>
            </w:r>
          </w:p>
          <w:p w14:paraId="4792643B">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②安全目标和保障措施（2分）。</w:t>
            </w:r>
          </w:p>
          <w:p w14:paraId="2F2504B4">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评审标准：</w:t>
            </w:r>
          </w:p>
          <w:p w14:paraId="24191F5A">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①内容完全结合整体需求，进行全方面的描述。（是指：方案内容根据本项目定制，与本项目切合度高，对项目内容做了全方面、多层次的描述，且针对具体点有深度分析。</w:t>
            </w:r>
          </w:p>
          <w:p w14:paraId="5178B72A">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②措施合理可行。（是指：依据相关标准规范进行科学设计，且具备可操作性，符合实际操作。）</w:t>
            </w:r>
          </w:p>
          <w:p w14:paraId="29936676">
            <w:pPr>
              <w:adjustRightInd w:val="0"/>
              <w:snapToGrid w:val="0"/>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上述2项评审因素满足一项评审标准的得1分，全部满足的得2分。对2项评审因素进行打分，此项满分4分，未提供不得分</w:t>
            </w:r>
            <w:r>
              <w:rPr>
                <w:rFonts w:hint="eastAsia" w:ascii="宋体" w:hAnsi="宋体"/>
                <w:color w:val="auto"/>
                <w:szCs w:val="21"/>
                <w:highlight w:val="none"/>
              </w:rPr>
              <w:t>。</w:t>
            </w:r>
          </w:p>
        </w:tc>
        <w:tc>
          <w:tcPr>
            <w:tcW w:w="826" w:type="dxa"/>
            <w:tcBorders>
              <w:top w:val="single" w:color="auto" w:sz="6" w:space="0"/>
              <w:left w:val="single" w:color="auto" w:sz="6" w:space="0"/>
              <w:bottom w:val="single" w:color="auto" w:sz="6" w:space="0"/>
              <w:right w:val="single" w:color="auto" w:sz="6" w:space="0"/>
            </w:tcBorders>
            <w:shd w:val="clear" w:color="auto" w:fill="auto"/>
            <w:vAlign w:val="center"/>
          </w:tcPr>
          <w:p w14:paraId="31268870">
            <w:pPr>
              <w:adjustRightInd w:val="0"/>
              <w:snapToGrid w:val="0"/>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4</w:t>
            </w:r>
          </w:p>
        </w:tc>
      </w:tr>
      <w:tr w14:paraId="5C92D2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1" w:hRule="atLeast"/>
          <w:tblHeader/>
          <w:jc w:val="center"/>
        </w:trPr>
        <w:tc>
          <w:tcPr>
            <w:tcW w:w="1207" w:type="dxa"/>
            <w:vMerge w:val="continue"/>
            <w:tcBorders>
              <w:top w:val="single" w:color="auto" w:sz="6" w:space="0"/>
              <w:left w:val="single" w:color="auto" w:sz="6" w:space="0"/>
              <w:bottom w:val="single" w:color="auto" w:sz="6" w:space="0"/>
              <w:right w:val="single" w:color="auto" w:sz="6" w:space="0"/>
            </w:tcBorders>
            <w:vAlign w:val="center"/>
          </w:tcPr>
          <w:p w14:paraId="0D3C1D4B">
            <w:pPr>
              <w:widowControl/>
              <w:jc w:val="left"/>
              <w:rPr>
                <w:rFonts w:ascii="宋体" w:hAnsi="宋体" w:cs="宋体"/>
                <w:color w:val="auto"/>
                <w:szCs w:val="21"/>
                <w:highlight w:val="none"/>
              </w:rPr>
            </w:pPr>
          </w:p>
        </w:tc>
        <w:tc>
          <w:tcPr>
            <w:tcW w:w="705" w:type="dxa"/>
            <w:tcBorders>
              <w:top w:val="single" w:color="auto" w:sz="6" w:space="0"/>
              <w:left w:val="single" w:color="auto" w:sz="6" w:space="0"/>
              <w:bottom w:val="single" w:color="auto" w:sz="6" w:space="0"/>
              <w:right w:val="single" w:color="auto" w:sz="6" w:space="0"/>
            </w:tcBorders>
            <w:vAlign w:val="center"/>
          </w:tcPr>
          <w:p w14:paraId="1713CA78">
            <w:pPr>
              <w:adjustRightInd w:val="0"/>
              <w:snapToGrid w:val="0"/>
              <w:jc w:val="center"/>
              <w:rPr>
                <w:rFonts w:ascii="宋体" w:hAnsi="宋体" w:cs="宋体"/>
                <w:color w:val="auto"/>
                <w:szCs w:val="21"/>
                <w:highlight w:val="none"/>
              </w:rPr>
            </w:pPr>
            <w:r>
              <w:rPr>
                <w:rFonts w:hint="eastAsia" w:ascii="宋体" w:hAnsi="宋体"/>
                <w:color w:val="auto"/>
                <w:szCs w:val="21"/>
                <w:highlight w:val="none"/>
              </w:rPr>
              <w:t>岗位</w:t>
            </w:r>
            <w:r>
              <w:rPr>
                <w:rFonts w:hint="eastAsia" w:ascii="宋体" w:hAnsi="宋体"/>
                <w:color w:val="auto"/>
                <w:szCs w:val="21"/>
                <w:highlight w:val="none"/>
                <w:lang w:val="en-US" w:eastAsia="zh-CN"/>
              </w:rPr>
              <w:t>及设备配置</w:t>
            </w:r>
            <w:r>
              <w:rPr>
                <w:rFonts w:hint="eastAsia" w:ascii="宋体" w:hAnsi="宋体"/>
                <w:color w:val="auto"/>
                <w:szCs w:val="21"/>
                <w:highlight w:val="none"/>
              </w:rPr>
              <w:t>方案</w:t>
            </w:r>
          </w:p>
        </w:tc>
        <w:tc>
          <w:tcPr>
            <w:tcW w:w="6533" w:type="dxa"/>
            <w:tcBorders>
              <w:top w:val="single" w:color="auto" w:sz="6" w:space="0"/>
              <w:left w:val="single" w:color="auto" w:sz="6" w:space="0"/>
              <w:bottom w:val="single" w:color="auto" w:sz="6" w:space="0"/>
              <w:right w:val="single" w:color="auto" w:sz="6" w:space="0"/>
            </w:tcBorders>
            <w:shd w:val="clear" w:color="auto" w:fill="auto"/>
            <w:vAlign w:val="center"/>
          </w:tcPr>
          <w:p w14:paraId="17F2C70C">
            <w:pPr>
              <w:adjustRightInd w:val="0"/>
              <w:snapToGrid w:val="0"/>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依据采购人的需求，制定服务人员、专业技能人员、岗位及设备配置方案。拟派项目人员不少于</w:t>
            </w:r>
            <w:r>
              <w:rPr>
                <w:rFonts w:hint="eastAsia" w:ascii="宋体" w:hAnsi="宋体"/>
                <w:color w:val="auto"/>
                <w:szCs w:val="21"/>
                <w:highlight w:val="none"/>
                <w:lang w:val="en-US" w:eastAsia="zh-CN"/>
              </w:rPr>
              <w:t>8</w:t>
            </w:r>
            <w:r>
              <w:rPr>
                <w:rFonts w:hint="default" w:ascii="宋体" w:hAnsi="宋体"/>
                <w:color w:val="auto"/>
                <w:szCs w:val="21"/>
                <w:highlight w:val="none"/>
                <w:lang w:val="en-US" w:eastAsia="zh-CN"/>
              </w:rPr>
              <w:t>人。</w:t>
            </w:r>
          </w:p>
          <w:p w14:paraId="2B8FA399">
            <w:pPr>
              <w:numPr>
                <w:ilvl w:val="0"/>
                <w:numId w:val="54"/>
              </w:numPr>
              <w:adjustRightInd w:val="0"/>
              <w:snapToGrid w:val="0"/>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人员队伍中具备《高压电工作业证》 </w:t>
            </w:r>
            <w:r>
              <w:rPr>
                <w:rFonts w:hint="eastAsia" w:ascii="宋体" w:hAnsi="宋体"/>
                <w:color w:val="auto"/>
                <w:szCs w:val="21"/>
                <w:highlight w:val="none"/>
                <w:lang w:val="en-US" w:eastAsia="zh-CN"/>
              </w:rPr>
              <w:t>6</w:t>
            </w:r>
            <w:r>
              <w:rPr>
                <w:rFonts w:hint="default" w:ascii="宋体" w:hAnsi="宋体"/>
                <w:color w:val="auto"/>
                <w:szCs w:val="21"/>
                <w:highlight w:val="none"/>
                <w:lang w:val="en-US" w:eastAsia="zh-CN"/>
              </w:rPr>
              <w:t>人的，得</w:t>
            </w:r>
            <w:r>
              <w:rPr>
                <w:rFonts w:hint="eastAsia" w:ascii="宋体" w:hAnsi="宋体"/>
                <w:color w:val="auto"/>
                <w:szCs w:val="21"/>
                <w:highlight w:val="none"/>
                <w:lang w:val="en-US" w:eastAsia="zh-CN"/>
              </w:rPr>
              <w:t>6</w:t>
            </w:r>
            <w:r>
              <w:rPr>
                <w:rFonts w:hint="default" w:ascii="宋体" w:hAnsi="宋体"/>
                <w:color w:val="auto"/>
                <w:szCs w:val="21"/>
                <w:highlight w:val="none"/>
                <w:lang w:val="en-US" w:eastAsia="zh-CN"/>
              </w:rPr>
              <w:t>分，每多一人加1分，最多加2分</w:t>
            </w:r>
            <w:r>
              <w:rPr>
                <w:rFonts w:hint="eastAsia" w:ascii="宋体" w:hAnsi="宋体"/>
                <w:color w:val="auto"/>
                <w:szCs w:val="21"/>
                <w:highlight w:val="none"/>
                <w:lang w:val="en-US" w:eastAsia="zh-CN"/>
              </w:rPr>
              <w:t>；</w:t>
            </w:r>
            <w:r>
              <w:rPr>
                <w:rFonts w:hint="default" w:ascii="宋体" w:hAnsi="宋体"/>
                <w:color w:val="auto"/>
                <w:szCs w:val="21"/>
                <w:highlight w:val="none"/>
                <w:lang w:val="en-US" w:eastAsia="zh-CN"/>
              </w:rPr>
              <w:t xml:space="preserve">人员队伍中具备《高压电工作业证》少于 </w:t>
            </w:r>
            <w:r>
              <w:rPr>
                <w:rFonts w:hint="eastAsia" w:ascii="宋体" w:hAnsi="宋体"/>
                <w:color w:val="auto"/>
                <w:szCs w:val="21"/>
                <w:highlight w:val="none"/>
                <w:lang w:val="en-US" w:eastAsia="zh-CN"/>
              </w:rPr>
              <w:t>6</w:t>
            </w:r>
            <w:r>
              <w:rPr>
                <w:rFonts w:hint="default" w:ascii="宋体" w:hAnsi="宋体"/>
                <w:color w:val="auto"/>
                <w:szCs w:val="21"/>
                <w:highlight w:val="none"/>
                <w:lang w:val="en-US" w:eastAsia="zh-CN"/>
              </w:rPr>
              <w:t>人的，得0分。</w:t>
            </w:r>
            <w:r>
              <w:rPr>
                <w:rFonts w:hint="eastAsia" w:ascii="宋体" w:hAnsi="宋体"/>
                <w:b/>
                <w:bCs/>
                <w:color w:val="auto"/>
                <w:szCs w:val="21"/>
                <w:highlight w:val="none"/>
                <w:lang w:val="en-US" w:eastAsia="zh-CN"/>
              </w:rPr>
              <w:t>注：需提供</w:t>
            </w:r>
            <w:r>
              <w:rPr>
                <w:rFonts w:hint="default" w:ascii="宋体" w:hAnsi="宋体"/>
                <w:b/>
                <w:bCs/>
                <w:color w:val="auto"/>
                <w:szCs w:val="21"/>
                <w:highlight w:val="none"/>
                <w:lang w:val="en-US" w:eastAsia="zh-CN"/>
              </w:rPr>
              <w:t>《高压电工作业证》</w:t>
            </w:r>
            <w:r>
              <w:rPr>
                <w:rFonts w:hint="eastAsia" w:ascii="宋体" w:hAnsi="宋体"/>
                <w:b/>
                <w:bCs/>
                <w:color w:val="auto"/>
                <w:szCs w:val="21"/>
                <w:highlight w:val="none"/>
                <w:lang w:val="en-US" w:eastAsia="zh-CN"/>
              </w:rPr>
              <w:t>彩色复印件并加盖投标人公章</w:t>
            </w:r>
          </w:p>
          <w:p w14:paraId="272034C3">
            <w:pPr>
              <w:adjustRightInd w:val="0"/>
              <w:snapToGrid w:val="0"/>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（2）</w:t>
            </w:r>
            <w:r>
              <w:rPr>
                <w:rFonts w:hint="default" w:ascii="宋体" w:hAnsi="宋体"/>
                <w:color w:val="auto"/>
                <w:szCs w:val="21"/>
                <w:highlight w:val="none"/>
                <w:lang w:val="en-US" w:eastAsia="zh-CN"/>
              </w:rPr>
              <w:t>配置供电应急保障车的，得</w:t>
            </w:r>
            <w:r>
              <w:rPr>
                <w:rFonts w:hint="eastAsia" w:ascii="宋体" w:hAnsi="宋体"/>
                <w:color w:val="auto"/>
                <w:szCs w:val="21"/>
                <w:highlight w:val="none"/>
                <w:lang w:val="en-US" w:eastAsia="zh-CN"/>
              </w:rPr>
              <w:t>2</w:t>
            </w:r>
            <w:r>
              <w:rPr>
                <w:rFonts w:hint="default" w:ascii="宋体" w:hAnsi="宋体"/>
                <w:color w:val="auto"/>
                <w:szCs w:val="21"/>
                <w:highlight w:val="none"/>
                <w:lang w:val="en-US" w:eastAsia="zh-CN"/>
              </w:rPr>
              <w:t>分</w:t>
            </w:r>
            <w:r>
              <w:rPr>
                <w:rFonts w:hint="eastAsia" w:ascii="宋体" w:hAnsi="宋体"/>
                <w:color w:val="auto"/>
                <w:szCs w:val="21"/>
                <w:highlight w:val="none"/>
                <w:lang w:val="en-US" w:eastAsia="zh-CN"/>
              </w:rPr>
              <w:t>；</w:t>
            </w:r>
            <w:r>
              <w:rPr>
                <w:rFonts w:hint="default" w:ascii="宋体" w:hAnsi="宋体"/>
                <w:color w:val="auto"/>
                <w:szCs w:val="21"/>
                <w:highlight w:val="none"/>
                <w:lang w:val="en-US" w:eastAsia="zh-CN"/>
              </w:rPr>
              <w:t>未配置的，得0分。</w:t>
            </w:r>
          </w:p>
          <w:p w14:paraId="0005A857">
            <w:pPr>
              <w:adjustRightInd w:val="0"/>
              <w:snapToGrid w:val="0"/>
              <w:rPr>
                <w:rFonts w:ascii="宋体" w:hAnsi="宋体" w:eastAsia="宋体" w:cs="宋体"/>
                <w:color w:val="auto"/>
                <w:kern w:val="2"/>
                <w:sz w:val="21"/>
                <w:szCs w:val="21"/>
                <w:highlight w:val="none"/>
                <w:lang w:val="en-US" w:eastAsia="zh-CN" w:bidi="ar-SA"/>
              </w:rPr>
            </w:pPr>
            <w:r>
              <w:rPr>
                <w:rFonts w:hint="eastAsia" w:ascii="宋体" w:hAnsi="宋体"/>
                <w:b/>
                <w:bCs/>
                <w:color w:val="auto"/>
                <w:szCs w:val="21"/>
                <w:highlight w:val="none"/>
                <w:lang w:val="en-US" w:eastAsia="zh-CN"/>
              </w:rPr>
              <w:t>注：需提供本单位供电应急保障车的租赁合同或购买合同、发票、图片等证明材料彩色复印件并加盖投标人公章。</w:t>
            </w:r>
          </w:p>
        </w:tc>
        <w:tc>
          <w:tcPr>
            <w:tcW w:w="826" w:type="dxa"/>
            <w:tcBorders>
              <w:top w:val="single" w:color="auto" w:sz="6" w:space="0"/>
              <w:left w:val="single" w:color="auto" w:sz="6" w:space="0"/>
              <w:bottom w:val="single" w:color="auto" w:sz="6" w:space="0"/>
              <w:right w:val="single" w:color="auto" w:sz="6" w:space="0"/>
            </w:tcBorders>
            <w:shd w:val="clear" w:color="auto" w:fill="auto"/>
            <w:vAlign w:val="center"/>
          </w:tcPr>
          <w:p w14:paraId="1F8A9463">
            <w:pPr>
              <w:adjustRightInd w:val="0"/>
              <w:snapToGrid w:val="0"/>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10</w:t>
            </w:r>
          </w:p>
        </w:tc>
      </w:tr>
      <w:tr w14:paraId="21591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1" w:hRule="atLeast"/>
          <w:tblHeader/>
          <w:jc w:val="center"/>
        </w:trPr>
        <w:tc>
          <w:tcPr>
            <w:tcW w:w="1207" w:type="dxa"/>
            <w:vMerge w:val="continue"/>
            <w:tcBorders>
              <w:top w:val="single" w:color="auto" w:sz="6" w:space="0"/>
              <w:left w:val="single" w:color="auto" w:sz="6" w:space="0"/>
              <w:bottom w:val="single" w:color="auto" w:sz="6" w:space="0"/>
              <w:right w:val="single" w:color="auto" w:sz="6" w:space="0"/>
            </w:tcBorders>
            <w:vAlign w:val="center"/>
          </w:tcPr>
          <w:p w14:paraId="26F9D5AF">
            <w:pPr>
              <w:widowControl/>
              <w:jc w:val="left"/>
              <w:rPr>
                <w:rFonts w:ascii="宋体" w:hAnsi="宋体" w:cs="宋体"/>
                <w:color w:val="auto"/>
                <w:szCs w:val="21"/>
                <w:highlight w:val="none"/>
              </w:rPr>
            </w:pPr>
          </w:p>
        </w:tc>
        <w:tc>
          <w:tcPr>
            <w:tcW w:w="705" w:type="dxa"/>
            <w:tcBorders>
              <w:top w:val="single" w:color="auto" w:sz="6" w:space="0"/>
              <w:left w:val="single" w:color="auto" w:sz="6" w:space="0"/>
              <w:bottom w:val="single" w:color="auto" w:sz="6" w:space="0"/>
              <w:right w:val="single" w:color="auto" w:sz="6" w:space="0"/>
            </w:tcBorders>
            <w:vAlign w:val="center"/>
          </w:tcPr>
          <w:p w14:paraId="340D0201">
            <w:pPr>
              <w:adjustRightInd w:val="0"/>
              <w:snapToGrid w:val="0"/>
              <w:jc w:val="center"/>
              <w:rPr>
                <w:rFonts w:ascii="宋体" w:hAnsi="宋体" w:cs="宋体"/>
                <w:color w:val="auto"/>
                <w:szCs w:val="21"/>
                <w:highlight w:val="none"/>
              </w:rPr>
            </w:pPr>
            <w:r>
              <w:rPr>
                <w:rFonts w:hint="eastAsia" w:ascii="宋体" w:hAnsi="宋体"/>
                <w:color w:val="auto"/>
                <w:szCs w:val="21"/>
                <w:highlight w:val="none"/>
              </w:rPr>
              <w:t>应急处理方案</w:t>
            </w:r>
          </w:p>
        </w:tc>
        <w:tc>
          <w:tcPr>
            <w:tcW w:w="6533" w:type="dxa"/>
            <w:tcBorders>
              <w:top w:val="single" w:color="auto" w:sz="6" w:space="0"/>
              <w:left w:val="single" w:color="auto" w:sz="6" w:space="0"/>
              <w:bottom w:val="single" w:color="auto" w:sz="6" w:space="0"/>
              <w:right w:val="single" w:color="auto" w:sz="6" w:space="0"/>
            </w:tcBorders>
            <w:shd w:val="clear" w:color="auto" w:fill="auto"/>
            <w:vAlign w:val="center"/>
          </w:tcPr>
          <w:p w14:paraId="7864457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eastAsia="宋体" w:cs="宋体"/>
                <w:color w:val="auto"/>
                <w:spacing w:val="-6"/>
                <w:sz w:val="21"/>
                <w:szCs w:val="21"/>
                <w:highlight w:val="none"/>
              </w:rPr>
              <w:t>投标人</w:t>
            </w:r>
            <w:r>
              <w:rPr>
                <w:rFonts w:hint="eastAsia" w:ascii="宋体" w:hAnsi="宋体" w:eastAsia="宋体" w:cs="宋体"/>
                <w:color w:val="auto"/>
                <w:sz w:val="21"/>
                <w:szCs w:val="21"/>
                <w:highlight w:val="none"/>
              </w:rPr>
              <w:t>拟定的应急处理方案进行评审。</w:t>
            </w:r>
          </w:p>
          <w:p w14:paraId="34187132">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评审因素：</w:t>
            </w:r>
          </w:p>
          <w:p w14:paraId="6B6DF53A">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①紧急情况预案（2分）；</w:t>
            </w:r>
          </w:p>
          <w:p w14:paraId="38F4764C">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②应急处理措施（2分）；</w:t>
            </w:r>
          </w:p>
          <w:p w14:paraId="41F44268">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③应急响应时间（2分）。</w:t>
            </w:r>
          </w:p>
          <w:p w14:paraId="40DBB1A9">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评审标准：</w:t>
            </w:r>
          </w:p>
          <w:p w14:paraId="70E2D434">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①内容完全结合整体需求，进行全方面的描述。（是指：方案内容根据本项目定制，与本项目切合度高，对项目内容做了全方面、多层次的描述，且针对具体点有深度分析。</w:t>
            </w:r>
          </w:p>
          <w:p w14:paraId="27A8FD63">
            <w:pPr>
              <w:widowControl/>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②措施合理可行。（是指：依据相关标准规范进行科学设计，且具备可操作性，符合实际操作。）</w:t>
            </w:r>
          </w:p>
          <w:p w14:paraId="69164083">
            <w:pPr>
              <w:widowControl/>
              <w:adjustRightInd/>
              <w:snapToGrid/>
              <w:jc w:val="left"/>
              <w:rPr>
                <w:rFonts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rPr>
              <w:t>上述3项评审因素满足一项评审标准的得1分，全部满足的得2 分。对3项评审因素进行打分，此项满分6分，未提供不得</w:t>
            </w:r>
            <w:r>
              <w:rPr>
                <w:rFonts w:hint="eastAsia" w:ascii="宋体" w:hAnsi="宋体" w:eastAsia="宋体" w:cs="宋体"/>
                <w:color w:val="auto"/>
                <w:sz w:val="21"/>
                <w:szCs w:val="21"/>
                <w:highlight w:val="none"/>
                <w:lang w:val="en-US" w:eastAsia="zh-CN"/>
              </w:rPr>
              <w:t>分。</w:t>
            </w:r>
          </w:p>
        </w:tc>
        <w:tc>
          <w:tcPr>
            <w:tcW w:w="826" w:type="dxa"/>
            <w:tcBorders>
              <w:top w:val="single" w:color="auto" w:sz="6" w:space="0"/>
              <w:left w:val="single" w:color="auto" w:sz="6" w:space="0"/>
              <w:bottom w:val="single" w:color="auto" w:sz="6" w:space="0"/>
              <w:right w:val="single" w:color="auto" w:sz="6" w:space="0"/>
            </w:tcBorders>
            <w:shd w:val="clear" w:color="auto" w:fill="auto"/>
            <w:vAlign w:val="center"/>
          </w:tcPr>
          <w:p w14:paraId="6F12E4EB">
            <w:pPr>
              <w:adjustRightInd w:val="0"/>
              <w:snapToGrid w:val="0"/>
              <w:jc w:val="center"/>
              <w:rPr>
                <w:rFonts w:ascii="宋体" w:hAnsi="宋体" w:eastAsia="宋体" w:cs="宋体"/>
                <w:bCs/>
                <w:color w:val="auto"/>
                <w:spacing w:val="-6"/>
                <w:kern w:val="2"/>
                <w:sz w:val="21"/>
                <w:szCs w:val="21"/>
                <w:highlight w:val="none"/>
                <w:lang w:val="en-US" w:eastAsia="zh-CN" w:bidi="ar-SA"/>
              </w:rPr>
            </w:pPr>
            <w:r>
              <w:rPr>
                <w:rFonts w:hint="eastAsia" w:ascii="宋体" w:hAnsi="宋体"/>
                <w:color w:val="auto"/>
                <w:szCs w:val="21"/>
                <w:highlight w:val="none"/>
                <w:lang w:val="en-US" w:eastAsia="zh-CN"/>
              </w:rPr>
              <w:t>6</w:t>
            </w:r>
          </w:p>
        </w:tc>
      </w:tr>
      <w:tr w14:paraId="53322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1" w:hRule="atLeast"/>
          <w:tblHeader/>
          <w:jc w:val="center"/>
        </w:trPr>
        <w:tc>
          <w:tcPr>
            <w:tcW w:w="1207" w:type="dxa"/>
            <w:vMerge w:val="continue"/>
            <w:tcBorders>
              <w:top w:val="single" w:color="auto" w:sz="6" w:space="0"/>
              <w:left w:val="single" w:color="auto" w:sz="6" w:space="0"/>
              <w:bottom w:val="single" w:color="auto" w:sz="6" w:space="0"/>
              <w:right w:val="single" w:color="auto" w:sz="6" w:space="0"/>
            </w:tcBorders>
            <w:vAlign w:val="center"/>
          </w:tcPr>
          <w:p w14:paraId="31F3C51D">
            <w:pPr>
              <w:widowControl/>
              <w:jc w:val="left"/>
              <w:rPr>
                <w:rFonts w:ascii="宋体" w:hAnsi="宋体" w:cs="宋体"/>
                <w:color w:val="auto"/>
                <w:szCs w:val="21"/>
                <w:highlight w:val="none"/>
              </w:rPr>
            </w:pPr>
          </w:p>
        </w:tc>
        <w:tc>
          <w:tcPr>
            <w:tcW w:w="705" w:type="dxa"/>
            <w:tcBorders>
              <w:top w:val="single" w:color="auto" w:sz="4" w:space="0"/>
              <w:left w:val="single" w:color="auto" w:sz="6" w:space="0"/>
              <w:bottom w:val="single" w:color="auto" w:sz="6" w:space="0"/>
              <w:right w:val="single" w:color="auto" w:sz="6" w:space="0"/>
            </w:tcBorders>
            <w:vAlign w:val="center"/>
          </w:tcPr>
          <w:p w14:paraId="34BA20DE">
            <w:pPr>
              <w:adjustRightInd w:val="0"/>
              <w:snapToGrid w:val="0"/>
              <w:jc w:val="center"/>
              <w:rPr>
                <w:rFonts w:ascii="宋体" w:hAnsi="宋体" w:cs="宋体"/>
                <w:color w:val="auto"/>
                <w:szCs w:val="21"/>
                <w:highlight w:val="none"/>
              </w:rPr>
            </w:pPr>
            <w:r>
              <w:rPr>
                <w:rFonts w:hint="eastAsia" w:ascii="宋体" w:hAnsi="宋体"/>
                <w:color w:val="auto"/>
                <w:szCs w:val="21"/>
                <w:highlight w:val="none"/>
              </w:rPr>
              <w:t>辅助管理系统</w:t>
            </w:r>
          </w:p>
        </w:tc>
        <w:tc>
          <w:tcPr>
            <w:tcW w:w="6533" w:type="dxa"/>
            <w:tcBorders>
              <w:top w:val="single" w:color="auto" w:sz="6" w:space="0"/>
              <w:left w:val="single" w:color="auto" w:sz="6" w:space="0"/>
              <w:bottom w:val="single" w:color="auto" w:sz="6" w:space="0"/>
              <w:right w:val="single" w:color="auto" w:sz="6" w:space="0"/>
            </w:tcBorders>
            <w:shd w:val="clear" w:color="auto" w:fill="auto"/>
            <w:vAlign w:val="center"/>
          </w:tcPr>
          <w:p w14:paraId="6B367202">
            <w:pPr>
              <w:adjustRightInd w:val="0"/>
              <w:snapToGrid w:val="0"/>
              <w:rPr>
                <w:rFonts w:ascii="宋体" w:hAnsi="宋体"/>
                <w:color w:val="auto"/>
                <w:szCs w:val="21"/>
                <w:highlight w:val="none"/>
              </w:rPr>
            </w:pPr>
            <w:r>
              <w:rPr>
                <w:rFonts w:hint="eastAsia" w:ascii="宋体" w:hAnsi="宋体"/>
                <w:color w:val="auto"/>
                <w:szCs w:val="21"/>
                <w:highlight w:val="none"/>
              </w:rPr>
              <w:t>（1）提供全方位视频监控系统，辅助运维管理服务及实施方案</w:t>
            </w:r>
            <w:r>
              <w:rPr>
                <w:rFonts w:hint="eastAsia" w:ascii="宋体" w:hAnsi="宋体"/>
                <w:color w:val="auto"/>
                <w:szCs w:val="21"/>
                <w:highlight w:val="none"/>
                <w:lang w:eastAsia="zh-CN"/>
              </w:rPr>
              <w:t>，</w:t>
            </w:r>
            <w:r>
              <w:rPr>
                <w:rFonts w:hint="eastAsia" w:ascii="宋体" w:hAnsi="宋体"/>
                <w:color w:val="auto"/>
                <w:szCs w:val="21"/>
                <w:highlight w:val="none"/>
              </w:rPr>
              <w:t>得</w:t>
            </w:r>
            <w:r>
              <w:rPr>
                <w:rFonts w:hint="eastAsia" w:ascii="宋体" w:hAnsi="宋体"/>
                <w:color w:val="auto"/>
                <w:szCs w:val="21"/>
                <w:highlight w:val="none"/>
                <w:lang w:val="en-US" w:eastAsia="zh-CN"/>
              </w:rPr>
              <w:t>1</w:t>
            </w:r>
            <w:r>
              <w:rPr>
                <w:rFonts w:hint="eastAsia" w:ascii="宋体" w:hAnsi="宋体"/>
                <w:color w:val="auto"/>
                <w:szCs w:val="21"/>
                <w:highlight w:val="none"/>
              </w:rPr>
              <w:t>分；</w:t>
            </w:r>
            <w:r>
              <w:rPr>
                <w:rFonts w:hint="eastAsia" w:ascii="宋体" w:hAnsi="宋体"/>
                <w:color w:val="auto"/>
                <w:szCs w:val="21"/>
                <w:highlight w:val="none"/>
                <w:lang w:val="en-US" w:eastAsia="zh-CN"/>
              </w:rPr>
              <w:t>未提供</w:t>
            </w:r>
            <w:r>
              <w:rPr>
                <w:rFonts w:hint="eastAsia" w:ascii="宋体" w:hAnsi="宋体"/>
                <w:color w:val="auto"/>
                <w:szCs w:val="21"/>
                <w:highlight w:val="none"/>
              </w:rPr>
              <w:t>得0分。</w:t>
            </w:r>
          </w:p>
          <w:p w14:paraId="314E168D">
            <w:pPr>
              <w:adjustRightInd w:val="0"/>
              <w:snapToGrid w:val="0"/>
              <w:rPr>
                <w:rFonts w:ascii="宋体" w:hAnsi="宋体" w:eastAsia="宋体" w:cs="宋体"/>
                <w:bCs/>
                <w:color w:val="auto"/>
                <w:spacing w:val="-6"/>
                <w:kern w:val="2"/>
                <w:sz w:val="21"/>
                <w:szCs w:val="21"/>
                <w:highlight w:val="none"/>
                <w:lang w:val="en-US" w:eastAsia="zh-CN" w:bidi="ar-SA"/>
              </w:rPr>
            </w:pPr>
            <w:r>
              <w:rPr>
                <w:rFonts w:hint="eastAsia" w:ascii="宋体" w:hAnsi="宋体"/>
                <w:color w:val="auto"/>
                <w:szCs w:val="21"/>
                <w:highlight w:val="none"/>
              </w:rPr>
              <w:t>（2）提供全方位智能门禁系统，辅助运维管理服务及实施方案</w:t>
            </w:r>
            <w:r>
              <w:rPr>
                <w:rFonts w:hint="eastAsia" w:ascii="宋体" w:hAnsi="宋体"/>
                <w:color w:val="auto"/>
                <w:szCs w:val="21"/>
                <w:highlight w:val="none"/>
                <w:lang w:eastAsia="zh-CN"/>
              </w:rPr>
              <w:t>，</w:t>
            </w:r>
            <w:r>
              <w:rPr>
                <w:rFonts w:hint="eastAsia" w:ascii="宋体" w:hAnsi="宋体"/>
                <w:color w:val="auto"/>
                <w:szCs w:val="21"/>
                <w:highlight w:val="none"/>
              </w:rPr>
              <w:t>得</w:t>
            </w:r>
            <w:r>
              <w:rPr>
                <w:rFonts w:hint="eastAsia" w:ascii="宋体" w:hAnsi="宋体"/>
                <w:color w:val="auto"/>
                <w:szCs w:val="21"/>
                <w:highlight w:val="none"/>
                <w:lang w:val="en-US" w:eastAsia="zh-CN"/>
              </w:rPr>
              <w:t>1</w:t>
            </w:r>
            <w:r>
              <w:rPr>
                <w:rFonts w:hint="eastAsia" w:ascii="宋体" w:hAnsi="宋体"/>
                <w:color w:val="auto"/>
                <w:szCs w:val="21"/>
                <w:highlight w:val="none"/>
              </w:rPr>
              <w:t>分；</w:t>
            </w:r>
            <w:r>
              <w:rPr>
                <w:rFonts w:hint="eastAsia" w:ascii="宋体" w:hAnsi="宋体"/>
                <w:color w:val="auto"/>
                <w:szCs w:val="21"/>
                <w:highlight w:val="none"/>
                <w:lang w:val="en-US" w:eastAsia="zh-CN"/>
              </w:rPr>
              <w:t>未提供</w:t>
            </w:r>
            <w:r>
              <w:rPr>
                <w:rFonts w:hint="eastAsia" w:ascii="宋体" w:hAnsi="宋体"/>
                <w:color w:val="auto"/>
                <w:szCs w:val="21"/>
                <w:highlight w:val="none"/>
              </w:rPr>
              <w:t>得0分。</w:t>
            </w:r>
          </w:p>
        </w:tc>
        <w:tc>
          <w:tcPr>
            <w:tcW w:w="826" w:type="dxa"/>
            <w:tcBorders>
              <w:top w:val="single" w:color="auto" w:sz="6" w:space="0"/>
              <w:left w:val="single" w:color="auto" w:sz="6" w:space="0"/>
              <w:bottom w:val="single" w:color="auto" w:sz="6" w:space="0"/>
              <w:right w:val="single" w:color="auto" w:sz="6" w:space="0"/>
            </w:tcBorders>
            <w:shd w:val="clear" w:color="auto" w:fill="auto"/>
            <w:vAlign w:val="center"/>
          </w:tcPr>
          <w:p w14:paraId="3EE496C7">
            <w:pPr>
              <w:adjustRightInd w:val="0"/>
              <w:snapToGrid w:val="0"/>
              <w:jc w:val="center"/>
              <w:rPr>
                <w:rFonts w:ascii="宋体" w:hAnsi="宋体" w:eastAsia="宋体" w:cs="宋体"/>
                <w:bCs/>
                <w:color w:val="auto"/>
                <w:spacing w:val="-6"/>
                <w:kern w:val="2"/>
                <w:sz w:val="21"/>
                <w:szCs w:val="21"/>
                <w:highlight w:val="none"/>
                <w:lang w:val="en-US" w:eastAsia="zh-CN" w:bidi="ar-SA"/>
              </w:rPr>
            </w:pPr>
            <w:r>
              <w:rPr>
                <w:rFonts w:hint="eastAsia" w:ascii="宋体" w:hAnsi="宋体"/>
                <w:strike w:val="0"/>
                <w:dstrike w:val="0"/>
                <w:color w:val="auto"/>
                <w:szCs w:val="21"/>
                <w:highlight w:val="none"/>
                <w:lang w:val="en-US" w:eastAsia="zh-CN"/>
              </w:rPr>
              <w:t>2</w:t>
            </w:r>
          </w:p>
        </w:tc>
      </w:tr>
    </w:tbl>
    <w:p w14:paraId="7CC9C0D7">
      <w:pPr>
        <w:spacing w:line="276" w:lineRule="auto"/>
        <w:jc w:val="center"/>
        <w:outlineLvl w:val="0"/>
        <w:rPr>
          <w:rFonts w:ascii="黑体" w:hAnsi="黑体" w:eastAsia="黑体"/>
          <w:color w:val="auto"/>
          <w:sz w:val="28"/>
          <w:szCs w:val="28"/>
          <w:highlight w:val="none"/>
        </w:rPr>
      </w:pPr>
      <w:r>
        <w:rPr>
          <w:color w:val="auto"/>
          <w:kern w:val="0"/>
          <w:szCs w:val="21"/>
          <w:highlight w:val="none"/>
        </w:rPr>
        <w:br w:type="page"/>
      </w:r>
      <w:bookmarkStart w:id="97" w:name="_Toc494664993"/>
      <w:bookmarkStart w:id="98" w:name="_Toc494702263"/>
      <w:bookmarkStart w:id="99" w:name="_Toc494665943"/>
      <w:bookmarkStart w:id="100" w:name="_Toc494665546"/>
      <w:bookmarkStart w:id="101" w:name="_Toc494721093"/>
      <w:bookmarkStart w:id="102" w:name="_Toc97815022"/>
      <w:bookmarkStart w:id="103" w:name="_Toc494745310"/>
      <w:bookmarkStart w:id="104" w:name="_Toc31609"/>
      <w:r>
        <w:rPr>
          <w:rFonts w:hint="eastAsia" w:ascii="黑体" w:hAnsi="黑体" w:eastAsia="黑体"/>
          <w:color w:val="auto"/>
          <w:sz w:val="28"/>
          <w:szCs w:val="28"/>
          <w:highlight w:val="none"/>
        </w:rPr>
        <w:t>第六章 合同书格式</w:t>
      </w:r>
      <w:bookmarkEnd w:id="97"/>
      <w:bookmarkEnd w:id="98"/>
      <w:bookmarkEnd w:id="99"/>
      <w:bookmarkEnd w:id="100"/>
      <w:bookmarkEnd w:id="101"/>
      <w:bookmarkEnd w:id="102"/>
      <w:bookmarkEnd w:id="103"/>
      <w:bookmarkEnd w:id="104"/>
    </w:p>
    <w:p w14:paraId="620E856A">
      <w:pPr>
        <w:ind w:firstLine="420" w:firstLineChars="200"/>
        <w:rPr>
          <w:color w:val="auto"/>
          <w:szCs w:val="21"/>
          <w:highlight w:val="none"/>
        </w:rPr>
      </w:pPr>
      <w:bookmarkStart w:id="105" w:name="_Toc494664994"/>
      <w:bookmarkStart w:id="106" w:name="_Toc494745311"/>
      <w:bookmarkStart w:id="107" w:name="_Toc494721094"/>
      <w:bookmarkStart w:id="108" w:name="_Toc494702264"/>
      <w:bookmarkStart w:id="109" w:name="_Toc494665547"/>
      <w:bookmarkStart w:id="110" w:name="_Toc494665944"/>
      <w:r>
        <w:rPr>
          <w:rFonts w:hint="eastAsia"/>
          <w:color w:val="auto"/>
          <w:szCs w:val="21"/>
          <w:highlight w:val="none"/>
        </w:rPr>
        <w:t>（根据《中华人民共和国民法典》和其他相关规定，采购人和中标人之间的权利和义务，应当按照平等、自愿的原则以合同方式约定。此合同书仅作为签订正式合同时的参考，正式合同书应包括本参考格式之内容。）</w:t>
      </w:r>
    </w:p>
    <w:p w14:paraId="62212AF1">
      <w:pPr>
        <w:autoSpaceDE w:val="0"/>
        <w:autoSpaceDN w:val="0"/>
        <w:jc w:val="center"/>
        <w:rPr>
          <w:rFonts w:ascii="宋体" w:hAnsi="宋体"/>
          <w:b/>
          <w:color w:val="auto"/>
          <w:kern w:val="0"/>
          <w:szCs w:val="21"/>
          <w:highlight w:val="none"/>
        </w:rPr>
      </w:pPr>
    </w:p>
    <w:p w14:paraId="2D794DEC">
      <w:pPr>
        <w:autoSpaceDE w:val="0"/>
        <w:autoSpaceDN w:val="0"/>
        <w:jc w:val="center"/>
        <w:rPr>
          <w:rFonts w:ascii="宋体" w:hAnsi="宋体"/>
          <w:b/>
          <w:color w:val="auto"/>
          <w:kern w:val="0"/>
          <w:szCs w:val="21"/>
          <w:highlight w:val="none"/>
        </w:rPr>
      </w:pPr>
      <w:r>
        <w:rPr>
          <w:rFonts w:hint="eastAsia" w:ascii="宋体" w:hAnsi="宋体"/>
          <w:b/>
          <w:color w:val="auto"/>
          <w:kern w:val="0"/>
          <w:szCs w:val="21"/>
          <w:highlight w:val="none"/>
        </w:rPr>
        <w:t>合   同   书</w:t>
      </w:r>
    </w:p>
    <w:p w14:paraId="21AF1F91">
      <w:pPr>
        <w:autoSpaceDE w:val="0"/>
        <w:autoSpaceDN w:val="0"/>
        <w:adjustRightInd w:val="0"/>
        <w:jc w:val="left"/>
        <w:rPr>
          <w:rFonts w:ascii="宋体" w:hAnsi="宋体" w:cs="宋体"/>
          <w:color w:val="auto"/>
          <w:kern w:val="0"/>
          <w:szCs w:val="21"/>
          <w:highlight w:val="none"/>
          <w:u w:val="single"/>
        </w:rPr>
      </w:pPr>
      <w:r>
        <w:rPr>
          <w:rFonts w:hint="eastAsia" w:ascii="宋体" w:hAnsi="宋体" w:cs="宋体"/>
          <w:color w:val="auto"/>
          <w:kern w:val="0"/>
          <w:szCs w:val="21"/>
          <w:highlight w:val="none"/>
        </w:rPr>
        <w:t>甲方</w:t>
      </w:r>
    </w:p>
    <w:p w14:paraId="565AC66E">
      <w:pPr>
        <w:autoSpaceDE w:val="0"/>
        <w:autoSpaceDN w:val="0"/>
        <w:adjustRightInd w:val="0"/>
        <w:jc w:val="left"/>
        <w:rPr>
          <w:rFonts w:ascii="宋体" w:hAnsi="宋体" w:cs="宋体"/>
          <w:color w:val="auto"/>
          <w:kern w:val="0"/>
          <w:szCs w:val="21"/>
          <w:highlight w:val="none"/>
          <w:u w:val="single"/>
        </w:rPr>
      </w:pPr>
      <w:r>
        <w:rPr>
          <w:rFonts w:hint="eastAsia" w:ascii="宋体" w:hAnsi="宋体" w:cs="宋体"/>
          <w:color w:val="auto"/>
          <w:kern w:val="0"/>
          <w:szCs w:val="21"/>
          <w:highlight w:val="none"/>
        </w:rPr>
        <w:t>乙方</w:t>
      </w:r>
    </w:p>
    <w:p w14:paraId="737B521C">
      <w:pPr>
        <w:ind w:firstLine="420"/>
        <w:rPr>
          <w:rFonts w:ascii="宋体" w:hAnsi="宋体" w:cs="宋体"/>
          <w:color w:val="auto"/>
          <w:szCs w:val="21"/>
          <w:highlight w:val="none"/>
        </w:rPr>
      </w:pPr>
      <w:r>
        <w:rPr>
          <w:rFonts w:hint="eastAsia" w:ascii="宋体" w:hAnsi="宋体" w:cs="宋体"/>
          <w:color w:val="auto"/>
          <w:szCs w:val="21"/>
          <w:highlight w:val="none"/>
        </w:rPr>
        <w:t>根据《中华人民共和国</w:t>
      </w:r>
      <w:r>
        <w:rPr>
          <w:rFonts w:hint="eastAsia"/>
          <w:color w:val="auto"/>
          <w:szCs w:val="21"/>
          <w:highlight w:val="none"/>
        </w:rPr>
        <w:t>民法典</w:t>
      </w:r>
      <w:r>
        <w:rPr>
          <w:rFonts w:hint="eastAsia" w:ascii="宋体" w:hAnsi="宋体" w:cs="宋体"/>
          <w:color w:val="auto"/>
          <w:szCs w:val="21"/>
          <w:highlight w:val="none"/>
        </w:rPr>
        <w:t>》等法律、法规的规定，甲、乙双方在平等、自愿的基础上，经协商一致，就以下供配电设备设施运行维护服务事项达成协议。</w:t>
      </w:r>
    </w:p>
    <w:p w14:paraId="5D09E871">
      <w:pPr>
        <w:ind w:firstLine="420"/>
        <w:rPr>
          <w:rFonts w:ascii="宋体" w:hAnsi="宋体" w:cs="宋体"/>
          <w:color w:val="auto"/>
          <w:kern w:val="0"/>
          <w:szCs w:val="21"/>
          <w:highlight w:val="none"/>
        </w:rPr>
      </w:pPr>
    </w:p>
    <w:p w14:paraId="60272305">
      <w:pPr>
        <w:tabs>
          <w:tab w:val="left" w:pos="840"/>
        </w:tabs>
        <w:rPr>
          <w:rFonts w:ascii="宋体" w:hAnsi="宋体" w:cs="宋体"/>
          <w:b/>
          <w:bCs/>
          <w:color w:val="auto"/>
          <w:kern w:val="0"/>
          <w:szCs w:val="21"/>
          <w:highlight w:val="none"/>
        </w:rPr>
      </w:pPr>
      <w:r>
        <w:rPr>
          <w:rFonts w:hint="eastAsia" w:ascii="宋体" w:hAnsi="宋体" w:cs="宋体"/>
          <w:b/>
          <w:bCs/>
          <w:color w:val="auto"/>
          <w:kern w:val="0"/>
          <w:szCs w:val="21"/>
          <w:highlight w:val="none"/>
        </w:rPr>
        <w:t xml:space="preserve">第一条  运维项目基本情况 </w:t>
      </w:r>
    </w:p>
    <w:p w14:paraId="58776D34">
      <w:pPr>
        <w:ind w:firstLine="420" w:firstLineChars="200"/>
        <w:rPr>
          <w:rFonts w:hint="eastAsia"/>
          <w:color w:val="auto"/>
          <w:szCs w:val="21"/>
          <w:highlight w:val="none"/>
        </w:rPr>
      </w:pPr>
      <w:r>
        <w:rPr>
          <w:rFonts w:hint="eastAsia"/>
          <w:color w:val="auto"/>
          <w:szCs w:val="21"/>
          <w:highlight w:val="none"/>
        </w:rPr>
        <w:t>武汉理工大学</w:t>
      </w:r>
      <w:r>
        <w:rPr>
          <w:rFonts w:hint="eastAsia"/>
          <w:color w:val="auto"/>
          <w:szCs w:val="21"/>
          <w:highlight w:val="none"/>
          <w:lang w:val="en-US" w:eastAsia="zh-CN"/>
        </w:rPr>
        <w:t>南湖</w:t>
      </w:r>
      <w:r>
        <w:rPr>
          <w:rFonts w:hint="eastAsia"/>
          <w:color w:val="auto"/>
          <w:szCs w:val="21"/>
          <w:highlight w:val="none"/>
        </w:rPr>
        <w:t>校区供配电设施运维服务项目包含</w:t>
      </w:r>
      <w:r>
        <w:rPr>
          <w:rFonts w:hint="eastAsia"/>
          <w:color w:val="auto"/>
          <w:szCs w:val="21"/>
          <w:highlight w:val="none"/>
          <w:lang w:val="en-US" w:eastAsia="zh-CN"/>
        </w:rPr>
        <w:t>南湖</w:t>
      </w:r>
      <w:r>
        <w:rPr>
          <w:rFonts w:hint="eastAsia"/>
          <w:color w:val="auto"/>
          <w:szCs w:val="21"/>
          <w:highlight w:val="none"/>
        </w:rPr>
        <w:t>校区所有供配电设备设施。运维服务的范围：110KV变电站2座，配电房（室）17座、开闭所2座、10KV环网箱5座、箱式变电站45座、电缆沟约8000米。</w:t>
      </w:r>
    </w:p>
    <w:p w14:paraId="78A53D6D">
      <w:pPr>
        <w:ind w:firstLine="420" w:firstLineChars="200"/>
        <w:rPr>
          <w:rFonts w:hint="eastAsia"/>
          <w:color w:val="auto"/>
          <w:szCs w:val="21"/>
          <w:highlight w:val="none"/>
        </w:rPr>
      </w:pPr>
      <w:r>
        <w:rPr>
          <w:rFonts w:hint="eastAsia"/>
          <w:color w:val="auto"/>
          <w:szCs w:val="21"/>
          <w:highlight w:val="none"/>
        </w:rPr>
        <w:t>乙方需要配合的内容：1.值守配电房：24小时双岗值班、预防性试验（2年1次）</w:t>
      </w:r>
      <w:r>
        <w:rPr>
          <w:rFonts w:hint="eastAsia"/>
          <w:color w:val="auto"/>
          <w:szCs w:val="21"/>
          <w:highlight w:val="none"/>
          <w:lang w:eastAsia="zh-CN"/>
        </w:rPr>
        <w:t>、</w:t>
      </w:r>
      <w:r>
        <w:rPr>
          <w:rFonts w:hint="eastAsia"/>
          <w:color w:val="auto"/>
          <w:szCs w:val="21"/>
          <w:highlight w:val="none"/>
        </w:rPr>
        <w:t>设备日常维护、安全管理、资产管理、环境卫生、小额维修（材料费1000元以下）、配合停送电、停电应急处置等；2.无人值守配电房（室）、开闭所、箱变：每天巡查1次及以上、设备日常维护、安全管理、资产管理、环境卫生、小额维修（材料费1000元以下）、配合停送电、停电应急处置等；3.室外电缆沟：每天巡查1次及以上、配合停送电、停电应急处置等；4.其他：重大活动保障、配合基建维修施工（含高压定值系统维护）、提供供电应急抢修支援、提供供电技术咨询</w:t>
      </w:r>
      <w:r>
        <w:rPr>
          <w:rFonts w:hint="eastAsia"/>
          <w:color w:val="auto"/>
          <w:szCs w:val="21"/>
          <w:highlight w:val="none"/>
          <w:lang w:eastAsia="zh-CN"/>
        </w:rPr>
        <w:t>、配合甲方进行线路检查</w:t>
      </w:r>
      <w:r>
        <w:rPr>
          <w:rFonts w:hint="eastAsia"/>
          <w:color w:val="auto"/>
          <w:szCs w:val="21"/>
          <w:highlight w:val="none"/>
        </w:rPr>
        <w:t>等。</w:t>
      </w:r>
    </w:p>
    <w:p w14:paraId="05499D59">
      <w:pPr>
        <w:ind w:firstLine="420" w:firstLineChars="200"/>
        <w:rPr>
          <w:rFonts w:hint="eastAsia"/>
          <w:color w:val="auto"/>
          <w:szCs w:val="21"/>
          <w:highlight w:val="none"/>
        </w:rPr>
      </w:pPr>
      <w:r>
        <w:rPr>
          <w:rFonts w:hint="eastAsia"/>
          <w:color w:val="auto"/>
          <w:szCs w:val="21"/>
          <w:highlight w:val="none"/>
        </w:rPr>
        <w:t>本次招标范围为：</w:t>
      </w:r>
    </w:p>
    <w:p w14:paraId="742621DE">
      <w:pPr>
        <w:ind w:firstLine="420" w:firstLineChars="200"/>
        <w:rPr>
          <w:rFonts w:hint="eastAsia"/>
          <w:color w:val="auto"/>
          <w:szCs w:val="21"/>
          <w:highlight w:val="none"/>
        </w:rPr>
      </w:pPr>
      <w:r>
        <w:rPr>
          <w:rFonts w:hint="eastAsia"/>
          <w:color w:val="auto"/>
          <w:szCs w:val="21"/>
          <w:highlight w:val="none"/>
        </w:rPr>
        <w:t>1.武汉理工大学南湖校区1 # 110KV变电站内变压器、10KV高压柜11台、后台监控系统组屏1套、电容器2组等设备运行维护及试验。</w:t>
      </w:r>
    </w:p>
    <w:p w14:paraId="75EE26E0">
      <w:pPr>
        <w:ind w:firstLine="420" w:firstLineChars="200"/>
        <w:rPr>
          <w:rFonts w:hint="eastAsia"/>
          <w:color w:val="auto"/>
          <w:szCs w:val="21"/>
          <w:highlight w:val="none"/>
        </w:rPr>
      </w:pPr>
      <w:r>
        <w:rPr>
          <w:rFonts w:hint="eastAsia"/>
          <w:color w:val="auto"/>
          <w:szCs w:val="21"/>
          <w:highlight w:val="none"/>
        </w:rPr>
        <w:t>2.武汉理工大学南湖校区2 # 110KV变电站内变压器、10KV高压柜29台、后台控制系统组屏18台、交直流屏4台、电容器2组等设备运行维护及试验。</w:t>
      </w:r>
    </w:p>
    <w:p w14:paraId="4C564880">
      <w:pPr>
        <w:ind w:firstLine="420" w:firstLineChars="200"/>
        <w:rPr>
          <w:rFonts w:hint="eastAsia"/>
          <w:color w:val="auto"/>
          <w:szCs w:val="21"/>
          <w:highlight w:val="none"/>
        </w:rPr>
      </w:pPr>
      <w:r>
        <w:rPr>
          <w:rFonts w:hint="eastAsia"/>
          <w:color w:val="auto"/>
          <w:szCs w:val="21"/>
          <w:highlight w:val="none"/>
        </w:rPr>
        <w:t>3.</w:t>
      </w:r>
      <w:r>
        <w:rPr>
          <w:rFonts w:hint="eastAsia"/>
          <w:color w:val="auto"/>
          <w:szCs w:val="21"/>
          <w:highlight w:val="none"/>
          <w:lang w:val="en-US" w:eastAsia="zh-CN"/>
        </w:rPr>
        <w:t>智园</w:t>
      </w:r>
      <w:r>
        <w:rPr>
          <w:rFonts w:hint="eastAsia"/>
          <w:color w:val="auto"/>
          <w:szCs w:val="21"/>
          <w:highlight w:val="none"/>
        </w:rPr>
        <w:t>开闭所，10KV高压柜9台等设备运行维护及试验。</w:t>
      </w:r>
    </w:p>
    <w:p w14:paraId="25282A59">
      <w:pPr>
        <w:ind w:firstLine="420" w:firstLineChars="200"/>
        <w:rPr>
          <w:rFonts w:hint="eastAsia"/>
          <w:color w:val="auto"/>
          <w:szCs w:val="21"/>
          <w:highlight w:val="none"/>
        </w:rPr>
      </w:pPr>
      <w:r>
        <w:rPr>
          <w:rFonts w:hint="eastAsia"/>
          <w:color w:val="auto"/>
          <w:szCs w:val="21"/>
          <w:highlight w:val="none"/>
        </w:rPr>
        <w:t>4.九号楼开闭所，10KV高压柜14台及交直流屏等设备运行维护及试验。</w:t>
      </w:r>
    </w:p>
    <w:p w14:paraId="10ED55A0">
      <w:pPr>
        <w:ind w:firstLine="420" w:firstLineChars="200"/>
        <w:rPr>
          <w:rFonts w:hint="eastAsia"/>
          <w:color w:val="auto"/>
          <w:szCs w:val="21"/>
          <w:highlight w:val="none"/>
        </w:rPr>
      </w:pPr>
      <w:r>
        <w:rPr>
          <w:rFonts w:hint="eastAsia"/>
          <w:color w:val="auto"/>
          <w:szCs w:val="21"/>
          <w:highlight w:val="none"/>
        </w:rPr>
        <w:t>5.南湖图书馆</w:t>
      </w:r>
      <w:r>
        <w:rPr>
          <w:rFonts w:hint="eastAsia"/>
          <w:color w:val="auto"/>
          <w:szCs w:val="21"/>
          <w:highlight w:val="none"/>
          <w:lang w:val="en-US" w:eastAsia="zh-CN"/>
        </w:rPr>
        <w:t>配电室</w:t>
      </w:r>
      <w:r>
        <w:rPr>
          <w:rFonts w:hint="eastAsia"/>
          <w:color w:val="auto"/>
          <w:szCs w:val="21"/>
          <w:highlight w:val="none"/>
        </w:rPr>
        <w:t>，10KV高压柜9台、10KV变压器4台及低压柜组等设备运行维护及试验。</w:t>
      </w:r>
    </w:p>
    <w:p w14:paraId="7BFAA4ED">
      <w:pPr>
        <w:ind w:firstLine="420" w:firstLineChars="200"/>
        <w:rPr>
          <w:rFonts w:hint="eastAsia"/>
          <w:color w:val="auto"/>
          <w:szCs w:val="21"/>
          <w:highlight w:val="none"/>
        </w:rPr>
      </w:pPr>
      <w:r>
        <w:rPr>
          <w:rFonts w:hint="eastAsia"/>
          <w:color w:val="auto"/>
          <w:szCs w:val="21"/>
          <w:highlight w:val="none"/>
        </w:rPr>
        <w:t>6.南湖体育馆</w:t>
      </w:r>
      <w:r>
        <w:rPr>
          <w:rFonts w:hint="eastAsia" w:ascii="Times New Roman" w:eastAsia="宋体"/>
          <w:color w:val="auto"/>
          <w:szCs w:val="21"/>
          <w:highlight w:val="none"/>
          <w:lang w:val="en-US" w:eastAsia="zh-CN"/>
        </w:rPr>
        <w:t>配电室</w:t>
      </w:r>
      <w:r>
        <w:rPr>
          <w:rFonts w:hint="eastAsia"/>
          <w:color w:val="auto"/>
          <w:szCs w:val="21"/>
          <w:highlight w:val="none"/>
        </w:rPr>
        <w:t>，10KV高压柜25台、交直流屏、10KV变压器4台及低压柜组等设备运行维护及试验。</w:t>
      </w:r>
    </w:p>
    <w:p w14:paraId="59961514">
      <w:pPr>
        <w:ind w:firstLine="420" w:firstLineChars="200"/>
        <w:rPr>
          <w:rFonts w:hint="eastAsia"/>
          <w:color w:val="auto"/>
          <w:szCs w:val="21"/>
          <w:highlight w:val="none"/>
        </w:rPr>
      </w:pPr>
      <w:r>
        <w:rPr>
          <w:rFonts w:hint="eastAsia"/>
          <w:color w:val="auto"/>
          <w:szCs w:val="21"/>
          <w:highlight w:val="none"/>
        </w:rPr>
        <w:t>7.南湖体育场东</w:t>
      </w:r>
      <w:r>
        <w:rPr>
          <w:rFonts w:hint="eastAsia" w:ascii="Times New Roman" w:eastAsia="宋体"/>
          <w:color w:val="auto"/>
          <w:szCs w:val="21"/>
          <w:highlight w:val="none"/>
          <w:lang w:val="en-US" w:eastAsia="zh-CN"/>
        </w:rPr>
        <w:t>配电室</w:t>
      </w:r>
      <w:r>
        <w:rPr>
          <w:rFonts w:hint="eastAsia"/>
          <w:color w:val="auto"/>
          <w:szCs w:val="21"/>
          <w:highlight w:val="none"/>
        </w:rPr>
        <w:t>，10KV高压柜3台、10KV变压器2台及低压柜组等设备运行维护及试验。</w:t>
      </w:r>
    </w:p>
    <w:p w14:paraId="6DB37934">
      <w:pPr>
        <w:ind w:firstLine="420" w:firstLineChars="200"/>
        <w:rPr>
          <w:rFonts w:hint="eastAsia"/>
          <w:color w:val="auto"/>
          <w:szCs w:val="21"/>
          <w:highlight w:val="none"/>
        </w:rPr>
      </w:pPr>
      <w:r>
        <w:rPr>
          <w:rFonts w:hint="eastAsia"/>
          <w:color w:val="auto"/>
          <w:szCs w:val="21"/>
          <w:highlight w:val="none"/>
        </w:rPr>
        <w:t>8.南湖体育场西</w:t>
      </w:r>
      <w:r>
        <w:rPr>
          <w:rFonts w:hint="eastAsia" w:ascii="Times New Roman" w:eastAsia="宋体"/>
          <w:color w:val="auto"/>
          <w:szCs w:val="21"/>
          <w:highlight w:val="none"/>
          <w:lang w:val="en-US" w:eastAsia="zh-CN"/>
        </w:rPr>
        <w:t>配电室</w:t>
      </w:r>
      <w:r>
        <w:rPr>
          <w:rFonts w:hint="eastAsia"/>
          <w:color w:val="auto"/>
          <w:szCs w:val="21"/>
          <w:highlight w:val="none"/>
        </w:rPr>
        <w:t>，10KV高压柜3台、10KV变压器2台及低压柜组等设备运行维护及试验。</w:t>
      </w:r>
    </w:p>
    <w:p w14:paraId="193DB109">
      <w:pPr>
        <w:ind w:firstLine="420" w:firstLineChars="200"/>
        <w:rPr>
          <w:rFonts w:hint="eastAsia"/>
          <w:color w:val="auto"/>
          <w:szCs w:val="21"/>
          <w:highlight w:val="none"/>
        </w:rPr>
      </w:pPr>
      <w:r>
        <w:rPr>
          <w:rFonts w:hint="eastAsia"/>
          <w:color w:val="auto"/>
          <w:szCs w:val="21"/>
          <w:highlight w:val="none"/>
        </w:rPr>
        <w:t>9.大学生创新创业园</w:t>
      </w:r>
      <w:r>
        <w:rPr>
          <w:rFonts w:hint="eastAsia" w:ascii="Times New Roman" w:eastAsia="宋体"/>
          <w:color w:val="auto"/>
          <w:szCs w:val="21"/>
          <w:highlight w:val="none"/>
          <w:lang w:val="en-US" w:eastAsia="zh-CN"/>
        </w:rPr>
        <w:t>配电室</w:t>
      </w:r>
      <w:r>
        <w:rPr>
          <w:rFonts w:hint="eastAsia"/>
          <w:color w:val="auto"/>
          <w:szCs w:val="21"/>
          <w:highlight w:val="none"/>
        </w:rPr>
        <w:t>，10KV高压柜9台、交直流电源、10KV变压器5台及低压柜组等设备运行维护及试验。</w:t>
      </w:r>
    </w:p>
    <w:p w14:paraId="6EBD6488">
      <w:pPr>
        <w:ind w:firstLine="420" w:firstLineChars="200"/>
        <w:rPr>
          <w:rFonts w:hint="eastAsia"/>
          <w:color w:val="auto"/>
          <w:szCs w:val="21"/>
          <w:highlight w:val="none"/>
        </w:rPr>
      </w:pPr>
      <w:r>
        <w:rPr>
          <w:rFonts w:hint="eastAsia"/>
          <w:color w:val="auto"/>
          <w:szCs w:val="21"/>
          <w:highlight w:val="none"/>
        </w:rPr>
        <w:t>10.化生学院楼</w:t>
      </w:r>
      <w:r>
        <w:rPr>
          <w:rFonts w:hint="eastAsia" w:ascii="Times New Roman" w:eastAsia="宋体"/>
          <w:color w:val="auto"/>
          <w:szCs w:val="21"/>
          <w:highlight w:val="none"/>
          <w:lang w:val="en-US" w:eastAsia="zh-CN"/>
        </w:rPr>
        <w:t>配电室</w:t>
      </w:r>
      <w:r>
        <w:rPr>
          <w:rFonts w:hint="eastAsia"/>
          <w:color w:val="auto"/>
          <w:szCs w:val="21"/>
          <w:highlight w:val="none"/>
        </w:rPr>
        <w:t>，10KV高压柜15台、交直流电源、10KV变压器5台及低压柜组等设备运行维护及试验。</w:t>
      </w:r>
    </w:p>
    <w:p w14:paraId="72C6B36F">
      <w:pPr>
        <w:ind w:firstLine="420" w:firstLineChars="200"/>
        <w:rPr>
          <w:rFonts w:hint="eastAsia"/>
          <w:color w:val="auto"/>
          <w:szCs w:val="21"/>
          <w:highlight w:val="none"/>
        </w:rPr>
      </w:pPr>
      <w:r>
        <w:rPr>
          <w:rFonts w:hint="eastAsia"/>
          <w:color w:val="auto"/>
          <w:szCs w:val="21"/>
          <w:highlight w:val="none"/>
        </w:rPr>
        <w:t>11.资环学院楼</w:t>
      </w:r>
      <w:r>
        <w:rPr>
          <w:rFonts w:hint="eastAsia" w:ascii="Times New Roman" w:eastAsia="宋体"/>
          <w:color w:val="auto"/>
          <w:szCs w:val="21"/>
          <w:highlight w:val="none"/>
          <w:lang w:val="en-US" w:eastAsia="zh-CN"/>
        </w:rPr>
        <w:t>配电室</w:t>
      </w:r>
      <w:r>
        <w:rPr>
          <w:rFonts w:hint="eastAsia"/>
          <w:color w:val="auto"/>
          <w:szCs w:val="21"/>
          <w:highlight w:val="none"/>
        </w:rPr>
        <w:t>，10KV高压柜12台、交直流电源、10KV变压器4台及低压柜组等设备运行维护及试验。</w:t>
      </w:r>
    </w:p>
    <w:p w14:paraId="4BDE973E">
      <w:pPr>
        <w:ind w:firstLine="420" w:firstLineChars="200"/>
        <w:rPr>
          <w:rFonts w:hint="eastAsia"/>
          <w:color w:val="auto"/>
          <w:szCs w:val="21"/>
          <w:highlight w:val="none"/>
        </w:rPr>
      </w:pPr>
      <w:r>
        <w:rPr>
          <w:rFonts w:hint="eastAsia"/>
          <w:color w:val="auto"/>
          <w:szCs w:val="21"/>
          <w:highlight w:val="none"/>
        </w:rPr>
        <w:t>12.智园10舍</w:t>
      </w:r>
      <w:r>
        <w:rPr>
          <w:rFonts w:hint="eastAsia" w:ascii="Times New Roman" w:eastAsia="宋体"/>
          <w:color w:val="auto"/>
          <w:szCs w:val="21"/>
          <w:highlight w:val="none"/>
          <w:lang w:val="en-US" w:eastAsia="zh-CN"/>
        </w:rPr>
        <w:t>配电室</w:t>
      </w:r>
      <w:r>
        <w:rPr>
          <w:rFonts w:hint="eastAsia"/>
          <w:color w:val="auto"/>
          <w:szCs w:val="21"/>
          <w:highlight w:val="none"/>
        </w:rPr>
        <w:t>，10KV高压柜14台、交直流电源、10KV变压器2台及低压柜组等设备运行维护及试验。</w:t>
      </w:r>
    </w:p>
    <w:p w14:paraId="355D1159">
      <w:pPr>
        <w:ind w:firstLine="420" w:firstLineChars="200"/>
        <w:rPr>
          <w:rFonts w:hint="eastAsia"/>
          <w:color w:val="auto"/>
          <w:szCs w:val="21"/>
          <w:highlight w:val="none"/>
        </w:rPr>
      </w:pPr>
      <w:r>
        <w:rPr>
          <w:rFonts w:hint="eastAsia"/>
          <w:color w:val="auto"/>
          <w:szCs w:val="21"/>
          <w:highlight w:val="none"/>
        </w:rPr>
        <w:t>13.卓园2舍</w:t>
      </w:r>
      <w:r>
        <w:rPr>
          <w:rFonts w:hint="eastAsia" w:ascii="Times New Roman" w:eastAsia="宋体"/>
          <w:color w:val="auto"/>
          <w:szCs w:val="21"/>
          <w:highlight w:val="none"/>
          <w:lang w:val="en-US" w:eastAsia="zh-CN"/>
        </w:rPr>
        <w:t>配电室</w:t>
      </w:r>
      <w:r>
        <w:rPr>
          <w:rFonts w:hint="eastAsia"/>
          <w:color w:val="auto"/>
          <w:szCs w:val="21"/>
          <w:highlight w:val="none"/>
        </w:rPr>
        <w:t>，10KV高压柜4台、10KV变压器2台及低压柜组等设备运行维护及试验。</w:t>
      </w:r>
    </w:p>
    <w:p w14:paraId="4E6F456B">
      <w:pPr>
        <w:ind w:firstLine="420" w:firstLineChars="200"/>
        <w:rPr>
          <w:rFonts w:hint="eastAsia"/>
          <w:color w:val="auto"/>
          <w:szCs w:val="21"/>
          <w:highlight w:val="none"/>
        </w:rPr>
      </w:pPr>
      <w:r>
        <w:rPr>
          <w:rFonts w:hint="eastAsia"/>
          <w:color w:val="auto"/>
          <w:szCs w:val="21"/>
          <w:highlight w:val="none"/>
        </w:rPr>
        <w:t>14.智园13舍</w:t>
      </w:r>
      <w:r>
        <w:rPr>
          <w:rFonts w:hint="eastAsia" w:ascii="Times New Roman" w:eastAsia="宋体"/>
          <w:color w:val="auto"/>
          <w:szCs w:val="21"/>
          <w:highlight w:val="none"/>
          <w:lang w:val="en-US" w:eastAsia="zh-CN"/>
        </w:rPr>
        <w:t>配电室</w:t>
      </w:r>
      <w:r>
        <w:rPr>
          <w:rFonts w:hint="eastAsia"/>
          <w:color w:val="auto"/>
          <w:szCs w:val="21"/>
          <w:highlight w:val="none"/>
        </w:rPr>
        <w:t>，10KV高压柜10台，10KV变压器2台及低压柜组等设备运行维护及试验。</w:t>
      </w:r>
    </w:p>
    <w:p w14:paraId="1DC6FBA8">
      <w:pPr>
        <w:ind w:firstLine="420" w:firstLineChars="200"/>
        <w:rPr>
          <w:rFonts w:hint="eastAsia"/>
          <w:color w:val="auto"/>
          <w:szCs w:val="21"/>
          <w:highlight w:val="none"/>
        </w:rPr>
      </w:pPr>
      <w:r>
        <w:rPr>
          <w:rFonts w:hint="eastAsia"/>
          <w:color w:val="auto"/>
          <w:szCs w:val="21"/>
          <w:highlight w:val="none"/>
        </w:rPr>
        <w:t>15.土建学院楼</w:t>
      </w:r>
      <w:r>
        <w:rPr>
          <w:rFonts w:hint="eastAsia" w:ascii="Times New Roman" w:eastAsia="宋体"/>
          <w:color w:val="auto"/>
          <w:szCs w:val="21"/>
          <w:highlight w:val="none"/>
          <w:lang w:val="en-US" w:eastAsia="zh-CN"/>
        </w:rPr>
        <w:t>配电室</w:t>
      </w:r>
      <w:r>
        <w:rPr>
          <w:rFonts w:hint="eastAsia"/>
          <w:color w:val="auto"/>
          <w:szCs w:val="21"/>
          <w:highlight w:val="none"/>
        </w:rPr>
        <w:t>，10KV高压柜12台、10KV变压器4台及低压柜组等设备运行维护及试验。</w:t>
      </w:r>
    </w:p>
    <w:p w14:paraId="75B11114">
      <w:pPr>
        <w:ind w:firstLine="420" w:firstLineChars="200"/>
        <w:rPr>
          <w:rFonts w:hint="eastAsia"/>
          <w:color w:val="auto"/>
          <w:szCs w:val="21"/>
          <w:highlight w:val="none"/>
        </w:rPr>
      </w:pPr>
      <w:r>
        <w:rPr>
          <w:rFonts w:hint="eastAsia"/>
          <w:color w:val="auto"/>
          <w:szCs w:val="21"/>
          <w:highlight w:val="none"/>
        </w:rPr>
        <w:t>16.南湖校区1#变电站南侧10KV环网箱3组（10KV高压柜12台)等设备运行维护及试验。</w:t>
      </w:r>
    </w:p>
    <w:p w14:paraId="24E91D2F">
      <w:pPr>
        <w:ind w:firstLine="420" w:firstLineChars="200"/>
        <w:rPr>
          <w:rFonts w:hint="eastAsia"/>
          <w:color w:val="auto"/>
          <w:szCs w:val="21"/>
          <w:highlight w:val="none"/>
        </w:rPr>
      </w:pPr>
      <w:r>
        <w:rPr>
          <w:rFonts w:hint="eastAsia"/>
          <w:color w:val="auto"/>
          <w:szCs w:val="21"/>
          <w:highlight w:val="none"/>
        </w:rPr>
        <w:t>17.理学院10KV环网箱1组（10KV高压柜4台)等设备运行维护及试验。</w:t>
      </w:r>
    </w:p>
    <w:p w14:paraId="1E1163BA">
      <w:pPr>
        <w:ind w:firstLine="420" w:firstLineChars="200"/>
        <w:rPr>
          <w:rFonts w:hint="eastAsia"/>
          <w:color w:val="auto"/>
          <w:szCs w:val="21"/>
          <w:highlight w:val="none"/>
        </w:rPr>
      </w:pPr>
      <w:r>
        <w:rPr>
          <w:rFonts w:hint="eastAsia"/>
          <w:color w:val="auto"/>
          <w:szCs w:val="21"/>
          <w:highlight w:val="none"/>
        </w:rPr>
        <w:t>18.博学西楼10KV环网箱1组（10KV高压柜6台)等设备运行维护及试验。</w:t>
      </w:r>
    </w:p>
    <w:p w14:paraId="1C2B8D45">
      <w:pPr>
        <w:ind w:firstLine="420" w:firstLineChars="200"/>
        <w:rPr>
          <w:rFonts w:hint="eastAsia"/>
          <w:color w:val="auto"/>
          <w:szCs w:val="21"/>
          <w:highlight w:val="none"/>
        </w:rPr>
      </w:pPr>
      <w:r>
        <w:rPr>
          <w:rFonts w:hint="eastAsia"/>
          <w:color w:val="auto"/>
          <w:szCs w:val="21"/>
          <w:highlight w:val="none"/>
        </w:rPr>
        <w:t>19.南湖北院收费中心配电房，10KV高压柜15台及低压柜组等设备运行维护及试验。</w:t>
      </w:r>
    </w:p>
    <w:p w14:paraId="4DD75A78">
      <w:pPr>
        <w:ind w:firstLine="420" w:firstLineChars="200"/>
        <w:rPr>
          <w:rFonts w:hint="eastAsia"/>
          <w:color w:val="auto"/>
          <w:szCs w:val="21"/>
          <w:highlight w:val="none"/>
        </w:rPr>
      </w:pPr>
      <w:r>
        <w:rPr>
          <w:rFonts w:hint="eastAsia"/>
          <w:color w:val="auto"/>
          <w:szCs w:val="21"/>
          <w:highlight w:val="none"/>
        </w:rPr>
        <w:t>20.爱特楼</w:t>
      </w:r>
      <w:r>
        <w:rPr>
          <w:rFonts w:hint="eastAsia" w:ascii="Times New Roman" w:eastAsia="宋体"/>
          <w:color w:val="auto"/>
          <w:szCs w:val="21"/>
          <w:highlight w:val="none"/>
          <w:lang w:val="en-US" w:eastAsia="zh-CN"/>
        </w:rPr>
        <w:t>配电室</w:t>
      </w:r>
      <w:r>
        <w:rPr>
          <w:rFonts w:hint="eastAsia"/>
          <w:color w:val="auto"/>
          <w:szCs w:val="21"/>
          <w:highlight w:val="none"/>
        </w:rPr>
        <w:t>，10KV高压柜18台、10KV变压器3台及低压柜组等设备运行维护及试验。</w:t>
      </w:r>
    </w:p>
    <w:p w14:paraId="59B69598">
      <w:pPr>
        <w:ind w:firstLine="420" w:firstLineChars="200"/>
        <w:rPr>
          <w:rFonts w:hint="eastAsia"/>
          <w:color w:val="auto"/>
          <w:szCs w:val="21"/>
          <w:highlight w:val="none"/>
        </w:rPr>
      </w:pPr>
      <w:r>
        <w:rPr>
          <w:rFonts w:hint="eastAsia"/>
          <w:color w:val="auto"/>
          <w:szCs w:val="21"/>
          <w:highlight w:val="none"/>
        </w:rPr>
        <w:t>21.学海楼</w:t>
      </w:r>
      <w:r>
        <w:rPr>
          <w:rFonts w:hint="eastAsia" w:ascii="Times New Roman" w:eastAsia="宋体"/>
          <w:color w:val="auto"/>
          <w:szCs w:val="21"/>
          <w:highlight w:val="none"/>
          <w:lang w:val="en-US" w:eastAsia="zh-CN"/>
        </w:rPr>
        <w:t>配电室</w:t>
      </w:r>
      <w:r>
        <w:rPr>
          <w:rFonts w:hint="eastAsia"/>
          <w:color w:val="auto"/>
          <w:szCs w:val="21"/>
          <w:highlight w:val="none"/>
        </w:rPr>
        <w:t>，10KV高压柜4台、10KV变压器2台及低压柜组等设备运行维护及试验。</w:t>
      </w:r>
    </w:p>
    <w:p w14:paraId="4C95C68E">
      <w:pPr>
        <w:ind w:firstLine="420" w:firstLineChars="200"/>
        <w:rPr>
          <w:rFonts w:hint="eastAsia"/>
          <w:color w:val="auto"/>
          <w:szCs w:val="21"/>
          <w:highlight w:val="none"/>
        </w:rPr>
      </w:pPr>
      <w:r>
        <w:rPr>
          <w:rFonts w:hint="eastAsia"/>
          <w:color w:val="auto"/>
          <w:szCs w:val="21"/>
          <w:highlight w:val="none"/>
        </w:rPr>
        <w:t>22.学海</w:t>
      </w:r>
      <w:r>
        <w:rPr>
          <w:rFonts w:hint="eastAsia"/>
          <w:color w:val="auto"/>
          <w:szCs w:val="21"/>
          <w:highlight w:val="none"/>
          <w:lang w:val="en-US" w:eastAsia="zh-CN"/>
        </w:rPr>
        <w:t>8</w:t>
      </w:r>
      <w:r>
        <w:rPr>
          <w:rFonts w:hint="eastAsia"/>
          <w:color w:val="auto"/>
          <w:szCs w:val="21"/>
          <w:highlight w:val="none"/>
        </w:rPr>
        <w:t>舍</w:t>
      </w:r>
      <w:r>
        <w:rPr>
          <w:rFonts w:hint="eastAsia" w:ascii="Times New Roman" w:eastAsia="宋体"/>
          <w:color w:val="auto"/>
          <w:szCs w:val="21"/>
          <w:highlight w:val="none"/>
          <w:lang w:val="en-US" w:eastAsia="zh-CN"/>
        </w:rPr>
        <w:t>配电室</w:t>
      </w:r>
      <w:r>
        <w:rPr>
          <w:rFonts w:hint="eastAsia"/>
          <w:color w:val="auto"/>
          <w:szCs w:val="21"/>
          <w:highlight w:val="none"/>
        </w:rPr>
        <w:t>，10KV高压柜6台、10KV变压器2台及低压柜组等设备运行维护及试验。</w:t>
      </w:r>
    </w:p>
    <w:p w14:paraId="28EF035D">
      <w:pPr>
        <w:ind w:firstLine="420" w:firstLineChars="200"/>
        <w:rPr>
          <w:rFonts w:hint="eastAsia"/>
          <w:color w:val="auto"/>
          <w:szCs w:val="21"/>
          <w:highlight w:val="none"/>
        </w:rPr>
      </w:pPr>
      <w:r>
        <w:rPr>
          <w:rFonts w:hint="eastAsia"/>
          <w:color w:val="auto"/>
          <w:szCs w:val="21"/>
          <w:highlight w:val="none"/>
        </w:rPr>
        <w:t>23.十五亩地配电房，10KV变压器2台及低压柜组等设备运行维护及试验。</w:t>
      </w:r>
    </w:p>
    <w:p w14:paraId="7460CF17">
      <w:pPr>
        <w:ind w:firstLine="420" w:firstLineChars="200"/>
        <w:rPr>
          <w:rFonts w:hint="eastAsia"/>
          <w:color w:val="auto"/>
          <w:szCs w:val="21"/>
          <w:highlight w:val="none"/>
        </w:rPr>
      </w:pPr>
      <w:r>
        <w:rPr>
          <w:rFonts w:hint="eastAsia"/>
          <w:color w:val="auto"/>
          <w:szCs w:val="21"/>
          <w:highlight w:val="none"/>
        </w:rPr>
        <w:t>24.室外箱式变电站4</w:t>
      </w:r>
      <w:r>
        <w:rPr>
          <w:rFonts w:hint="eastAsia"/>
          <w:color w:val="auto"/>
          <w:szCs w:val="21"/>
          <w:highlight w:val="none"/>
          <w:lang w:val="en-US" w:eastAsia="zh-CN"/>
        </w:rPr>
        <w:t>5</w:t>
      </w:r>
      <w:r>
        <w:rPr>
          <w:rFonts w:hint="eastAsia"/>
          <w:color w:val="auto"/>
          <w:szCs w:val="21"/>
          <w:highlight w:val="none"/>
        </w:rPr>
        <w:t>台等设备运行维护及试验。</w:t>
      </w:r>
    </w:p>
    <w:p w14:paraId="306EF02C">
      <w:pPr>
        <w:ind w:firstLine="420" w:firstLineChars="200"/>
        <w:rPr>
          <w:rFonts w:hint="eastAsia"/>
          <w:color w:val="auto"/>
          <w:szCs w:val="21"/>
          <w:highlight w:val="none"/>
        </w:rPr>
      </w:pPr>
      <w:r>
        <w:rPr>
          <w:rFonts w:hint="eastAsia"/>
          <w:color w:val="auto"/>
          <w:szCs w:val="21"/>
          <w:highlight w:val="none"/>
        </w:rPr>
        <w:t>25.南湖图书馆</w:t>
      </w:r>
      <w:r>
        <w:rPr>
          <w:rFonts w:hint="eastAsia"/>
          <w:color w:val="auto"/>
          <w:szCs w:val="21"/>
          <w:highlight w:val="none"/>
          <w:lang w:val="en-US" w:eastAsia="zh-CN"/>
        </w:rPr>
        <w:t>9楼</w:t>
      </w:r>
      <w:r>
        <w:rPr>
          <w:rFonts w:hint="eastAsia" w:ascii="Times New Roman" w:eastAsia="宋体"/>
          <w:color w:val="auto"/>
          <w:szCs w:val="21"/>
          <w:highlight w:val="none"/>
          <w:lang w:val="en-US" w:eastAsia="zh-CN"/>
        </w:rPr>
        <w:t>配电室</w:t>
      </w:r>
      <w:r>
        <w:rPr>
          <w:rFonts w:hint="eastAsia"/>
          <w:color w:val="auto"/>
          <w:szCs w:val="21"/>
          <w:highlight w:val="none"/>
          <w:lang w:val="en-US" w:eastAsia="zh-CN"/>
        </w:rPr>
        <w:t>。</w:t>
      </w:r>
    </w:p>
    <w:p w14:paraId="40F58A0F">
      <w:pPr>
        <w:ind w:firstLine="420" w:firstLineChars="200"/>
        <w:rPr>
          <w:rFonts w:hint="eastAsia"/>
          <w:color w:val="auto"/>
          <w:szCs w:val="21"/>
          <w:highlight w:val="none"/>
        </w:rPr>
      </w:pPr>
      <w:r>
        <w:rPr>
          <w:rFonts w:hint="eastAsia"/>
          <w:color w:val="auto"/>
          <w:szCs w:val="21"/>
          <w:highlight w:val="none"/>
          <w:lang w:val="en-US" w:eastAsia="zh-CN"/>
        </w:rPr>
        <w:t>26.</w:t>
      </w:r>
      <w:r>
        <w:rPr>
          <w:rFonts w:hint="eastAsia"/>
          <w:color w:val="auto"/>
          <w:szCs w:val="21"/>
          <w:highlight w:val="none"/>
        </w:rPr>
        <w:t>合同期内南湖校区范围内，甲方委托的新增高压配电房、箱变等设备运行维护及试验。</w:t>
      </w:r>
    </w:p>
    <w:p w14:paraId="26BE4016">
      <w:pPr>
        <w:ind w:firstLine="420" w:firstLineChars="200"/>
        <w:rPr>
          <w:rFonts w:hint="eastAsia"/>
          <w:color w:val="auto"/>
          <w:szCs w:val="21"/>
          <w:highlight w:val="none"/>
        </w:rPr>
      </w:pPr>
      <w:r>
        <w:rPr>
          <w:rFonts w:hint="eastAsia"/>
          <w:color w:val="auto"/>
          <w:szCs w:val="21"/>
          <w:highlight w:val="none"/>
        </w:rPr>
        <w:t>乙方需要配合的内容：变电站、开闭所及配电房内的资产管理；校园10KV供配电定值标准的制定；学校重大活动的用电保障；应急事项处置；接受国网供电调度部门的调度与考核。</w:t>
      </w:r>
    </w:p>
    <w:p w14:paraId="5DFEC8B0">
      <w:pPr>
        <w:widowControl/>
        <w:ind w:firstLine="420"/>
        <w:jc w:val="left"/>
        <w:rPr>
          <w:rFonts w:hint="eastAsia" w:ascii="宋体" w:hAnsi="宋体" w:cs="Times New Roman"/>
          <w:color w:val="auto"/>
          <w:szCs w:val="24"/>
          <w:highlight w:val="none"/>
          <w:u w:val="single"/>
        </w:rPr>
      </w:pPr>
    </w:p>
    <w:p w14:paraId="7632811F">
      <w:pPr>
        <w:rPr>
          <w:rFonts w:ascii="宋体" w:hAnsi="宋体" w:cs="宋体"/>
          <w:b/>
          <w:bCs/>
          <w:color w:val="auto"/>
          <w:kern w:val="0"/>
          <w:szCs w:val="21"/>
          <w:highlight w:val="none"/>
        </w:rPr>
      </w:pPr>
      <w:r>
        <w:rPr>
          <w:rFonts w:hint="eastAsia" w:ascii="宋体" w:hAnsi="宋体" w:cs="宋体"/>
          <w:b/>
          <w:bCs/>
          <w:color w:val="auto"/>
          <w:kern w:val="0"/>
          <w:szCs w:val="21"/>
          <w:highlight w:val="none"/>
        </w:rPr>
        <w:t>第二条  管理范围</w:t>
      </w:r>
    </w:p>
    <w:p w14:paraId="0A906C4A">
      <w:pPr>
        <w:ind w:firstLine="420" w:firstLineChars="200"/>
        <w:rPr>
          <w:rFonts w:ascii="宋体" w:hAnsi="宋体" w:cs="宋体"/>
          <w:color w:val="auto"/>
          <w:szCs w:val="21"/>
          <w:highlight w:val="none"/>
        </w:rPr>
      </w:pPr>
      <w:r>
        <w:rPr>
          <w:rFonts w:hint="eastAsia" w:ascii="宋体" w:hAnsi="宋体" w:cs="宋体"/>
          <w:color w:val="auto"/>
          <w:szCs w:val="21"/>
          <w:highlight w:val="none"/>
        </w:rPr>
        <w:t>乙方所提供的运行维护服务管理范围是</w:t>
      </w:r>
      <w:r>
        <w:rPr>
          <w:rFonts w:hint="eastAsia"/>
          <w:color w:val="auto"/>
          <w:szCs w:val="21"/>
          <w:highlight w:val="none"/>
          <w:lang w:val="en-US" w:eastAsia="zh-CN"/>
        </w:rPr>
        <w:t>南湖</w:t>
      </w:r>
      <w:r>
        <w:rPr>
          <w:rFonts w:hint="eastAsia"/>
          <w:color w:val="auto"/>
          <w:szCs w:val="21"/>
          <w:highlight w:val="none"/>
        </w:rPr>
        <w:t>校区</w:t>
      </w:r>
      <w:r>
        <w:rPr>
          <w:rFonts w:hint="eastAsia" w:ascii="宋体" w:hAnsi="宋体" w:cs="宋体"/>
          <w:color w:val="auto"/>
          <w:szCs w:val="21"/>
          <w:highlight w:val="none"/>
        </w:rPr>
        <w:t>供配电设备设施内设施设备等资产在内的管理服务，不涉及资产的所有权。</w:t>
      </w:r>
    </w:p>
    <w:p w14:paraId="61970742">
      <w:pPr>
        <w:ind w:left="525" w:hanging="525" w:hangingChars="250"/>
        <w:rPr>
          <w:rFonts w:ascii="宋体" w:hAnsi="宋体" w:cs="宋体"/>
          <w:b/>
          <w:bCs/>
          <w:color w:val="auto"/>
          <w:szCs w:val="21"/>
          <w:highlight w:val="none"/>
        </w:rPr>
      </w:pPr>
      <w:r>
        <w:rPr>
          <w:rFonts w:hint="eastAsia" w:ascii="宋体" w:hAnsi="宋体" w:cs="宋体"/>
          <w:b/>
          <w:bCs/>
          <w:color w:val="auto"/>
          <w:szCs w:val="21"/>
          <w:highlight w:val="none"/>
        </w:rPr>
        <w:t>第三条  管理服务职责和要求</w:t>
      </w:r>
    </w:p>
    <w:p w14:paraId="79FE478A">
      <w:pPr>
        <w:ind w:firstLine="480"/>
        <w:rPr>
          <w:rFonts w:ascii="宋体" w:hAnsi="宋体"/>
          <w:color w:val="auto"/>
          <w:szCs w:val="21"/>
          <w:highlight w:val="none"/>
        </w:rPr>
      </w:pPr>
      <w:r>
        <w:rPr>
          <w:rFonts w:hint="eastAsia" w:ascii="宋体" w:hAnsi="宋体"/>
          <w:color w:val="auto"/>
          <w:szCs w:val="21"/>
          <w:highlight w:val="none"/>
        </w:rPr>
        <w:t>1、运维单位进行季度巡查时，必须详细记录各设备的运行情况，巡查完成后出具供配电设备巡检报告。</w:t>
      </w:r>
    </w:p>
    <w:p w14:paraId="2B0B6DCC">
      <w:pPr>
        <w:ind w:firstLine="480"/>
        <w:rPr>
          <w:rFonts w:ascii="宋体" w:hAnsi="宋体"/>
          <w:color w:val="auto"/>
          <w:szCs w:val="21"/>
          <w:highlight w:val="none"/>
        </w:rPr>
      </w:pPr>
      <w:r>
        <w:rPr>
          <w:rFonts w:hint="eastAsia" w:ascii="宋体" w:hAnsi="宋体"/>
          <w:color w:val="auto"/>
          <w:szCs w:val="21"/>
          <w:highlight w:val="none"/>
        </w:rPr>
        <w:t>2、运维单位必须保证项目负责人24小时通讯畅通。</w:t>
      </w:r>
    </w:p>
    <w:p w14:paraId="707FFDE7">
      <w:pPr>
        <w:ind w:firstLine="480"/>
        <w:rPr>
          <w:rFonts w:ascii="宋体" w:hAnsi="宋体"/>
          <w:color w:val="auto"/>
          <w:szCs w:val="21"/>
          <w:highlight w:val="none"/>
        </w:rPr>
      </w:pPr>
      <w:r>
        <w:rPr>
          <w:rFonts w:hint="eastAsia" w:ascii="宋体" w:hAnsi="宋体"/>
          <w:color w:val="auto"/>
          <w:szCs w:val="21"/>
          <w:highlight w:val="none"/>
        </w:rPr>
        <w:t>3、运维单位应有完备的电力故障抢修应急处理方案，能及时判断、抢修设备故障，保证及时恢复系统正常运转，确保系统全天候处于完好状态。</w:t>
      </w:r>
    </w:p>
    <w:p w14:paraId="793C7C1A">
      <w:pPr>
        <w:ind w:firstLine="480"/>
        <w:rPr>
          <w:rFonts w:ascii="宋体" w:hAnsi="宋体"/>
          <w:color w:val="auto"/>
          <w:szCs w:val="21"/>
          <w:highlight w:val="none"/>
        </w:rPr>
      </w:pPr>
      <w:r>
        <w:rPr>
          <w:rFonts w:hint="eastAsia" w:ascii="宋体" w:hAnsi="宋体"/>
          <w:color w:val="auto"/>
          <w:szCs w:val="21"/>
          <w:highlight w:val="none"/>
        </w:rPr>
        <w:t>4、运维单位应建立电力设备快速抢修机制，当供配电设备出现故障，运维单位接到通知后需在30分钟内赶赴现场，按照技术流程迅速找出故障原因予以处置，应最大限度减小断电影响。处置期间因操作不当导致的事故由运维单位负全责。</w:t>
      </w:r>
    </w:p>
    <w:p w14:paraId="2071F4F2">
      <w:pPr>
        <w:ind w:firstLine="480"/>
        <w:rPr>
          <w:rFonts w:ascii="宋体" w:hAnsi="宋体"/>
          <w:color w:val="auto"/>
          <w:szCs w:val="21"/>
          <w:highlight w:val="none"/>
        </w:rPr>
      </w:pPr>
      <w:r>
        <w:rPr>
          <w:rFonts w:hint="eastAsia" w:ascii="宋体" w:hAnsi="宋体"/>
          <w:color w:val="auto"/>
          <w:szCs w:val="21"/>
          <w:highlight w:val="none"/>
        </w:rPr>
        <w:t>5、电力设备维修应当严格按照安全操作规范，在不影响电力设备安全运行的前提下5个工作日内完成，所有电力设备维修应保证其余电力设备的安全运行。</w:t>
      </w:r>
    </w:p>
    <w:p w14:paraId="4ECEB95C">
      <w:pPr>
        <w:ind w:firstLine="480"/>
        <w:rPr>
          <w:rFonts w:ascii="宋体" w:hAnsi="宋体"/>
          <w:color w:val="auto"/>
          <w:szCs w:val="21"/>
          <w:highlight w:val="none"/>
        </w:rPr>
      </w:pPr>
      <w:r>
        <w:rPr>
          <w:rFonts w:hint="eastAsia" w:ascii="宋体" w:hAnsi="宋体"/>
          <w:color w:val="auto"/>
          <w:szCs w:val="21"/>
          <w:highlight w:val="none"/>
        </w:rPr>
        <w:t>6、维护和维修过的电力设备，必须确保在</w:t>
      </w:r>
      <w:r>
        <w:rPr>
          <w:rFonts w:ascii="宋体" w:hAnsi="宋体"/>
          <w:color w:val="auto"/>
          <w:szCs w:val="21"/>
          <w:highlight w:val="none"/>
        </w:rPr>
        <w:t>60</w:t>
      </w:r>
      <w:r>
        <w:rPr>
          <w:rFonts w:hint="eastAsia" w:ascii="宋体" w:hAnsi="宋体"/>
          <w:color w:val="auto"/>
          <w:szCs w:val="21"/>
          <w:highlight w:val="none"/>
        </w:rPr>
        <w:t>天内不发生同样的电力故障，否则视为电力设备维护和维修失败。</w:t>
      </w:r>
    </w:p>
    <w:p w14:paraId="6BA9E944">
      <w:pPr>
        <w:ind w:firstLine="480"/>
        <w:rPr>
          <w:rFonts w:ascii="宋体" w:hAnsi="宋体"/>
          <w:color w:val="auto"/>
          <w:szCs w:val="21"/>
          <w:highlight w:val="none"/>
        </w:rPr>
      </w:pPr>
      <w:r>
        <w:rPr>
          <w:rFonts w:hint="eastAsia" w:ascii="宋体" w:hAnsi="宋体"/>
          <w:color w:val="auto"/>
          <w:szCs w:val="21"/>
          <w:highlight w:val="none"/>
        </w:rPr>
        <w:t>7、运维单位必须服从学校管理，保持人员稳定，了解全部设备的运行状况，保证学校业主24小时能与运维技术人员取得联系。</w:t>
      </w:r>
    </w:p>
    <w:p w14:paraId="51649F15">
      <w:pPr>
        <w:ind w:firstLine="480"/>
        <w:rPr>
          <w:rFonts w:hint="eastAsia" w:ascii="宋体" w:hAnsi="宋体"/>
          <w:color w:val="auto"/>
          <w:szCs w:val="21"/>
          <w:highlight w:val="none"/>
        </w:rPr>
      </w:pPr>
      <w:r>
        <w:rPr>
          <w:rFonts w:hint="eastAsia" w:ascii="宋体" w:hAnsi="宋体"/>
          <w:color w:val="auto"/>
          <w:szCs w:val="21"/>
          <w:highlight w:val="none"/>
        </w:rPr>
        <w:t>8、运维期间，运维单位有义务协助业主处理好强电设备运维方面的一切事宜，除高值备品备件（价值</w:t>
      </w:r>
      <w:r>
        <w:rPr>
          <w:rFonts w:hint="eastAsia" w:ascii="宋体" w:hAnsi="宋体"/>
          <w:color w:val="auto"/>
          <w:szCs w:val="21"/>
          <w:highlight w:val="none"/>
          <w:lang w:val="en-US" w:eastAsia="zh-CN"/>
        </w:rPr>
        <w:t>1000</w:t>
      </w:r>
      <w:r>
        <w:rPr>
          <w:rFonts w:hint="eastAsia" w:ascii="宋体" w:hAnsi="宋体"/>
          <w:color w:val="auto"/>
          <w:szCs w:val="21"/>
          <w:highlight w:val="none"/>
        </w:rPr>
        <w:t>元以上）、设备返厂维修费用、大型设备租赁（如吊车、升降机等）以外，其他费用均由运维单位承担。</w:t>
      </w:r>
    </w:p>
    <w:p w14:paraId="5306276B">
      <w:pPr>
        <w:ind w:firstLine="480"/>
        <w:rPr>
          <w:rFonts w:hint="eastAsia" w:ascii="宋体" w:hAnsi="宋体"/>
          <w:color w:val="auto"/>
          <w:szCs w:val="21"/>
          <w:highlight w:val="none"/>
        </w:rPr>
      </w:pPr>
      <w:r>
        <w:rPr>
          <w:rFonts w:hint="eastAsia" w:ascii="宋体" w:hAnsi="宋体"/>
          <w:color w:val="auto"/>
          <w:szCs w:val="21"/>
          <w:highlight w:val="none"/>
          <w:lang w:val="en-US" w:eastAsia="zh-CN"/>
        </w:rPr>
        <w:t>9、配合甲方拟定楼栋内用电增容方案，配合甲方进行</w:t>
      </w:r>
      <w:r>
        <w:rPr>
          <w:rFonts w:hint="eastAsia" w:ascii="宋体" w:hAnsi="宋体"/>
          <w:color w:val="auto"/>
          <w:szCs w:val="21"/>
          <w:highlight w:val="none"/>
          <w:lang w:eastAsia="zh-CN"/>
        </w:rPr>
        <w:t>线路检查</w:t>
      </w:r>
      <w:r>
        <w:rPr>
          <w:rFonts w:hint="eastAsia" w:ascii="宋体" w:hAnsi="宋体"/>
          <w:color w:val="auto"/>
          <w:szCs w:val="21"/>
          <w:highlight w:val="none"/>
          <w:lang w:val="en-US" w:eastAsia="zh-CN"/>
        </w:rPr>
        <w:t>和安全隐患排查。</w:t>
      </w:r>
    </w:p>
    <w:p w14:paraId="6099542A">
      <w:pPr>
        <w:ind w:firstLine="48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10、维护配单柜、线缆等配电设施标识标签清晰准确。</w:t>
      </w:r>
    </w:p>
    <w:p w14:paraId="003C3613">
      <w:pPr>
        <w:ind w:firstLine="480"/>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11、负责配电房、箱变等设施的配套附属设备、设施、工具的日常管理和维护。</w:t>
      </w:r>
    </w:p>
    <w:p w14:paraId="0C014A9C">
      <w:pPr>
        <w:ind w:firstLine="480"/>
        <w:rPr>
          <w:rFonts w:hint="eastAsia" w:ascii="宋体" w:hAnsi="宋体"/>
          <w:color w:val="auto"/>
          <w:szCs w:val="21"/>
          <w:highlight w:val="none"/>
        </w:rPr>
      </w:pPr>
    </w:p>
    <w:p w14:paraId="3445B5BC">
      <w:pPr>
        <w:rPr>
          <w:rFonts w:ascii="宋体" w:hAnsi="宋体" w:cs="宋体"/>
          <w:bCs/>
          <w:color w:val="auto"/>
          <w:szCs w:val="21"/>
          <w:highlight w:val="none"/>
        </w:rPr>
      </w:pPr>
      <w:r>
        <w:rPr>
          <w:rFonts w:hint="eastAsia" w:ascii="宋体" w:hAnsi="宋体" w:cs="宋体"/>
          <w:b/>
          <w:bCs/>
          <w:color w:val="auto"/>
          <w:szCs w:val="21"/>
          <w:highlight w:val="none"/>
        </w:rPr>
        <w:t xml:space="preserve">第四条  </w:t>
      </w:r>
      <w:r>
        <w:rPr>
          <w:rFonts w:hint="eastAsia" w:ascii="宋体" w:hAnsi="宋体" w:cs="宋体"/>
          <w:b/>
          <w:color w:val="auto"/>
          <w:szCs w:val="21"/>
          <w:highlight w:val="none"/>
        </w:rPr>
        <w:t>管理服务期限</w:t>
      </w:r>
    </w:p>
    <w:p w14:paraId="7159CAE1">
      <w:pPr>
        <w:ind w:firstLine="420" w:firstLineChars="200"/>
        <w:rPr>
          <w:rFonts w:ascii="宋体" w:hAnsi="宋体" w:cs="宋体"/>
          <w:color w:val="auto"/>
          <w:szCs w:val="21"/>
          <w:highlight w:val="none"/>
        </w:rPr>
      </w:pPr>
      <w:r>
        <w:rPr>
          <w:rFonts w:hint="eastAsia" w:ascii="宋体" w:hAnsi="宋体" w:cs="宋体"/>
          <w:color w:val="auto"/>
          <w:szCs w:val="21"/>
          <w:highlight w:val="none"/>
        </w:rPr>
        <w:t>管理服务的期限一年，自年月日起至年月日止。服务期满考核合格后，可续签1年。</w:t>
      </w:r>
    </w:p>
    <w:p w14:paraId="1CC914EC">
      <w:pPr>
        <w:ind w:firstLine="420" w:firstLineChars="200"/>
        <w:rPr>
          <w:rFonts w:hint="eastAsia" w:ascii="宋体" w:hAnsi="宋体" w:eastAsia="宋体" w:cs="宋体"/>
          <w:color w:val="auto"/>
          <w:szCs w:val="21"/>
          <w:highlight w:val="none"/>
          <w:lang w:eastAsia="zh-CN"/>
        </w:rPr>
      </w:pPr>
      <w:r>
        <w:rPr>
          <w:rFonts w:hint="eastAsia" w:ascii="宋体" w:hAnsi="宋体"/>
          <w:color w:val="auto"/>
          <w:szCs w:val="21"/>
          <w:highlight w:val="none"/>
        </w:rPr>
        <w:t>每月考核结果留存，</w:t>
      </w:r>
      <w:r>
        <w:rPr>
          <w:rFonts w:hint="eastAsia" w:ascii="宋体" w:hAnsi="宋体"/>
          <w:color w:val="auto"/>
          <w:szCs w:val="21"/>
          <w:highlight w:val="none"/>
          <w:lang w:eastAsia="zh-CN"/>
        </w:rPr>
        <w:t>作为年度考核的依据，此依据也是第二年是否续签的依据。</w:t>
      </w:r>
    </w:p>
    <w:p w14:paraId="69346CE3">
      <w:pPr>
        <w:rPr>
          <w:rFonts w:ascii="宋体" w:hAnsi="宋体" w:cs="宋体"/>
          <w:b/>
          <w:bCs/>
          <w:color w:val="auto"/>
          <w:szCs w:val="21"/>
          <w:highlight w:val="none"/>
        </w:rPr>
      </w:pPr>
      <w:r>
        <w:rPr>
          <w:rFonts w:hint="eastAsia" w:ascii="宋体" w:hAnsi="宋体" w:cs="宋体"/>
          <w:b/>
          <w:bCs/>
          <w:color w:val="auto"/>
          <w:szCs w:val="21"/>
          <w:highlight w:val="none"/>
        </w:rPr>
        <w:t>第五条 管理服务的质量标准</w:t>
      </w:r>
    </w:p>
    <w:p w14:paraId="1B42216D">
      <w:pPr>
        <w:ind w:firstLine="420" w:firstLineChars="200"/>
        <w:rPr>
          <w:rFonts w:ascii="宋体" w:hAnsi="宋体" w:cs="宋体"/>
          <w:color w:val="auto"/>
          <w:szCs w:val="21"/>
          <w:highlight w:val="none"/>
        </w:rPr>
      </w:pPr>
      <w:r>
        <w:rPr>
          <w:rFonts w:hint="eastAsia" w:ascii="宋体" w:hAnsi="宋体" w:cs="宋体"/>
          <w:color w:val="auto"/>
          <w:szCs w:val="21"/>
          <w:highlight w:val="none"/>
        </w:rPr>
        <w:t>乙方应在本合同履行期限内，对本项目的管理服务达到附件</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的服务质量标准和最低人员配备要求。</w:t>
      </w:r>
    </w:p>
    <w:p w14:paraId="530907B9">
      <w:pPr>
        <w:ind w:firstLine="420" w:firstLineChars="200"/>
        <w:rPr>
          <w:rFonts w:ascii="宋体" w:hAnsi="宋体" w:cs="宋体"/>
          <w:color w:val="auto"/>
          <w:szCs w:val="21"/>
          <w:highlight w:val="none"/>
        </w:rPr>
      </w:pPr>
      <w:r>
        <w:rPr>
          <w:rFonts w:hint="eastAsia" w:ascii="宋体" w:hAnsi="宋体" w:cs="宋体"/>
          <w:color w:val="auto"/>
          <w:szCs w:val="21"/>
          <w:highlight w:val="none"/>
        </w:rPr>
        <w:t>同时甲方按照服务质量标准和最低人员配备要求对乙方进行考核。本项目管理服务项目的考核办法详见附件</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w:t>
      </w:r>
    </w:p>
    <w:p w14:paraId="1C7A15BB">
      <w:pPr>
        <w:jc w:val="left"/>
        <w:rPr>
          <w:rFonts w:ascii="宋体" w:hAnsi="宋体" w:cs="宋体"/>
          <w:b/>
          <w:bCs/>
          <w:color w:val="auto"/>
          <w:szCs w:val="21"/>
          <w:highlight w:val="none"/>
        </w:rPr>
      </w:pPr>
      <w:r>
        <w:rPr>
          <w:rFonts w:hint="eastAsia" w:ascii="宋体" w:hAnsi="宋体" w:cs="宋体"/>
          <w:b/>
          <w:bCs/>
          <w:color w:val="auto"/>
          <w:szCs w:val="21"/>
          <w:highlight w:val="none"/>
        </w:rPr>
        <w:t>第六条  管理服务费用及支付方式</w:t>
      </w:r>
    </w:p>
    <w:p w14:paraId="12A07264">
      <w:pPr>
        <w:ind w:firstLine="359" w:firstLineChars="171"/>
        <w:jc w:val="left"/>
        <w:rPr>
          <w:rFonts w:ascii="宋体" w:hAnsi="宋体" w:cs="宋体"/>
          <w:color w:val="auto"/>
          <w:szCs w:val="21"/>
          <w:highlight w:val="none"/>
        </w:rPr>
      </w:pPr>
      <w:r>
        <w:rPr>
          <w:rFonts w:hint="eastAsia" w:ascii="宋体" w:hAnsi="宋体" w:cs="宋体"/>
          <w:color w:val="auto"/>
          <w:szCs w:val="21"/>
          <w:highlight w:val="none"/>
        </w:rPr>
        <w:t>（一） 本供配电设备设施运行维护服务项目的运行维护服务费用按招标文件内容、范围，一年合计：大写人民币元整（￥元）；月合计：大写人民币元整（￥元）。</w:t>
      </w:r>
    </w:p>
    <w:p w14:paraId="22A692D6">
      <w:pPr>
        <w:pStyle w:val="7"/>
        <w:rPr>
          <w:rFonts w:hint="default" w:ascii="宋体" w:hAnsi="宋体" w:cs="宋体"/>
          <w:color w:val="auto"/>
          <w:sz w:val="21"/>
          <w:szCs w:val="21"/>
          <w:highlight w:val="none"/>
          <w:u w:val="single"/>
          <w:lang w:val="en-US" w:eastAsia="zh-CN"/>
        </w:rPr>
      </w:pPr>
      <w:r>
        <w:rPr>
          <w:rFonts w:hint="eastAsia" w:ascii="宋体" w:hAnsi="宋体" w:cs="宋体"/>
          <w:color w:val="auto"/>
          <w:szCs w:val="21"/>
          <w:highlight w:val="none"/>
        </w:rPr>
        <w:t>（二）支付方式与程序：</w:t>
      </w:r>
      <w:r>
        <w:rPr>
          <w:rFonts w:hint="eastAsia" w:ascii="宋体" w:hAnsi="宋体" w:cs="宋体"/>
          <w:color w:val="auto"/>
          <w:sz w:val="21"/>
          <w:szCs w:val="21"/>
          <w:highlight w:val="none"/>
          <w:lang w:val="en-US" w:eastAsia="zh-CN"/>
        </w:rPr>
        <w:t>1.学校没有资金支付要求的，按下列原则支付：</w:t>
      </w:r>
      <w:r>
        <w:rPr>
          <w:rFonts w:hint="eastAsia" w:ascii="宋体" w:hAnsi="宋体" w:eastAsia="宋体" w:cs="宋体"/>
          <w:bCs/>
          <w:snapToGrid w:val="0"/>
          <w:color w:val="auto"/>
          <w:kern w:val="0"/>
          <w:sz w:val="21"/>
          <w:szCs w:val="21"/>
          <w:highlight w:val="none"/>
        </w:rPr>
        <w:t>供配电设备设施运行维护服务费按季度支付。考核合格后，支付上一季度供配电设备设施运行维护服务费。支付期限由甲乙双方商定月底之前支付上一季费用（假期顺延）</w:t>
      </w:r>
      <w:r>
        <w:rPr>
          <w:rFonts w:hint="eastAsia" w:ascii="宋体" w:hAnsi="宋体" w:eastAsia="宋体" w:cs="宋体"/>
          <w:color w:val="auto"/>
          <w:sz w:val="21"/>
          <w:szCs w:val="21"/>
          <w:highlight w:val="none"/>
        </w:rPr>
        <w:t>。若某月份考核不合格，按照附件2的考核办法扣减供配电设备设施该月运行维护服务费的5%。</w:t>
      </w:r>
      <w:r>
        <w:rPr>
          <w:rFonts w:hint="eastAsia" w:ascii="宋体" w:hAnsi="宋体" w:cs="宋体"/>
          <w:color w:val="auto"/>
          <w:sz w:val="21"/>
          <w:szCs w:val="21"/>
          <w:highlight w:val="none"/>
          <w:u w:val="single"/>
          <w:lang w:val="en-US" w:eastAsia="zh-CN"/>
        </w:rPr>
        <w:t>2.学校财务部门有资金支付要求的，按要求执行。</w:t>
      </w:r>
    </w:p>
    <w:p w14:paraId="31D66B54">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在本合同履行期限内，价格原则上保持不变。若供配电设备设施运行维护服务工作量变动较大，运维服务费增减额由双方协商。</w:t>
      </w:r>
    </w:p>
    <w:p w14:paraId="09E0488A">
      <w:pPr>
        <w:ind w:firstLine="420" w:firstLineChars="200"/>
        <w:jc w:val="left"/>
        <w:rPr>
          <w:rFonts w:ascii="宋体" w:hAnsi="宋体" w:cs="宋体"/>
          <w:color w:val="auto"/>
          <w:szCs w:val="21"/>
          <w:highlight w:val="none"/>
        </w:rPr>
      </w:pPr>
      <w:bookmarkStart w:id="111" w:name="_Toc444072594"/>
      <w:bookmarkStart w:id="112" w:name="_Toc446925802"/>
      <w:r>
        <w:rPr>
          <w:rFonts w:hint="eastAsia" w:ascii="宋体" w:hAnsi="宋体" w:cs="宋体"/>
          <w:color w:val="auto"/>
          <w:szCs w:val="21"/>
          <w:highlight w:val="none"/>
        </w:rPr>
        <w:t>（三）</w:t>
      </w:r>
      <w:r>
        <w:rPr>
          <w:rFonts w:ascii="宋体" w:hAnsi="宋体" w:cs="宋体"/>
          <w:color w:val="auto"/>
          <w:szCs w:val="21"/>
          <w:highlight w:val="none"/>
        </w:rPr>
        <w:t>双方约定需另行支付的费用</w:t>
      </w:r>
      <w:bookmarkEnd w:id="111"/>
      <w:bookmarkEnd w:id="112"/>
    </w:p>
    <w:p w14:paraId="7C4B937F">
      <w:pPr>
        <w:tabs>
          <w:tab w:val="left" w:pos="851"/>
        </w:tabs>
        <w:snapToGrid w:val="0"/>
        <w:ind w:firstLine="420" w:firstLineChars="200"/>
        <w:contextualSpacing/>
        <w:rPr>
          <w:color w:val="auto"/>
          <w:szCs w:val="21"/>
          <w:highlight w:val="none"/>
        </w:rPr>
      </w:pPr>
      <w:r>
        <w:rPr>
          <w:color w:val="auto"/>
          <w:szCs w:val="21"/>
          <w:highlight w:val="none"/>
        </w:rPr>
        <w:t>（</w:t>
      </w:r>
      <w:r>
        <w:rPr>
          <w:rFonts w:hint="eastAsia"/>
          <w:color w:val="auto"/>
          <w:szCs w:val="21"/>
          <w:highlight w:val="none"/>
        </w:rPr>
        <w:t>1</w:t>
      </w:r>
      <w:r>
        <w:rPr>
          <w:color w:val="auto"/>
          <w:szCs w:val="21"/>
          <w:highlight w:val="none"/>
        </w:rPr>
        <w:t>）因不可抗力造成</w:t>
      </w:r>
      <w:r>
        <w:rPr>
          <w:rFonts w:hint="eastAsia"/>
          <w:color w:val="auto"/>
          <w:szCs w:val="21"/>
          <w:highlight w:val="none"/>
        </w:rPr>
        <w:t>的供配电设备的抢险、支援、协助等产生费用；对</w:t>
      </w:r>
      <w:r>
        <w:rPr>
          <w:color w:val="auto"/>
          <w:szCs w:val="21"/>
          <w:highlight w:val="none"/>
        </w:rPr>
        <w:t>供配电</w:t>
      </w:r>
      <w:r>
        <w:rPr>
          <w:rFonts w:hint="eastAsia"/>
          <w:color w:val="auto"/>
          <w:szCs w:val="21"/>
          <w:highlight w:val="none"/>
        </w:rPr>
        <w:t>设备、电缆</w:t>
      </w:r>
      <w:r>
        <w:rPr>
          <w:color w:val="auto"/>
          <w:szCs w:val="21"/>
          <w:highlight w:val="none"/>
        </w:rPr>
        <w:t>线路</w:t>
      </w:r>
      <w:r>
        <w:rPr>
          <w:rFonts w:hint="eastAsia"/>
          <w:color w:val="auto"/>
          <w:szCs w:val="21"/>
          <w:highlight w:val="none"/>
        </w:rPr>
        <w:t>的</w:t>
      </w:r>
      <w:r>
        <w:rPr>
          <w:color w:val="auto"/>
          <w:szCs w:val="21"/>
          <w:highlight w:val="none"/>
        </w:rPr>
        <w:t>影响</w:t>
      </w:r>
      <w:r>
        <w:rPr>
          <w:rFonts w:hint="eastAsia"/>
          <w:color w:val="auto"/>
          <w:szCs w:val="21"/>
          <w:highlight w:val="none"/>
        </w:rPr>
        <w:t>，供配电设备、</w:t>
      </w:r>
      <w:r>
        <w:rPr>
          <w:color w:val="auto"/>
          <w:szCs w:val="21"/>
          <w:highlight w:val="none"/>
        </w:rPr>
        <w:t>电缆线路本体及其它</w:t>
      </w:r>
      <w:r>
        <w:rPr>
          <w:rFonts w:hint="eastAsia"/>
          <w:color w:val="auto"/>
          <w:szCs w:val="21"/>
          <w:highlight w:val="none"/>
        </w:rPr>
        <w:t>需要</w:t>
      </w:r>
      <w:r>
        <w:rPr>
          <w:color w:val="auto"/>
          <w:szCs w:val="21"/>
          <w:highlight w:val="none"/>
        </w:rPr>
        <w:t>更换和修复</w:t>
      </w:r>
      <w:r>
        <w:rPr>
          <w:rFonts w:hint="eastAsia"/>
          <w:color w:val="auto"/>
          <w:szCs w:val="21"/>
          <w:highlight w:val="none"/>
        </w:rPr>
        <w:t>的费用；造成电气设备整体损坏更换或修复费用。</w:t>
      </w:r>
    </w:p>
    <w:p w14:paraId="7A666645">
      <w:pPr>
        <w:tabs>
          <w:tab w:val="left" w:pos="851"/>
        </w:tabs>
        <w:snapToGrid w:val="0"/>
        <w:ind w:firstLine="420" w:firstLineChars="200"/>
        <w:contextualSpacing/>
        <w:rPr>
          <w:color w:val="auto"/>
          <w:szCs w:val="21"/>
          <w:highlight w:val="none"/>
        </w:rPr>
      </w:pPr>
      <w:r>
        <w:rPr>
          <w:color w:val="auto"/>
          <w:szCs w:val="21"/>
          <w:highlight w:val="none"/>
        </w:rPr>
        <w:t>（</w:t>
      </w:r>
      <w:r>
        <w:rPr>
          <w:rFonts w:hint="eastAsia"/>
          <w:color w:val="auto"/>
          <w:szCs w:val="21"/>
          <w:highlight w:val="none"/>
        </w:rPr>
        <w:t>2</w:t>
      </w:r>
      <w:r>
        <w:rPr>
          <w:color w:val="auto"/>
          <w:szCs w:val="21"/>
          <w:highlight w:val="none"/>
        </w:rPr>
        <w:t>）其它经双方协商认定应另行支付的费用。</w:t>
      </w:r>
    </w:p>
    <w:p w14:paraId="456E5E13">
      <w:pPr>
        <w:rPr>
          <w:rFonts w:ascii="宋体" w:hAnsi="宋体" w:cs="宋体"/>
          <w:b/>
          <w:bCs/>
          <w:color w:val="auto"/>
          <w:szCs w:val="21"/>
          <w:highlight w:val="none"/>
        </w:rPr>
      </w:pPr>
      <w:r>
        <w:rPr>
          <w:rFonts w:hint="eastAsia" w:ascii="宋体" w:hAnsi="宋体" w:cs="宋体"/>
          <w:b/>
          <w:bCs/>
          <w:color w:val="auto"/>
          <w:szCs w:val="21"/>
          <w:highlight w:val="none"/>
        </w:rPr>
        <w:t>第七条 双方的权利义务</w:t>
      </w:r>
    </w:p>
    <w:p w14:paraId="361BE63B">
      <w:pPr>
        <w:ind w:firstLine="411" w:firstLineChars="196"/>
        <w:rPr>
          <w:rFonts w:ascii="宋体" w:hAnsi="宋体" w:cs="宋体"/>
          <w:b/>
          <w:bCs/>
          <w:color w:val="auto"/>
          <w:szCs w:val="21"/>
          <w:highlight w:val="none"/>
        </w:rPr>
      </w:pPr>
      <w:r>
        <w:rPr>
          <w:rFonts w:hint="eastAsia" w:ascii="宋体" w:hAnsi="宋体" w:cs="宋体"/>
          <w:b/>
          <w:color w:val="auto"/>
          <w:szCs w:val="21"/>
          <w:highlight w:val="none"/>
        </w:rPr>
        <w:t>（一）甲方的</w:t>
      </w:r>
      <w:r>
        <w:rPr>
          <w:rFonts w:hint="eastAsia" w:ascii="宋体" w:hAnsi="宋体" w:cs="宋体"/>
          <w:b/>
          <w:bCs/>
          <w:color w:val="auto"/>
          <w:szCs w:val="21"/>
          <w:highlight w:val="none"/>
        </w:rPr>
        <w:t>权利义务</w:t>
      </w:r>
    </w:p>
    <w:p w14:paraId="675C2B6A">
      <w:pPr>
        <w:ind w:firstLine="411" w:firstLineChars="196"/>
        <w:rPr>
          <w:rFonts w:ascii="宋体" w:hAnsi="宋体" w:cs="宋体"/>
          <w:bCs/>
          <w:color w:val="auto"/>
          <w:szCs w:val="21"/>
          <w:highlight w:val="none"/>
        </w:rPr>
      </w:pPr>
      <w:r>
        <w:rPr>
          <w:rFonts w:hint="eastAsia" w:ascii="宋体" w:hAnsi="宋体" w:cs="宋体"/>
          <w:bCs/>
          <w:color w:val="auto"/>
          <w:szCs w:val="21"/>
          <w:highlight w:val="none"/>
        </w:rPr>
        <w:t>甲方的权利：</w:t>
      </w:r>
    </w:p>
    <w:p w14:paraId="18134BD0">
      <w:pPr>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1、有权对乙方的财务进行有效监督，监督外包经费的合理使用。</w:t>
      </w:r>
    </w:p>
    <w:p w14:paraId="0BE0183D">
      <w:pPr>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2、有权审定乙方编制的管理服务、人员编制、费用预算方案。</w:t>
      </w:r>
    </w:p>
    <w:p w14:paraId="57B0182B">
      <w:pPr>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3、有权对乙方管理服务的质量进行督促检查，对不符合质量标准的管理服务有权要求乙方及时整改，对不称职人员有权要求乙方更换。</w:t>
      </w:r>
    </w:p>
    <w:p w14:paraId="61257974">
      <w:pPr>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4、甲方对乙方管理项目的重大事项享有知情权和协调处理的权利。</w:t>
      </w:r>
    </w:p>
    <w:p w14:paraId="7FB704D5">
      <w:pPr>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5、有权监督乙方为本管理项目的人员提供符合武汉市相关规定的薪资和社会保险等。</w:t>
      </w:r>
    </w:p>
    <w:p w14:paraId="21F2AEC1">
      <w:pPr>
        <w:ind w:firstLine="315" w:firstLineChars="150"/>
        <w:jc w:val="left"/>
        <w:rPr>
          <w:rFonts w:ascii="宋体" w:hAnsi="宋体" w:cs="宋体"/>
          <w:color w:val="auto"/>
          <w:szCs w:val="21"/>
          <w:highlight w:val="none"/>
        </w:rPr>
      </w:pPr>
      <w:r>
        <w:rPr>
          <w:rFonts w:hint="eastAsia" w:ascii="宋体" w:hAnsi="宋体" w:cs="宋体"/>
          <w:color w:val="auto"/>
          <w:szCs w:val="21"/>
          <w:highlight w:val="none"/>
        </w:rPr>
        <w:t>6、若乙方在规定时间内未完成项目职责范围内的工作，甲方有权委托第三方完成，相关经费由乙方承担。</w:t>
      </w:r>
    </w:p>
    <w:p w14:paraId="7626ECE4">
      <w:pPr>
        <w:ind w:firstLine="315" w:firstLineChars="150"/>
        <w:jc w:val="left"/>
        <w:rPr>
          <w:rFonts w:ascii="宋体" w:hAnsi="宋体" w:cs="宋体"/>
          <w:color w:val="auto"/>
          <w:szCs w:val="21"/>
          <w:highlight w:val="none"/>
        </w:rPr>
      </w:pPr>
      <w:r>
        <w:rPr>
          <w:rFonts w:hint="eastAsia" w:ascii="宋体" w:hAnsi="宋体" w:cs="宋体"/>
          <w:bCs/>
          <w:color w:val="auto"/>
          <w:szCs w:val="21"/>
          <w:highlight w:val="none"/>
        </w:rPr>
        <w:t>甲方的义务</w:t>
      </w:r>
      <w:r>
        <w:rPr>
          <w:rFonts w:hint="eastAsia" w:ascii="宋体" w:hAnsi="宋体" w:cs="宋体"/>
          <w:color w:val="auto"/>
          <w:szCs w:val="21"/>
          <w:highlight w:val="none"/>
        </w:rPr>
        <w:t>：</w:t>
      </w:r>
    </w:p>
    <w:p w14:paraId="73494392">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1、甲方负责协调乙方日常供水、供电，由于供水、供电部门、政府行为及不可抗力引起的水电供给问题，甲方不承担任何违约责任。</w:t>
      </w:r>
    </w:p>
    <w:p w14:paraId="0EC69F41">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为乙方的管理服务提供必要的工作条件及所必需的相关资料，包括办公用房、设备工具库房（含现有相关工具、物料）等设施和涉及本项目运维管理服务所需的验收图纸、资料等。为乙方的管理服务提供相应的协助和配合。</w:t>
      </w:r>
    </w:p>
    <w:p w14:paraId="6338FBC8">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3、按合同约定的费用及支付方式，按时向乙方支付管理服务费。</w:t>
      </w:r>
    </w:p>
    <w:p w14:paraId="448BA326">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4、按法律规定或经双方商定应由甲方承担的其他责任和义务。</w:t>
      </w:r>
    </w:p>
    <w:p w14:paraId="1D35EDF6">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5、甲方授权后勤管理处代表学校行使甲方权利和义务。</w:t>
      </w:r>
    </w:p>
    <w:p w14:paraId="1B71DB66">
      <w:pPr>
        <w:ind w:firstLine="420" w:firstLineChars="200"/>
        <w:jc w:val="left"/>
        <w:rPr>
          <w:rFonts w:ascii="宋体" w:hAnsi="宋体" w:cs="宋体"/>
          <w:b/>
          <w:bCs/>
          <w:color w:val="auto"/>
          <w:szCs w:val="21"/>
          <w:highlight w:val="none"/>
        </w:rPr>
      </w:pPr>
      <w:r>
        <w:rPr>
          <w:rFonts w:hint="eastAsia" w:ascii="宋体" w:hAnsi="宋体" w:cs="宋体"/>
          <w:b/>
          <w:color w:val="auto"/>
          <w:szCs w:val="21"/>
          <w:highlight w:val="none"/>
        </w:rPr>
        <w:t>（二）乙方的</w:t>
      </w:r>
      <w:r>
        <w:rPr>
          <w:rFonts w:hint="eastAsia" w:ascii="宋体" w:hAnsi="宋体" w:cs="宋体"/>
          <w:b/>
          <w:bCs/>
          <w:color w:val="auto"/>
          <w:szCs w:val="21"/>
          <w:highlight w:val="none"/>
        </w:rPr>
        <w:t>权利义务</w:t>
      </w:r>
    </w:p>
    <w:p w14:paraId="79FAA1C8">
      <w:pPr>
        <w:ind w:firstLine="315" w:firstLineChars="150"/>
        <w:jc w:val="left"/>
        <w:rPr>
          <w:rFonts w:ascii="宋体" w:hAnsi="宋体" w:cs="宋体"/>
          <w:color w:val="auto"/>
          <w:szCs w:val="21"/>
          <w:highlight w:val="none"/>
        </w:rPr>
      </w:pPr>
      <w:r>
        <w:rPr>
          <w:rFonts w:hint="eastAsia" w:ascii="宋体" w:hAnsi="宋体" w:cs="宋体"/>
          <w:color w:val="auto"/>
          <w:szCs w:val="21"/>
          <w:highlight w:val="none"/>
        </w:rPr>
        <w:t>乙方的权利：</w:t>
      </w:r>
    </w:p>
    <w:p w14:paraId="75C6D2B6">
      <w:pPr>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1、守法经营，遵守学校有关规章制度，主动接受学校有关部门的监督、考核。</w:t>
      </w:r>
    </w:p>
    <w:p w14:paraId="70607F1A">
      <w:pPr>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2、保证为从事本管理项目的人员提供符合法律法规规定的薪资，并足额购买符合法律法规规定的各项保险，否则视为违约。</w:t>
      </w:r>
    </w:p>
    <w:p w14:paraId="166730E8">
      <w:pPr>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3、保证合同约定的本项目的人员具备相应的职业资格（专职电工须具备国家相关部门认可并有效的高压电工证）和应有的素质要求，聘用及调整管理人员、技术骨干应及时通报甲方。乙方有义务处理及回复甲方对乙方工作人员的投诉或举报，经甲方考核后认为不称职的在岗人员，乙方应做出调整。</w:t>
      </w:r>
    </w:p>
    <w:p w14:paraId="71084B91">
      <w:pPr>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专职技术人员应满足甲方的技术服务要求，选聘、解聘均需甲方核准。</w:t>
      </w:r>
    </w:p>
    <w:p w14:paraId="5E4456B0">
      <w:pPr>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4、未经甲方书面许可，不能从事与本管理服务项目合同约定以外的任何经营性活动，不得引进任何单位和个人从事经营性活动，不得出租、出借、出让学校任何资产，乙方有义务爱护甲方管辖范围内的各种设施设备，不得阻碍经学校批准的服务项目和活动的实施，否则视为违约。</w:t>
      </w:r>
    </w:p>
    <w:p w14:paraId="70927FEE">
      <w:pPr>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5、合同终止时，乙方应向甲方提交供配电设备设施运行维护管理总结报告；乙方必须在约定时间内按入驻交接时清单内容向甲方移交原委托管理的全部及其各类管理档案、财务等资料；移交本项目的公共财产，包括用管理费、公共收入积累形成的资产（除乙方在管理服务期内积累的办公设备、车辆及其他不影响后期物业正常运行的设备）；根据清单内容核算清楚后，所有移交的内容由双方共同签收后进行移转；全部手续完成后签署物业移交确认书。</w:t>
      </w:r>
    </w:p>
    <w:p w14:paraId="394051E5">
      <w:pPr>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6、乙方所聘用的员工必须符合法律法规所规定的用工规定，保障员工权益不受损害；所产生的劳务和人身伤害等一切纠纷由乙方负责沟通、协调、处置和赔偿，若造成甲方损失的由乙方承担全部责任。</w:t>
      </w:r>
    </w:p>
    <w:p w14:paraId="5EC30A8D">
      <w:pPr>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7、合同终止时，乙方应妥善做好本管理服务项目内乙方聘用员工的合同解除、安置和赔偿工作，所有的责任和相关费用由乙方承担。</w:t>
      </w:r>
    </w:p>
    <w:p w14:paraId="74BD37A6">
      <w:pPr>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8、乙方有义务教育其员工增强消防、安全和治安方面的责任意识及法律意识；本项目管理服务期内乙方员工及财产损失由乙方承担全部责任。</w:t>
      </w:r>
    </w:p>
    <w:p w14:paraId="3CA53701">
      <w:pPr>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9、因乙方工作人员在运维服务中未按照相关规程规范进行操作、维护维修不及时或处理不当，而导致乙方人员人身安全事故或对甲方或第三人的人身安全或财物造成损害的，由乙方承担全部经济、法律责任并负责赔偿相应损失，且甲方有权立即终止合同。</w:t>
      </w:r>
    </w:p>
    <w:p w14:paraId="07474A25">
      <w:pPr>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10、乙方负责配合学校与供电部门进行业务联系并负责及时向学校传达上级供电部门所发布的供电相关信息。</w:t>
      </w:r>
    </w:p>
    <w:p w14:paraId="3DD63F9A">
      <w:pPr>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11、(按投标文件约定)提供全方位视频监控系统，辅助运维管理服务；提供全方位智能门禁系统，辅助运维管理服务。此条按照投标文件内容约定。</w:t>
      </w:r>
    </w:p>
    <w:p w14:paraId="0B1B2CB6">
      <w:pPr>
        <w:ind w:firstLine="315" w:firstLineChars="150"/>
        <w:jc w:val="left"/>
        <w:rPr>
          <w:rFonts w:ascii="宋体" w:hAnsi="宋体" w:cs="宋体"/>
          <w:color w:val="auto"/>
          <w:szCs w:val="21"/>
          <w:highlight w:val="none"/>
        </w:rPr>
      </w:pPr>
      <w:r>
        <w:rPr>
          <w:rFonts w:hint="eastAsia" w:ascii="宋体" w:hAnsi="宋体" w:cs="宋体"/>
          <w:color w:val="auto"/>
          <w:szCs w:val="21"/>
          <w:highlight w:val="none"/>
        </w:rPr>
        <w:t>12、按法律规定或经双方商定应由乙方承担的其他责任和义务。</w:t>
      </w:r>
    </w:p>
    <w:p w14:paraId="2C8EEF3A">
      <w:pPr>
        <w:jc w:val="left"/>
        <w:rPr>
          <w:rFonts w:ascii="宋体" w:hAnsi="宋体" w:cs="宋体"/>
          <w:color w:val="auto"/>
          <w:szCs w:val="21"/>
          <w:highlight w:val="none"/>
        </w:rPr>
      </w:pPr>
      <w:r>
        <w:rPr>
          <w:rFonts w:hint="eastAsia" w:ascii="宋体" w:hAnsi="宋体" w:cs="宋体"/>
          <w:b/>
          <w:color w:val="auto"/>
          <w:szCs w:val="21"/>
          <w:highlight w:val="none"/>
        </w:rPr>
        <w:t xml:space="preserve">第八条 </w:t>
      </w:r>
      <w:r>
        <w:rPr>
          <w:rFonts w:hint="eastAsia" w:ascii="宋体" w:hAnsi="宋体" w:cs="宋体"/>
          <w:b/>
          <w:bCs/>
          <w:color w:val="auto"/>
          <w:szCs w:val="21"/>
          <w:highlight w:val="none"/>
        </w:rPr>
        <w:t>违约责任</w:t>
      </w:r>
    </w:p>
    <w:p w14:paraId="0166E0FE">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（一）乙方按合同约定的质量标准履行管理服务职责且没有违约行为而甲方逾期支付管理服务费用的，除不可抗力外，每逾期一天按每月应付费用金额的万分之三向乙方支付滞纳金。</w:t>
      </w:r>
    </w:p>
    <w:p w14:paraId="074BE387">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（二）经考核，乙方未达到合同约定的质量标准，甲方暂停支付管理服务费，同时要求乙方整改，乙方达到管理服务质量标准后，甲方按照月度考核结果于本季度最后一个月月底前支付相关月份的管理服务费。</w:t>
      </w:r>
    </w:p>
    <w:p w14:paraId="286D3E2E">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三）若乙方有违约行为，甲方在书面通知乙方后有权暂停支付全部或部分管理服务费，同时要求乙方限期整改，乙方在整改期限内达到甲方的整改要求后，甲方再按相关约定支付管理服务费，因违约造成的相关损失由乙方承担。</w:t>
      </w:r>
    </w:p>
    <w:p w14:paraId="40B0FA5F">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（四）月度考核连续两次不合格的，或一年内月度考核三次及以上不合格的，甲方有权单方提前解除合同。</w:t>
      </w:r>
    </w:p>
    <w:p w14:paraId="79E8110C">
      <w:pPr>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五）服务期内因乙方原因导致安全责任事故、对学校声誉造成不良影响的事件或其他违反法律、法规和规章规定的行为的，甲方有权单方解除合同，合同解除以甲方书面通知为准，并根据损失程度要求乙方做出相应赔偿。五年内甲方不得选择乙方提供相关服务。</w:t>
      </w:r>
    </w:p>
    <w:p w14:paraId="18DF33FA">
      <w:pPr>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（六）上述条款结合现场实际情况划定责任界限为准。</w:t>
      </w:r>
    </w:p>
    <w:p w14:paraId="45D9B365">
      <w:pPr>
        <w:adjustRightInd w:val="0"/>
        <w:snapToGrid w:val="0"/>
        <w:rPr>
          <w:rFonts w:ascii="宋体" w:hAnsi="宋体" w:cs="宋体"/>
          <w:color w:val="auto"/>
          <w:szCs w:val="21"/>
          <w:highlight w:val="none"/>
        </w:rPr>
      </w:pPr>
      <w:r>
        <w:rPr>
          <w:rFonts w:hint="eastAsia" w:ascii="宋体" w:hAnsi="宋体" w:cs="宋体"/>
          <w:b/>
          <w:bCs/>
          <w:color w:val="auto"/>
          <w:szCs w:val="21"/>
          <w:highlight w:val="none"/>
        </w:rPr>
        <w:t>第九条 争议解决方式</w:t>
      </w:r>
    </w:p>
    <w:p w14:paraId="2D9A25FE">
      <w:pPr>
        <w:keepNext w:val="0"/>
        <w:keepLines w:val="0"/>
        <w:pageBreakBefore w:val="0"/>
        <w:widowControl w:val="0"/>
        <w:numPr>
          <w:ilvl w:val="0"/>
          <w:numId w:val="0"/>
        </w:numPr>
        <w:tabs>
          <w:tab w:val="left" w:pos="360"/>
        </w:tabs>
        <w:kinsoku/>
        <w:wordWrap/>
        <w:overflowPunct/>
        <w:topLinePunct w:val="0"/>
        <w:autoSpaceDE/>
        <w:autoSpaceDN/>
        <w:bidi w:val="0"/>
        <w:adjustRightInd w:val="0"/>
        <w:snapToGrid w:val="0"/>
        <w:ind w:leftChars="0" w:firstLine="420" w:firstLineChars="200"/>
        <w:textAlignment w:val="auto"/>
        <w:rPr>
          <w:rFonts w:ascii="宋体" w:hAnsi="宋体" w:cs="宋体"/>
          <w:b/>
          <w:bCs/>
          <w:color w:val="auto"/>
          <w:szCs w:val="21"/>
          <w:highlight w:val="none"/>
        </w:rPr>
      </w:pPr>
      <w:r>
        <w:rPr>
          <w:rFonts w:hint="eastAsia" w:ascii="宋体" w:hAnsi="宋体" w:cs="宋体"/>
          <w:color w:val="auto"/>
          <w:szCs w:val="21"/>
          <w:highlight w:val="none"/>
        </w:rPr>
        <w:t>凡因本合同引起或与本合同有关的任何争议，由双方友好协商解决。协商不成，可向合同签订所在地（武汉理工大学</w:t>
      </w:r>
      <w:r>
        <w:rPr>
          <w:rFonts w:hint="eastAsia" w:ascii="宋体" w:hAnsi="宋体" w:cs="宋体"/>
          <w:color w:val="auto"/>
          <w:szCs w:val="21"/>
          <w:highlight w:val="none"/>
          <w:lang w:eastAsia="zh-CN"/>
        </w:rPr>
        <w:t>南湖</w:t>
      </w:r>
      <w:r>
        <w:rPr>
          <w:rFonts w:hint="eastAsia" w:ascii="宋体" w:hAnsi="宋体" w:cs="宋体"/>
          <w:color w:val="auto"/>
          <w:szCs w:val="21"/>
          <w:highlight w:val="none"/>
        </w:rPr>
        <w:t>校区西院）人民法院提起诉讼。</w:t>
      </w:r>
    </w:p>
    <w:p w14:paraId="390D727C">
      <w:pPr>
        <w:numPr>
          <w:ilvl w:val="0"/>
          <w:numId w:val="55"/>
        </w:numPr>
        <w:tabs>
          <w:tab w:val="left" w:pos="360"/>
        </w:tabs>
        <w:adjustRightInd w:val="0"/>
        <w:snapToGrid w:val="0"/>
        <w:rPr>
          <w:rFonts w:ascii="宋体" w:hAnsi="宋体" w:cs="宋体"/>
          <w:b/>
          <w:bCs/>
          <w:color w:val="auto"/>
          <w:szCs w:val="21"/>
          <w:highlight w:val="none"/>
        </w:rPr>
      </w:pPr>
      <w:r>
        <w:rPr>
          <w:rFonts w:hint="eastAsia" w:ascii="宋体" w:hAnsi="宋体" w:cs="宋体"/>
          <w:b/>
          <w:color w:val="auto"/>
          <w:szCs w:val="21"/>
          <w:highlight w:val="none"/>
        </w:rPr>
        <w:t>合同附件</w:t>
      </w:r>
    </w:p>
    <w:p w14:paraId="1EF039BF">
      <w:pPr>
        <w:adjustRightInd w:val="0"/>
        <w:snapToGrid w:val="0"/>
        <w:ind w:firstLine="315" w:firstLineChars="150"/>
        <w:rPr>
          <w:rFonts w:ascii="宋体" w:hAnsi="宋体" w:cs="宋体"/>
          <w:color w:val="auto"/>
          <w:szCs w:val="21"/>
          <w:highlight w:val="none"/>
        </w:rPr>
      </w:pPr>
      <w:r>
        <w:rPr>
          <w:rFonts w:hint="eastAsia" w:ascii="宋体" w:hAnsi="宋体" w:cs="宋体"/>
          <w:color w:val="auto"/>
          <w:szCs w:val="21"/>
          <w:highlight w:val="none"/>
        </w:rPr>
        <w:t>附件</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w:t>
      </w:r>
      <w:r>
        <w:rPr>
          <w:rFonts w:hint="eastAsia" w:ascii="宋体" w:hAnsi="宋体" w:cs="宋体"/>
          <w:color w:val="auto"/>
          <w:szCs w:val="21"/>
          <w:highlight w:val="none"/>
          <w:lang w:eastAsia="zh-CN"/>
        </w:rPr>
        <w:t>南湖校区</w:t>
      </w:r>
      <w:r>
        <w:rPr>
          <w:rFonts w:hint="eastAsia" w:ascii="宋体" w:hAnsi="宋体" w:cs="宋体"/>
          <w:color w:val="auto"/>
          <w:szCs w:val="21"/>
          <w:highlight w:val="none"/>
        </w:rPr>
        <w:t>供配电设备设施运行维护项目的服务标准</w:t>
      </w:r>
    </w:p>
    <w:p w14:paraId="00E41CFF">
      <w:pPr>
        <w:adjustRightInd w:val="0"/>
        <w:snapToGrid w:val="0"/>
        <w:ind w:firstLine="315" w:firstLineChars="150"/>
        <w:rPr>
          <w:rFonts w:ascii="宋体" w:hAnsi="宋体" w:cs="宋体"/>
          <w:color w:val="auto"/>
          <w:szCs w:val="21"/>
          <w:highlight w:val="none"/>
        </w:rPr>
      </w:pPr>
      <w:r>
        <w:rPr>
          <w:rFonts w:hint="eastAsia" w:ascii="宋体" w:hAnsi="宋体" w:cs="宋体"/>
          <w:color w:val="auto"/>
          <w:szCs w:val="21"/>
          <w:highlight w:val="none"/>
        </w:rPr>
        <w:t>附件</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：考核办法</w:t>
      </w:r>
    </w:p>
    <w:p w14:paraId="4A39167D">
      <w:pPr>
        <w:tabs>
          <w:tab w:val="left" w:pos="780"/>
        </w:tabs>
        <w:adjustRightInd w:val="0"/>
        <w:snapToGrid w:val="0"/>
        <w:ind w:firstLine="105" w:firstLineChars="50"/>
        <w:rPr>
          <w:rFonts w:ascii="宋体" w:hAnsi="宋体" w:cs="宋体"/>
          <w:color w:val="auto"/>
          <w:szCs w:val="21"/>
          <w:highlight w:val="none"/>
        </w:rPr>
      </w:pPr>
      <w:r>
        <w:rPr>
          <w:rFonts w:hint="eastAsia" w:ascii="宋体" w:hAnsi="宋体" w:cs="宋体"/>
          <w:color w:val="auto"/>
          <w:szCs w:val="21"/>
          <w:highlight w:val="none"/>
        </w:rPr>
        <w:t>（一）本合同的附件与本合同具有同等法律效力。如合同附件内容同本合同条款有不一致处，以本合同条款为准。</w:t>
      </w:r>
    </w:p>
    <w:p w14:paraId="0B208791">
      <w:pPr>
        <w:tabs>
          <w:tab w:val="left" w:pos="780"/>
        </w:tabs>
        <w:adjustRightInd w:val="0"/>
        <w:snapToGrid w:val="0"/>
        <w:ind w:firstLine="105" w:firstLineChars="50"/>
        <w:rPr>
          <w:rFonts w:ascii="宋体" w:hAnsi="宋体" w:cs="宋体"/>
          <w:color w:val="auto"/>
          <w:szCs w:val="21"/>
          <w:highlight w:val="none"/>
        </w:rPr>
      </w:pPr>
      <w:r>
        <w:rPr>
          <w:rFonts w:hint="eastAsia" w:ascii="宋体" w:hAnsi="宋体" w:cs="宋体"/>
          <w:color w:val="auto"/>
          <w:szCs w:val="21"/>
          <w:highlight w:val="none"/>
        </w:rPr>
        <w:t>（二）对本合同的未尽事宜，可经双方协商一致后另行签署补充协议。补充协议作为本合同的组成部分，与本合同具有同等法律效力。补充协议内容与本合同不一致处，</w:t>
      </w:r>
      <w:r>
        <w:rPr>
          <w:rFonts w:hint="eastAsia" w:ascii="宋体" w:hAnsi="宋体" w:cs="宋体"/>
          <w:color w:val="auto"/>
          <w:szCs w:val="21"/>
          <w:highlight w:val="none"/>
          <w:lang w:val="en-US" w:eastAsia="zh-CN"/>
        </w:rPr>
        <w:t>服</w:t>
      </w:r>
      <w:r>
        <w:rPr>
          <w:rFonts w:hint="eastAsia" w:ascii="宋体" w:hAnsi="宋体" w:cs="宋体"/>
          <w:color w:val="auto"/>
          <w:szCs w:val="21"/>
          <w:highlight w:val="none"/>
        </w:rPr>
        <w:t>从补充协议。</w:t>
      </w:r>
    </w:p>
    <w:p w14:paraId="79FD6F8F">
      <w:pPr>
        <w:adjustRightInd w:val="0"/>
        <w:snapToGrid w:val="0"/>
        <w:rPr>
          <w:rFonts w:ascii="宋体" w:hAnsi="宋体" w:cs="宋体"/>
          <w:color w:val="auto"/>
          <w:szCs w:val="21"/>
          <w:highlight w:val="none"/>
        </w:rPr>
      </w:pPr>
    </w:p>
    <w:p w14:paraId="0AADAF66">
      <w:pPr>
        <w:adjustRightInd w:val="0"/>
        <w:snapToGrid w:val="0"/>
        <w:rPr>
          <w:rFonts w:ascii="宋体" w:hAnsi="宋体" w:cs="宋体"/>
          <w:color w:val="auto"/>
          <w:szCs w:val="21"/>
          <w:highlight w:val="none"/>
        </w:rPr>
      </w:pPr>
      <w:r>
        <w:rPr>
          <w:rFonts w:hint="eastAsia" w:ascii="宋体" w:hAnsi="宋体" w:cs="宋体"/>
          <w:b/>
          <w:color w:val="auto"/>
          <w:szCs w:val="21"/>
          <w:highlight w:val="none"/>
        </w:rPr>
        <w:t>第十一条合同生效</w:t>
      </w:r>
    </w:p>
    <w:p w14:paraId="442E85A4">
      <w:pPr>
        <w:adjustRightInd w:val="0"/>
        <w:snapToGrid w:val="0"/>
        <w:ind w:firstLine="420" w:firstLineChars="200"/>
        <w:rPr>
          <w:rFonts w:ascii="宋体" w:hAnsi="宋体" w:cs="宋体"/>
          <w:color w:val="auto"/>
          <w:szCs w:val="21"/>
          <w:highlight w:val="none"/>
        </w:rPr>
      </w:pPr>
      <w:r>
        <w:rPr>
          <w:rFonts w:hint="eastAsia" w:ascii="宋体" w:hAnsi="宋体" w:cs="宋体"/>
          <w:color w:val="auto"/>
          <w:szCs w:val="21"/>
          <w:highlight w:val="none"/>
        </w:rPr>
        <w:t>本合同签订后经双方签字、盖章后生效。本合同一式捌份，甲乙双方各执肆份，具有同等法律效力。</w:t>
      </w:r>
    </w:p>
    <w:p w14:paraId="47C9B726">
      <w:pPr>
        <w:adjustRightInd w:val="0"/>
        <w:snapToGrid w:val="0"/>
        <w:rPr>
          <w:rFonts w:ascii="宋体" w:hAnsi="宋体" w:cs="宋体"/>
          <w:color w:val="auto"/>
          <w:szCs w:val="21"/>
          <w:highlight w:val="none"/>
        </w:rPr>
      </w:pPr>
    </w:p>
    <w:p w14:paraId="20840D17">
      <w:pPr>
        <w:adjustRightInd w:val="0"/>
        <w:snapToGrid w:val="0"/>
        <w:rPr>
          <w:rFonts w:ascii="宋体" w:hAnsi="宋体" w:cs="宋体"/>
          <w:color w:val="auto"/>
          <w:szCs w:val="21"/>
          <w:highlight w:val="none"/>
        </w:rPr>
      </w:pPr>
      <w:r>
        <w:rPr>
          <w:rFonts w:hint="eastAsia" w:ascii="宋体" w:hAnsi="宋体" w:cs="宋体"/>
          <w:color w:val="auto"/>
          <w:szCs w:val="21"/>
          <w:highlight w:val="none"/>
        </w:rPr>
        <w:t>甲    方：                  乙    方：</w:t>
      </w:r>
    </w:p>
    <w:p w14:paraId="04F6EE7F">
      <w:pPr>
        <w:adjustRightInd w:val="0"/>
        <w:snapToGrid w:val="0"/>
        <w:rPr>
          <w:rFonts w:ascii="宋体" w:hAnsi="宋体" w:cs="宋体"/>
          <w:color w:val="auto"/>
          <w:szCs w:val="21"/>
          <w:highlight w:val="none"/>
        </w:rPr>
      </w:pPr>
      <w:r>
        <w:rPr>
          <w:rFonts w:hint="eastAsia" w:ascii="宋体" w:hAnsi="宋体" w:cs="宋体"/>
          <w:color w:val="auto"/>
          <w:szCs w:val="21"/>
          <w:highlight w:val="none"/>
        </w:rPr>
        <w:t>住    所：                  住    所：</w:t>
      </w:r>
    </w:p>
    <w:p w14:paraId="10282806">
      <w:pPr>
        <w:adjustRightInd w:val="0"/>
        <w:snapToGrid w:val="0"/>
        <w:rPr>
          <w:rFonts w:ascii="宋体" w:hAnsi="宋体" w:cs="宋体"/>
          <w:color w:val="auto"/>
          <w:szCs w:val="21"/>
          <w:highlight w:val="none"/>
        </w:rPr>
      </w:pPr>
      <w:r>
        <w:rPr>
          <w:rFonts w:hint="eastAsia" w:ascii="宋体" w:hAnsi="宋体" w:cs="宋体"/>
          <w:color w:val="auto"/>
          <w:szCs w:val="21"/>
          <w:highlight w:val="none"/>
        </w:rPr>
        <w:t>法定代表人：                  法定代表人：</w:t>
      </w:r>
    </w:p>
    <w:p w14:paraId="6F943642">
      <w:pPr>
        <w:adjustRightInd w:val="0"/>
        <w:snapToGrid w:val="0"/>
        <w:rPr>
          <w:rFonts w:ascii="宋体" w:hAnsi="宋体" w:cs="宋体"/>
          <w:color w:val="auto"/>
          <w:szCs w:val="21"/>
          <w:highlight w:val="none"/>
        </w:rPr>
      </w:pPr>
      <w:r>
        <w:rPr>
          <w:rFonts w:hint="eastAsia" w:ascii="宋体" w:hAnsi="宋体" w:cs="宋体"/>
          <w:color w:val="auto"/>
          <w:szCs w:val="21"/>
          <w:highlight w:val="none"/>
        </w:rPr>
        <w:t>委托代理人：                  委托代理人：</w:t>
      </w:r>
    </w:p>
    <w:p w14:paraId="23F27824">
      <w:pPr>
        <w:adjustRightInd w:val="0"/>
        <w:snapToGrid w:val="0"/>
        <w:rPr>
          <w:rFonts w:ascii="宋体" w:hAnsi="宋体" w:cs="宋体"/>
          <w:color w:val="auto"/>
          <w:szCs w:val="21"/>
          <w:highlight w:val="none"/>
        </w:rPr>
      </w:pPr>
      <w:r>
        <w:rPr>
          <w:rFonts w:hint="eastAsia" w:ascii="宋体" w:hAnsi="宋体" w:cs="宋体"/>
          <w:color w:val="auto"/>
          <w:szCs w:val="21"/>
          <w:highlight w:val="none"/>
        </w:rPr>
        <w:t>电    话：                  电    话：</w:t>
      </w:r>
    </w:p>
    <w:p w14:paraId="27F7C1CA">
      <w:pPr>
        <w:adjustRightInd w:val="0"/>
        <w:snapToGrid w:val="0"/>
        <w:rPr>
          <w:rFonts w:ascii="宋体" w:hAnsi="宋体" w:cs="宋体"/>
          <w:color w:val="auto"/>
          <w:szCs w:val="21"/>
          <w:highlight w:val="none"/>
        </w:rPr>
      </w:pPr>
      <w:r>
        <w:rPr>
          <w:rFonts w:hint="eastAsia" w:ascii="宋体" w:hAnsi="宋体" w:cs="宋体"/>
          <w:color w:val="auto"/>
          <w:szCs w:val="21"/>
          <w:highlight w:val="none"/>
        </w:rPr>
        <w:t>开户银行：                  开户银行：</w:t>
      </w:r>
    </w:p>
    <w:p w14:paraId="66D22B83">
      <w:pPr>
        <w:adjustRightInd w:val="0"/>
        <w:snapToGrid w:val="0"/>
        <w:rPr>
          <w:rFonts w:ascii="宋体" w:hAnsi="宋体" w:cs="宋体"/>
          <w:color w:val="auto"/>
          <w:szCs w:val="21"/>
          <w:highlight w:val="none"/>
        </w:rPr>
      </w:pPr>
      <w:r>
        <w:rPr>
          <w:rFonts w:hint="eastAsia" w:ascii="宋体" w:hAnsi="宋体" w:cs="宋体"/>
          <w:color w:val="auto"/>
          <w:szCs w:val="21"/>
          <w:highlight w:val="none"/>
        </w:rPr>
        <w:t>账    号：                  账    号：</w:t>
      </w:r>
    </w:p>
    <w:p w14:paraId="27DC2538">
      <w:pPr>
        <w:adjustRightInd w:val="0"/>
        <w:snapToGrid w:val="0"/>
        <w:rPr>
          <w:rFonts w:ascii="宋体" w:hAnsi="宋体" w:cs="宋体"/>
          <w:color w:val="auto"/>
          <w:szCs w:val="21"/>
          <w:highlight w:val="none"/>
          <w:u w:val="single"/>
        </w:rPr>
      </w:pPr>
      <w:r>
        <w:rPr>
          <w:rFonts w:hint="eastAsia" w:ascii="宋体" w:hAnsi="宋体" w:cs="宋体"/>
          <w:color w:val="auto"/>
          <w:szCs w:val="21"/>
          <w:highlight w:val="none"/>
        </w:rPr>
        <w:t>邮政编码：                  邮政编码：</w:t>
      </w:r>
    </w:p>
    <w:p w14:paraId="438CAD03">
      <w:pPr>
        <w:rPr>
          <w:rFonts w:ascii="宋体" w:hAnsi="宋体" w:cs="宋体"/>
          <w:color w:val="auto"/>
          <w:szCs w:val="21"/>
          <w:highlight w:val="none"/>
        </w:rPr>
      </w:pPr>
      <w:r>
        <w:rPr>
          <w:rFonts w:hint="eastAsia" w:ascii="宋体" w:hAnsi="宋体" w:cs="宋体"/>
          <w:color w:val="auto"/>
          <w:szCs w:val="21"/>
          <w:highlight w:val="none"/>
        </w:rPr>
        <w:t>签订时间：年  月日                  签订时间：年月日</w:t>
      </w:r>
    </w:p>
    <w:p w14:paraId="06D61380">
      <w:pPr>
        <w:spacing w:line="360" w:lineRule="auto"/>
        <w:rPr>
          <w:rFonts w:ascii="宋体" w:hAnsi="宋体" w:cs="宋体"/>
          <w:color w:val="auto"/>
          <w:sz w:val="24"/>
          <w:highlight w:val="none"/>
        </w:rPr>
      </w:pPr>
    </w:p>
    <w:p w14:paraId="55533DE5">
      <w:pPr>
        <w:spacing w:line="360" w:lineRule="auto"/>
        <w:rPr>
          <w:rFonts w:ascii="宋体" w:hAnsi="宋体" w:cs="宋体"/>
          <w:color w:val="auto"/>
          <w:sz w:val="24"/>
          <w:highlight w:val="none"/>
        </w:rPr>
      </w:pPr>
    </w:p>
    <w:p w14:paraId="6A9D55BB">
      <w:pPr>
        <w:spacing w:line="360" w:lineRule="auto"/>
        <w:rPr>
          <w:rFonts w:ascii="宋体" w:hAnsi="宋体" w:cs="宋体"/>
          <w:color w:val="auto"/>
          <w:sz w:val="24"/>
          <w:highlight w:val="none"/>
        </w:rPr>
        <w:sectPr>
          <w:footerReference r:id="rId4" w:type="default"/>
          <w:pgSz w:w="11906" w:h="16838"/>
          <w:pgMar w:top="1134" w:right="1418" w:bottom="1134" w:left="1418" w:header="851" w:footer="992" w:gutter="0"/>
          <w:pgNumType w:fmt="numberInDash" w:start="1"/>
          <w:cols w:space="720" w:num="1"/>
          <w:docGrid w:type="linesAndChars" w:linePitch="312" w:charSpace="0"/>
        </w:sectPr>
      </w:pPr>
    </w:p>
    <w:p w14:paraId="5DB6CCF2">
      <w:pPr>
        <w:adjustRightInd w:val="0"/>
        <w:snapToGrid w:val="0"/>
        <w:spacing w:line="360" w:lineRule="auto"/>
        <w:rPr>
          <w:rFonts w:ascii="宋体" w:hAnsi="宋体" w:cs="宋体"/>
          <w:b/>
          <w:color w:val="auto"/>
          <w:sz w:val="24"/>
          <w:highlight w:val="none"/>
        </w:rPr>
      </w:pPr>
      <w:bookmarkStart w:id="113" w:name="_Toc477275854"/>
      <w:r>
        <w:rPr>
          <w:rFonts w:hint="eastAsia" w:ascii="宋体" w:hAnsi="宋体" w:cs="宋体"/>
          <w:b/>
          <w:color w:val="auto"/>
          <w:sz w:val="24"/>
          <w:highlight w:val="none"/>
        </w:rPr>
        <w:t>附件3：</w:t>
      </w:r>
      <w:r>
        <w:rPr>
          <w:rFonts w:hint="eastAsia" w:ascii="宋体" w:hAnsi="宋体" w:cs="宋体"/>
          <w:b/>
          <w:color w:val="auto"/>
          <w:sz w:val="24"/>
          <w:highlight w:val="none"/>
          <w:lang w:eastAsia="zh-CN"/>
        </w:rPr>
        <w:t>南湖校区</w:t>
      </w:r>
      <w:r>
        <w:rPr>
          <w:rFonts w:hint="eastAsia" w:ascii="宋体" w:hAnsi="宋体" w:cs="宋体"/>
          <w:b/>
          <w:color w:val="auto"/>
          <w:sz w:val="24"/>
          <w:highlight w:val="none"/>
        </w:rPr>
        <w:t>供配电设备设施运维服务项目的服务标准</w:t>
      </w:r>
      <w:bookmarkEnd w:id="113"/>
    </w:p>
    <w:p w14:paraId="48E149A3">
      <w:pPr>
        <w:widowControl/>
        <w:spacing w:line="360" w:lineRule="auto"/>
        <w:ind w:firstLine="480" w:firstLineChars="200"/>
        <w:jc w:val="center"/>
        <w:rPr>
          <w:rFonts w:ascii="宋体" w:hAnsi="宋体" w:cs="宋体"/>
          <w:b/>
          <w:color w:val="auto"/>
          <w:kern w:val="0"/>
          <w:sz w:val="24"/>
          <w:highlight w:val="none"/>
        </w:rPr>
      </w:pPr>
    </w:p>
    <w:p w14:paraId="05D2D75F">
      <w:pPr>
        <w:spacing w:line="360" w:lineRule="auto"/>
        <w:jc w:val="left"/>
        <w:rPr>
          <w:b/>
          <w:color w:val="auto"/>
          <w:kern w:val="0"/>
          <w:szCs w:val="21"/>
          <w:highlight w:val="none"/>
        </w:rPr>
      </w:pPr>
      <w:r>
        <w:rPr>
          <w:rFonts w:hint="eastAsia"/>
          <w:b/>
          <w:color w:val="auto"/>
          <w:kern w:val="0"/>
          <w:szCs w:val="21"/>
          <w:highlight w:val="none"/>
        </w:rPr>
        <w:t>一、</w:t>
      </w:r>
      <w:r>
        <w:rPr>
          <w:b/>
          <w:color w:val="auto"/>
          <w:kern w:val="0"/>
          <w:szCs w:val="21"/>
          <w:highlight w:val="none"/>
        </w:rPr>
        <w:t>服务</w:t>
      </w:r>
      <w:r>
        <w:rPr>
          <w:rFonts w:hint="eastAsia"/>
          <w:b/>
          <w:color w:val="auto"/>
          <w:kern w:val="0"/>
          <w:szCs w:val="21"/>
          <w:highlight w:val="none"/>
        </w:rPr>
        <w:t>项目</w:t>
      </w:r>
    </w:p>
    <w:p w14:paraId="049D133C">
      <w:pPr>
        <w:spacing w:line="360" w:lineRule="auto"/>
        <w:ind w:firstLine="420" w:firstLineChars="200"/>
        <w:rPr>
          <w:rFonts w:hint="eastAsia" w:ascii="宋体" w:hAnsi="宋体" w:cs="宋体" w:eastAsiaTheme="minorEastAsia"/>
          <w:color w:val="auto"/>
          <w:szCs w:val="21"/>
          <w:highlight w:val="none"/>
          <w:lang w:eastAsia="zh-CN"/>
        </w:rPr>
      </w:pPr>
      <w:r>
        <w:rPr>
          <w:rFonts w:hint="eastAsia"/>
          <w:color w:val="auto"/>
          <w:szCs w:val="21"/>
          <w:highlight w:val="none"/>
          <w:lang w:eastAsia="zh-CN"/>
        </w:rPr>
        <w:t>南湖校区</w:t>
      </w:r>
      <w:r>
        <w:rPr>
          <w:rFonts w:hint="eastAsia"/>
          <w:color w:val="auto"/>
          <w:szCs w:val="21"/>
          <w:highlight w:val="none"/>
        </w:rPr>
        <w:t>供配电设备设施运维服务项目</w:t>
      </w:r>
      <w:r>
        <w:rPr>
          <w:rFonts w:hint="eastAsia" w:ascii="宋体" w:hAnsi="宋体" w:cs="宋体"/>
          <w:color w:val="auto"/>
          <w:szCs w:val="21"/>
          <w:highlight w:val="none"/>
        </w:rPr>
        <w:t>包含</w:t>
      </w:r>
      <w:r>
        <w:rPr>
          <w:rFonts w:hint="eastAsia" w:ascii="宋体" w:hAnsi="宋体" w:cs="宋体"/>
          <w:color w:val="auto"/>
          <w:szCs w:val="21"/>
          <w:highlight w:val="none"/>
          <w:lang w:eastAsia="zh-CN"/>
        </w:rPr>
        <w:t>南湖校区</w:t>
      </w:r>
      <w:r>
        <w:rPr>
          <w:rFonts w:hint="eastAsia" w:ascii="宋体" w:hAnsi="宋体" w:cs="宋体"/>
          <w:color w:val="auto"/>
          <w:szCs w:val="21"/>
          <w:highlight w:val="none"/>
        </w:rPr>
        <w:t>校区所有供配电设备设施。本次招标服务范围为：</w:t>
      </w:r>
      <w:r>
        <w:rPr>
          <w:rFonts w:hint="eastAsia" w:ascii="宋体" w:hAnsi="宋体" w:cs="宋体"/>
          <w:color w:val="auto"/>
          <w:szCs w:val="21"/>
          <w:highlight w:val="none"/>
          <w:u w:val="single"/>
        </w:rPr>
        <w:t>110KV变电站2座，配电房（室）17座、开闭所2座、10KV环网箱5座、箱式变电站45座、电缆沟约8000米</w:t>
      </w:r>
      <w:r>
        <w:rPr>
          <w:rFonts w:hint="eastAsia" w:ascii="宋体" w:hAnsi="宋体" w:cs="宋体"/>
          <w:color w:val="auto"/>
          <w:szCs w:val="21"/>
          <w:highlight w:val="none"/>
          <w:u w:val="single"/>
          <w:lang w:eastAsia="zh-CN"/>
        </w:rPr>
        <w:t>。</w:t>
      </w:r>
    </w:p>
    <w:p w14:paraId="18F78F5C">
      <w:pPr>
        <w:spacing w:line="360" w:lineRule="auto"/>
        <w:ind w:firstLine="420" w:firstLineChars="200"/>
        <w:rPr>
          <w:rFonts w:cs="宋体"/>
          <w:b/>
          <w:bCs/>
          <w:color w:val="auto"/>
          <w:szCs w:val="21"/>
          <w:highlight w:val="none"/>
        </w:rPr>
      </w:pPr>
      <w:r>
        <w:rPr>
          <w:rFonts w:hint="eastAsia" w:cs="宋体"/>
          <w:color w:val="auto"/>
          <w:szCs w:val="21"/>
          <w:highlight w:val="none"/>
        </w:rPr>
        <w:t>服务方需要配合的内容：</w:t>
      </w:r>
      <w:r>
        <w:rPr>
          <w:rFonts w:hint="eastAsia" w:ascii="宋体" w:hAnsi="宋体" w:cs="Times New Roman"/>
          <w:color w:val="auto"/>
          <w:szCs w:val="24"/>
          <w:highlight w:val="none"/>
          <w:u w:val="single"/>
        </w:rPr>
        <w:t>1.值守配电房：24小时双岗值班、预防性试验（2年1次）</w:t>
      </w:r>
      <w:r>
        <w:rPr>
          <w:rFonts w:hint="eastAsia" w:ascii="宋体" w:hAnsi="宋体" w:cs="Times New Roman"/>
          <w:color w:val="auto"/>
          <w:szCs w:val="24"/>
          <w:highlight w:val="none"/>
          <w:u w:val="single"/>
          <w:lang w:eastAsia="zh-CN"/>
        </w:rPr>
        <w:t>、</w:t>
      </w:r>
      <w:r>
        <w:rPr>
          <w:rFonts w:hint="eastAsia" w:ascii="宋体" w:hAnsi="宋体" w:cs="Times New Roman"/>
          <w:color w:val="auto"/>
          <w:szCs w:val="24"/>
          <w:highlight w:val="none"/>
          <w:u w:val="single"/>
        </w:rPr>
        <w:t>设备日常维护、安全管理、资产管理、环境卫生、小额维修（材料费1000元以下）、配合停送电、停电应急处置等；2.无人值守配电房（室）、开闭所、箱变：每天巡查1次及以上、设备日常维护、安全管理、资产管理、环境卫生、小额维修（材料费1000元以下）、配合停送电、停电应急处置等；3.室外电缆沟：每天巡查1次及以上、配合停送电、停电应急处置等；4.其他：重大活动保障、配合基建维修施工（含高压定值系统维护）、提供供电应急抢修支援、提供供电技术咨询</w:t>
      </w:r>
      <w:r>
        <w:rPr>
          <w:rFonts w:hint="eastAsia" w:ascii="宋体" w:hAnsi="宋体" w:cs="Times New Roman"/>
          <w:color w:val="auto"/>
          <w:szCs w:val="24"/>
          <w:highlight w:val="none"/>
          <w:u w:val="single"/>
          <w:lang w:eastAsia="zh-CN"/>
        </w:rPr>
        <w:t>、配合甲方进行线路检查</w:t>
      </w:r>
      <w:r>
        <w:rPr>
          <w:rFonts w:hint="eastAsia" w:ascii="宋体" w:hAnsi="宋体" w:cs="Times New Roman"/>
          <w:color w:val="auto"/>
          <w:szCs w:val="24"/>
          <w:highlight w:val="none"/>
          <w:u w:val="single"/>
        </w:rPr>
        <w:t>等。</w:t>
      </w:r>
    </w:p>
    <w:p w14:paraId="6C43767D">
      <w:pPr>
        <w:spacing w:line="360" w:lineRule="auto"/>
        <w:jc w:val="left"/>
        <w:rPr>
          <w:b/>
          <w:color w:val="auto"/>
          <w:kern w:val="0"/>
          <w:szCs w:val="21"/>
          <w:highlight w:val="none"/>
        </w:rPr>
      </w:pPr>
      <w:r>
        <w:rPr>
          <w:rFonts w:hint="eastAsia"/>
          <w:b/>
          <w:color w:val="auto"/>
          <w:kern w:val="0"/>
          <w:szCs w:val="21"/>
          <w:highlight w:val="none"/>
        </w:rPr>
        <w:t>二、服务</w:t>
      </w:r>
      <w:r>
        <w:rPr>
          <w:b/>
          <w:color w:val="auto"/>
          <w:kern w:val="0"/>
          <w:szCs w:val="21"/>
          <w:highlight w:val="none"/>
        </w:rPr>
        <w:t>标准</w:t>
      </w:r>
    </w:p>
    <w:p w14:paraId="732590D8">
      <w:pPr>
        <w:spacing w:line="360" w:lineRule="auto"/>
        <w:ind w:firstLine="420" w:firstLineChars="200"/>
        <w:rPr>
          <w:b/>
          <w:color w:val="auto"/>
          <w:szCs w:val="21"/>
          <w:highlight w:val="none"/>
        </w:rPr>
      </w:pPr>
      <w:bookmarkStart w:id="114" w:name="_Toc444072578"/>
      <w:bookmarkStart w:id="115" w:name="_Toc446925786"/>
      <w:r>
        <w:rPr>
          <w:rFonts w:hint="eastAsia"/>
          <w:b/>
          <w:color w:val="auto"/>
          <w:szCs w:val="21"/>
          <w:highlight w:val="none"/>
        </w:rPr>
        <w:t>（一）运维服务工作</w:t>
      </w:r>
    </w:p>
    <w:p w14:paraId="03329CFE">
      <w:pPr>
        <w:spacing w:line="360" w:lineRule="auto"/>
        <w:ind w:firstLine="420" w:firstLineChars="200"/>
        <w:rPr>
          <w:b/>
          <w:color w:val="auto"/>
          <w:szCs w:val="21"/>
          <w:highlight w:val="none"/>
        </w:rPr>
      </w:pPr>
      <w:r>
        <w:rPr>
          <w:rFonts w:hint="eastAsia"/>
          <w:b/>
          <w:color w:val="auto"/>
          <w:szCs w:val="21"/>
          <w:highlight w:val="none"/>
        </w:rPr>
        <w:t>1、</w:t>
      </w:r>
      <w:r>
        <w:rPr>
          <w:b/>
          <w:color w:val="auto"/>
          <w:szCs w:val="21"/>
          <w:highlight w:val="none"/>
        </w:rPr>
        <w:t>协调与配合</w:t>
      </w:r>
      <w:bookmarkEnd w:id="114"/>
      <w:bookmarkEnd w:id="115"/>
    </w:p>
    <w:p w14:paraId="47BD6CC0">
      <w:pPr>
        <w:tabs>
          <w:tab w:val="left" w:pos="851"/>
        </w:tabs>
        <w:snapToGrid w:val="0"/>
        <w:spacing w:line="360" w:lineRule="auto"/>
        <w:ind w:firstLine="420" w:firstLineChars="200"/>
        <w:contextualSpacing/>
        <w:jc w:val="left"/>
        <w:rPr>
          <w:color w:val="auto"/>
          <w:szCs w:val="21"/>
          <w:highlight w:val="none"/>
        </w:rPr>
      </w:pPr>
      <w:r>
        <w:rPr>
          <w:color w:val="auto"/>
          <w:szCs w:val="21"/>
          <w:highlight w:val="none"/>
        </w:rPr>
        <w:t>（1）负责协调送、停电和维护的联系工作；</w:t>
      </w:r>
    </w:p>
    <w:p w14:paraId="4901EF99">
      <w:pPr>
        <w:tabs>
          <w:tab w:val="left" w:pos="851"/>
        </w:tabs>
        <w:snapToGrid w:val="0"/>
        <w:spacing w:line="360" w:lineRule="auto"/>
        <w:ind w:firstLine="420" w:firstLineChars="200"/>
        <w:contextualSpacing/>
        <w:jc w:val="left"/>
        <w:rPr>
          <w:rFonts w:hint="eastAsia"/>
          <w:color w:val="auto"/>
          <w:szCs w:val="21"/>
          <w:highlight w:val="none"/>
        </w:rPr>
      </w:pPr>
      <w:r>
        <w:rPr>
          <w:color w:val="auto"/>
          <w:szCs w:val="21"/>
          <w:highlight w:val="none"/>
        </w:rPr>
        <w:t>（</w:t>
      </w:r>
      <w:r>
        <w:rPr>
          <w:rFonts w:hint="eastAsia"/>
          <w:color w:val="auto"/>
          <w:szCs w:val="21"/>
          <w:highlight w:val="none"/>
        </w:rPr>
        <w:t>2</w:t>
      </w:r>
      <w:r>
        <w:rPr>
          <w:color w:val="auto"/>
          <w:szCs w:val="21"/>
          <w:highlight w:val="none"/>
        </w:rPr>
        <w:t>）负</w:t>
      </w:r>
      <w:bookmarkStart w:id="116" w:name="_Toc444072579"/>
      <w:bookmarkStart w:id="117" w:name="_Toc446925787"/>
      <w:r>
        <w:rPr>
          <w:color w:val="auto"/>
          <w:szCs w:val="21"/>
          <w:highlight w:val="none"/>
        </w:rPr>
        <w:t>责联系协调和组织有关技术力量进行设备、系统故障的分析与排除工作</w:t>
      </w:r>
      <w:r>
        <w:rPr>
          <w:rFonts w:hint="eastAsia"/>
          <w:color w:val="auto"/>
          <w:szCs w:val="21"/>
          <w:highlight w:val="none"/>
        </w:rPr>
        <w:t>。</w:t>
      </w:r>
    </w:p>
    <w:p w14:paraId="3EDDCD3A">
      <w:pPr>
        <w:spacing w:line="360" w:lineRule="auto"/>
        <w:ind w:firstLine="420" w:firstLineChars="200"/>
        <w:rPr>
          <w:rFonts w:hint="eastAsia"/>
          <w:b/>
          <w:color w:val="auto"/>
          <w:szCs w:val="21"/>
          <w:highlight w:val="none"/>
          <w:lang w:eastAsia="zh-CN"/>
        </w:rPr>
      </w:pPr>
      <w:r>
        <w:rPr>
          <w:rFonts w:hint="eastAsia"/>
          <w:b/>
          <w:color w:val="auto"/>
          <w:szCs w:val="21"/>
          <w:highlight w:val="none"/>
        </w:rPr>
        <w:t>2、</w:t>
      </w:r>
      <w:r>
        <w:rPr>
          <w:rFonts w:hint="eastAsia"/>
          <w:b/>
          <w:color w:val="auto"/>
          <w:szCs w:val="21"/>
          <w:highlight w:val="none"/>
          <w:lang w:val="en"/>
        </w:rPr>
        <w:t>相关国家标准、行业标准</w:t>
      </w:r>
    </w:p>
    <w:p w14:paraId="1EC6DC29">
      <w:pPr>
        <w:tabs>
          <w:tab w:val="left" w:pos="851"/>
        </w:tabs>
        <w:snapToGrid w:val="0"/>
        <w:spacing w:line="360" w:lineRule="auto"/>
        <w:ind w:firstLine="420" w:firstLineChars="200"/>
        <w:contextualSpacing/>
        <w:jc w:val="left"/>
        <w:rPr>
          <w:rFonts w:hint="eastAsia"/>
          <w:color w:val="auto"/>
          <w:szCs w:val="21"/>
          <w:highlight w:val="none"/>
        </w:rPr>
      </w:pPr>
      <w:r>
        <w:rPr>
          <w:rFonts w:hint="eastAsia"/>
          <w:color w:val="auto"/>
          <w:szCs w:val="21"/>
          <w:highlight w:val="none"/>
        </w:rPr>
        <w:t>GB/T 37136-2018 电力用户供配电设施运行维护规范</w:t>
      </w:r>
    </w:p>
    <w:p w14:paraId="3CAC41DA">
      <w:pPr>
        <w:tabs>
          <w:tab w:val="left" w:pos="851"/>
        </w:tabs>
        <w:snapToGrid w:val="0"/>
        <w:spacing w:line="360" w:lineRule="auto"/>
        <w:ind w:firstLine="420" w:firstLineChars="200"/>
        <w:contextualSpacing/>
        <w:jc w:val="left"/>
        <w:rPr>
          <w:rFonts w:hint="eastAsia"/>
          <w:color w:val="auto"/>
          <w:szCs w:val="21"/>
          <w:highlight w:val="none"/>
        </w:rPr>
      </w:pPr>
      <w:r>
        <w:rPr>
          <w:rFonts w:hint="eastAsia"/>
          <w:color w:val="auto"/>
          <w:szCs w:val="21"/>
          <w:highlight w:val="none"/>
        </w:rPr>
        <w:t>GB/T 13869</w:t>
      </w:r>
      <w:r>
        <w:rPr>
          <w:rFonts w:hint="eastAsia"/>
          <w:color w:val="auto"/>
          <w:szCs w:val="21"/>
          <w:highlight w:val="none"/>
          <w:lang w:val="en-US" w:eastAsia="zh-CN"/>
        </w:rPr>
        <w:t>-2017</w:t>
      </w:r>
      <w:r>
        <w:rPr>
          <w:rFonts w:hint="eastAsia"/>
          <w:color w:val="auto"/>
          <w:szCs w:val="21"/>
          <w:highlight w:val="none"/>
        </w:rPr>
        <w:t xml:space="preserve"> 用电安全导则</w:t>
      </w:r>
    </w:p>
    <w:p w14:paraId="70333FC3">
      <w:pPr>
        <w:tabs>
          <w:tab w:val="left" w:pos="851"/>
        </w:tabs>
        <w:snapToGrid w:val="0"/>
        <w:spacing w:line="360" w:lineRule="auto"/>
        <w:ind w:firstLine="420" w:firstLineChars="200"/>
        <w:contextualSpacing/>
        <w:jc w:val="left"/>
        <w:rPr>
          <w:rFonts w:hint="eastAsia"/>
          <w:color w:val="auto"/>
          <w:szCs w:val="21"/>
          <w:highlight w:val="none"/>
          <w:lang w:val="en-US" w:eastAsia="zh-CN"/>
        </w:rPr>
      </w:pPr>
      <w:r>
        <w:rPr>
          <w:rFonts w:hint="eastAsia"/>
          <w:color w:val="auto"/>
          <w:szCs w:val="21"/>
          <w:highlight w:val="none"/>
        </w:rPr>
        <w:t>GB/T 32893-2016</w:t>
      </w:r>
      <w:r>
        <w:rPr>
          <w:rFonts w:hint="eastAsia"/>
          <w:color w:val="auto"/>
          <w:szCs w:val="21"/>
          <w:highlight w:val="none"/>
          <w:lang w:val="en-US" w:eastAsia="zh-CN"/>
        </w:rPr>
        <w:t xml:space="preserve"> 10kV及以上电力用户变电站运行管理规范</w:t>
      </w:r>
    </w:p>
    <w:p w14:paraId="5EB08A9C">
      <w:pPr>
        <w:tabs>
          <w:tab w:val="left" w:pos="851"/>
        </w:tabs>
        <w:snapToGrid w:val="0"/>
        <w:spacing w:line="360" w:lineRule="auto"/>
        <w:ind w:firstLine="420" w:firstLineChars="200"/>
        <w:contextualSpacing/>
        <w:jc w:val="left"/>
        <w:rPr>
          <w:rFonts w:hint="eastAsia"/>
          <w:color w:val="auto"/>
          <w:szCs w:val="21"/>
          <w:highlight w:val="none"/>
          <w:lang w:val="en-US" w:eastAsia="zh-CN"/>
        </w:rPr>
      </w:pPr>
      <w:r>
        <w:rPr>
          <w:rFonts w:hint="eastAsia"/>
          <w:color w:val="auto"/>
          <w:szCs w:val="21"/>
          <w:highlight w:val="none"/>
          <w:lang w:val="en-US" w:eastAsia="zh-CN"/>
        </w:rPr>
        <w:t>GB 26859-2011 电力安全工作规程 电力线路部分</w:t>
      </w:r>
    </w:p>
    <w:p w14:paraId="55FECB1B">
      <w:pPr>
        <w:tabs>
          <w:tab w:val="left" w:pos="851"/>
        </w:tabs>
        <w:snapToGrid w:val="0"/>
        <w:spacing w:line="360" w:lineRule="auto"/>
        <w:ind w:firstLine="420" w:firstLineChars="200"/>
        <w:contextualSpacing/>
        <w:jc w:val="left"/>
        <w:rPr>
          <w:rFonts w:hint="eastAsia"/>
          <w:color w:val="auto"/>
          <w:szCs w:val="21"/>
          <w:highlight w:val="none"/>
          <w:lang w:val="en-US" w:eastAsia="zh-CN"/>
        </w:rPr>
      </w:pPr>
      <w:r>
        <w:rPr>
          <w:rFonts w:hint="eastAsia"/>
          <w:color w:val="auto"/>
          <w:szCs w:val="21"/>
          <w:highlight w:val="none"/>
          <w:lang w:val="en-US" w:eastAsia="zh-CN"/>
        </w:rPr>
        <w:t>GB 26860-2011 电力安全工作规程 发电厂和变电站电气部分</w:t>
      </w:r>
    </w:p>
    <w:p w14:paraId="5C2B9A53">
      <w:pPr>
        <w:tabs>
          <w:tab w:val="left" w:pos="851"/>
        </w:tabs>
        <w:snapToGrid w:val="0"/>
        <w:spacing w:line="360" w:lineRule="auto"/>
        <w:ind w:firstLine="420" w:firstLineChars="200"/>
        <w:contextualSpacing/>
        <w:jc w:val="left"/>
        <w:rPr>
          <w:rFonts w:hint="eastAsia"/>
          <w:color w:val="auto"/>
          <w:szCs w:val="21"/>
          <w:highlight w:val="none"/>
        </w:rPr>
      </w:pPr>
      <w:r>
        <w:rPr>
          <w:rFonts w:hint="eastAsia"/>
          <w:color w:val="auto"/>
          <w:szCs w:val="21"/>
          <w:highlight w:val="none"/>
        </w:rPr>
        <w:t>DL/T 393-2021 输变电设备状态检修试验规程</w:t>
      </w:r>
    </w:p>
    <w:p w14:paraId="023DCDC9">
      <w:pPr>
        <w:tabs>
          <w:tab w:val="left" w:pos="851"/>
        </w:tabs>
        <w:snapToGrid w:val="0"/>
        <w:spacing w:line="360" w:lineRule="auto"/>
        <w:ind w:firstLine="420" w:firstLineChars="200"/>
        <w:contextualSpacing/>
        <w:jc w:val="left"/>
        <w:rPr>
          <w:rFonts w:hint="eastAsia"/>
          <w:color w:val="auto"/>
          <w:szCs w:val="21"/>
          <w:highlight w:val="none"/>
        </w:rPr>
      </w:pPr>
      <w:r>
        <w:rPr>
          <w:rFonts w:hint="eastAsia"/>
          <w:color w:val="auto"/>
          <w:szCs w:val="21"/>
          <w:highlight w:val="none"/>
        </w:rPr>
        <w:t>DL/T 572 电力变压器运行规程</w:t>
      </w:r>
    </w:p>
    <w:p w14:paraId="797BC298">
      <w:pPr>
        <w:tabs>
          <w:tab w:val="left" w:pos="851"/>
        </w:tabs>
        <w:snapToGrid w:val="0"/>
        <w:spacing w:line="360" w:lineRule="auto"/>
        <w:ind w:firstLine="420" w:firstLineChars="200"/>
        <w:contextualSpacing/>
        <w:jc w:val="left"/>
        <w:rPr>
          <w:rFonts w:hint="eastAsia"/>
          <w:color w:val="auto"/>
          <w:szCs w:val="21"/>
          <w:highlight w:val="none"/>
        </w:rPr>
      </w:pPr>
      <w:r>
        <w:rPr>
          <w:rFonts w:hint="eastAsia"/>
          <w:color w:val="auto"/>
          <w:szCs w:val="21"/>
          <w:highlight w:val="none"/>
        </w:rPr>
        <w:t>DL/T 596-2021 电力设备预防性试验规程</w:t>
      </w:r>
    </w:p>
    <w:p w14:paraId="6F0D1CCC">
      <w:pPr>
        <w:tabs>
          <w:tab w:val="left" w:pos="851"/>
        </w:tabs>
        <w:snapToGrid w:val="0"/>
        <w:spacing w:line="360" w:lineRule="auto"/>
        <w:ind w:firstLine="420" w:firstLineChars="200"/>
        <w:contextualSpacing/>
        <w:jc w:val="left"/>
        <w:rPr>
          <w:rFonts w:hint="eastAsia"/>
          <w:color w:val="auto"/>
          <w:szCs w:val="21"/>
          <w:highlight w:val="none"/>
        </w:rPr>
      </w:pPr>
      <w:r>
        <w:rPr>
          <w:rFonts w:hint="eastAsia"/>
          <w:color w:val="auto"/>
          <w:szCs w:val="21"/>
          <w:highlight w:val="none"/>
        </w:rPr>
        <w:t>DL/T 969-2005 变电站运行导则</w:t>
      </w:r>
    </w:p>
    <w:p w14:paraId="49E531ED">
      <w:pPr>
        <w:tabs>
          <w:tab w:val="left" w:pos="851"/>
        </w:tabs>
        <w:snapToGrid w:val="0"/>
        <w:spacing w:line="360" w:lineRule="auto"/>
        <w:ind w:firstLine="420" w:firstLineChars="200"/>
        <w:contextualSpacing/>
        <w:jc w:val="left"/>
        <w:rPr>
          <w:rFonts w:hint="eastAsia"/>
          <w:color w:val="auto"/>
          <w:szCs w:val="21"/>
          <w:highlight w:val="none"/>
        </w:rPr>
      </w:pPr>
      <w:r>
        <w:rPr>
          <w:rFonts w:hint="eastAsia"/>
          <w:color w:val="auto"/>
          <w:szCs w:val="21"/>
          <w:highlight w:val="none"/>
        </w:rPr>
        <w:t>DL/T 1253-2013 电力电缆线路运行规程</w:t>
      </w:r>
    </w:p>
    <w:p w14:paraId="7A9ACC6D">
      <w:pPr>
        <w:tabs>
          <w:tab w:val="left" w:pos="851"/>
        </w:tabs>
        <w:snapToGrid w:val="0"/>
        <w:spacing w:line="360" w:lineRule="auto"/>
        <w:ind w:firstLine="420" w:firstLineChars="200"/>
        <w:contextualSpacing/>
        <w:jc w:val="left"/>
        <w:rPr>
          <w:rFonts w:hint="eastAsia"/>
          <w:color w:val="auto"/>
          <w:szCs w:val="21"/>
          <w:highlight w:val="none"/>
        </w:rPr>
      </w:pPr>
      <w:r>
        <w:rPr>
          <w:rFonts w:hint="eastAsia"/>
          <w:color w:val="auto"/>
          <w:szCs w:val="21"/>
          <w:highlight w:val="none"/>
        </w:rPr>
        <w:t>DL/T 1475-2015 电力安全工器具配置与存放技术要求</w:t>
      </w:r>
    </w:p>
    <w:p w14:paraId="20758EE7">
      <w:pPr>
        <w:tabs>
          <w:tab w:val="left" w:pos="851"/>
        </w:tabs>
        <w:snapToGrid w:val="0"/>
        <w:spacing w:line="360" w:lineRule="auto"/>
        <w:ind w:firstLine="420" w:firstLineChars="200"/>
        <w:contextualSpacing/>
        <w:jc w:val="left"/>
        <w:rPr>
          <w:rFonts w:hint="eastAsia"/>
          <w:color w:val="auto"/>
          <w:szCs w:val="21"/>
          <w:highlight w:val="none"/>
        </w:rPr>
      </w:pPr>
      <w:r>
        <w:rPr>
          <w:rFonts w:hint="eastAsia"/>
          <w:color w:val="auto"/>
          <w:szCs w:val="21"/>
          <w:highlight w:val="none"/>
        </w:rPr>
        <w:t>DL/T 1476-2023 电力安全工器具预防性试验规程</w:t>
      </w:r>
    </w:p>
    <w:p w14:paraId="0AE1B5AF">
      <w:pPr>
        <w:tabs>
          <w:tab w:val="left" w:pos="851"/>
        </w:tabs>
        <w:snapToGrid w:val="0"/>
        <w:spacing w:line="360" w:lineRule="auto"/>
        <w:ind w:firstLine="420" w:firstLineChars="200"/>
        <w:contextualSpacing/>
        <w:jc w:val="left"/>
        <w:rPr>
          <w:rFonts w:hint="eastAsia"/>
          <w:color w:val="auto"/>
          <w:szCs w:val="21"/>
          <w:highlight w:val="none"/>
        </w:rPr>
      </w:pPr>
      <w:r>
        <w:rPr>
          <w:rFonts w:hint="eastAsia"/>
          <w:color w:val="auto"/>
          <w:szCs w:val="21"/>
          <w:highlight w:val="none"/>
        </w:rPr>
        <w:t>《关于印发&lt;值守变电站管理规范（试行）&gt;的通知》</w:t>
      </w:r>
    </w:p>
    <w:p w14:paraId="0ED1CB00">
      <w:pPr>
        <w:tabs>
          <w:tab w:val="left" w:pos="851"/>
        </w:tabs>
        <w:snapToGrid w:val="0"/>
        <w:spacing w:line="360" w:lineRule="auto"/>
        <w:ind w:firstLine="420" w:firstLineChars="200"/>
        <w:contextualSpacing/>
        <w:jc w:val="left"/>
        <w:rPr>
          <w:color w:val="auto"/>
          <w:szCs w:val="21"/>
          <w:highlight w:val="none"/>
        </w:rPr>
      </w:pPr>
      <w:r>
        <w:rPr>
          <w:rFonts w:hint="eastAsia"/>
          <w:color w:val="auto"/>
          <w:szCs w:val="21"/>
          <w:highlight w:val="none"/>
        </w:rPr>
        <w:t>《华中区域电力用户变（配）电站运行值班和维护人员配置标准》。</w:t>
      </w:r>
    </w:p>
    <w:p w14:paraId="6A5195FF">
      <w:pPr>
        <w:tabs>
          <w:tab w:val="left" w:pos="851"/>
        </w:tabs>
        <w:snapToGrid w:val="0"/>
        <w:spacing w:line="360" w:lineRule="auto"/>
        <w:ind w:firstLine="420" w:firstLineChars="200"/>
        <w:contextualSpacing/>
        <w:jc w:val="left"/>
        <w:rPr>
          <w:b/>
          <w:color w:val="auto"/>
          <w:szCs w:val="21"/>
          <w:highlight w:val="none"/>
        </w:rPr>
      </w:pPr>
      <w:r>
        <w:rPr>
          <w:rFonts w:hint="eastAsia"/>
          <w:b/>
          <w:color w:val="auto"/>
          <w:szCs w:val="21"/>
          <w:highlight w:val="none"/>
          <w:lang w:val="en-US" w:eastAsia="zh-CN"/>
        </w:rPr>
        <w:t>3</w:t>
      </w:r>
      <w:r>
        <w:rPr>
          <w:rFonts w:hint="eastAsia"/>
          <w:b/>
          <w:color w:val="auto"/>
          <w:szCs w:val="21"/>
          <w:highlight w:val="none"/>
        </w:rPr>
        <w:t>、</w:t>
      </w:r>
      <w:r>
        <w:rPr>
          <w:b/>
          <w:color w:val="auto"/>
          <w:szCs w:val="21"/>
          <w:highlight w:val="none"/>
        </w:rPr>
        <w:t>管理工作</w:t>
      </w:r>
      <w:bookmarkEnd w:id="116"/>
      <w:bookmarkEnd w:id="117"/>
    </w:p>
    <w:p w14:paraId="56F45A89">
      <w:pPr>
        <w:tabs>
          <w:tab w:val="left" w:pos="851"/>
        </w:tabs>
        <w:snapToGrid w:val="0"/>
        <w:spacing w:line="360" w:lineRule="auto"/>
        <w:ind w:firstLine="420" w:firstLineChars="200"/>
        <w:contextualSpacing/>
        <w:jc w:val="left"/>
        <w:rPr>
          <w:color w:val="auto"/>
          <w:szCs w:val="21"/>
          <w:highlight w:val="none"/>
        </w:rPr>
      </w:pPr>
      <w:r>
        <w:rPr>
          <w:color w:val="auto"/>
          <w:szCs w:val="21"/>
          <w:highlight w:val="none"/>
        </w:rPr>
        <w:t>（1）</w:t>
      </w:r>
      <w:r>
        <w:rPr>
          <w:rFonts w:hint="eastAsia"/>
          <w:color w:val="auto"/>
          <w:szCs w:val="21"/>
          <w:highlight w:val="none"/>
        </w:rPr>
        <w:t>须遵守国家电网公司的《变电站管理规范》和《电力安全工作规程》；</w:t>
      </w:r>
    </w:p>
    <w:p w14:paraId="7742201E">
      <w:pPr>
        <w:tabs>
          <w:tab w:val="left" w:pos="851"/>
        </w:tabs>
        <w:snapToGrid w:val="0"/>
        <w:spacing w:line="360" w:lineRule="auto"/>
        <w:ind w:firstLine="420" w:firstLineChars="200"/>
        <w:contextualSpacing/>
        <w:jc w:val="left"/>
        <w:rPr>
          <w:color w:val="auto"/>
          <w:szCs w:val="21"/>
          <w:highlight w:val="none"/>
        </w:rPr>
      </w:pPr>
      <w:r>
        <w:rPr>
          <w:rFonts w:hint="eastAsia"/>
          <w:color w:val="auto"/>
          <w:szCs w:val="21"/>
          <w:highlight w:val="none"/>
        </w:rPr>
        <w:t>（2）</w:t>
      </w:r>
      <w:r>
        <w:rPr>
          <w:color w:val="auto"/>
          <w:szCs w:val="21"/>
          <w:highlight w:val="none"/>
        </w:rPr>
        <w:t>按招标人要求建立各项规章制度；</w:t>
      </w:r>
    </w:p>
    <w:p w14:paraId="3ED723BF">
      <w:pPr>
        <w:tabs>
          <w:tab w:val="left" w:pos="851"/>
        </w:tabs>
        <w:snapToGrid w:val="0"/>
        <w:spacing w:line="360" w:lineRule="auto"/>
        <w:ind w:firstLine="420" w:firstLineChars="200"/>
        <w:contextualSpacing/>
        <w:jc w:val="left"/>
        <w:rPr>
          <w:color w:val="auto"/>
          <w:szCs w:val="21"/>
          <w:highlight w:val="none"/>
        </w:rPr>
      </w:pPr>
      <w:r>
        <w:rPr>
          <w:color w:val="auto"/>
          <w:szCs w:val="21"/>
          <w:highlight w:val="none"/>
        </w:rPr>
        <w:t>（</w:t>
      </w:r>
      <w:r>
        <w:rPr>
          <w:rFonts w:hint="eastAsia"/>
          <w:color w:val="auto"/>
          <w:szCs w:val="21"/>
          <w:highlight w:val="none"/>
        </w:rPr>
        <w:t>3</w:t>
      </w:r>
      <w:r>
        <w:rPr>
          <w:color w:val="auto"/>
          <w:szCs w:val="21"/>
          <w:highlight w:val="none"/>
        </w:rPr>
        <w:t>）供配电设备设施日常消耗品的采购和更换（</w:t>
      </w:r>
      <w:r>
        <w:rPr>
          <w:rFonts w:hint="eastAsia"/>
          <w:color w:val="auto"/>
          <w:szCs w:val="21"/>
          <w:highlight w:val="none"/>
        </w:rPr>
        <w:t>含室内外水电</w:t>
      </w:r>
      <w:r>
        <w:rPr>
          <w:color w:val="auto"/>
          <w:szCs w:val="21"/>
          <w:highlight w:val="none"/>
        </w:rPr>
        <w:t>等）；</w:t>
      </w:r>
    </w:p>
    <w:p w14:paraId="5E83322C">
      <w:pPr>
        <w:tabs>
          <w:tab w:val="left" w:pos="851"/>
        </w:tabs>
        <w:snapToGrid w:val="0"/>
        <w:spacing w:line="360" w:lineRule="auto"/>
        <w:ind w:firstLine="420" w:firstLineChars="200"/>
        <w:contextualSpacing/>
        <w:jc w:val="left"/>
        <w:rPr>
          <w:color w:val="auto"/>
          <w:szCs w:val="21"/>
          <w:highlight w:val="none"/>
        </w:rPr>
      </w:pPr>
      <w:r>
        <w:rPr>
          <w:color w:val="auto"/>
          <w:szCs w:val="21"/>
          <w:highlight w:val="none"/>
        </w:rPr>
        <w:t>（</w:t>
      </w:r>
      <w:r>
        <w:rPr>
          <w:rFonts w:hint="eastAsia"/>
          <w:color w:val="auto"/>
          <w:szCs w:val="21"/>
          <w:highlight w:val="none"/>
        </w:rPr>
        <w:t>4</w:t>
      </w:r>
      <w:r>
        <w:rPr>
          <w:color w:val="auto"/>
          <w:szCs w:val="21"/>
          <w:highlight w:val="none"/>
        </w:rPr>
        <w:t>）备品备件的保管和更换；</w:t>
      </w:r>
    </w:p>
    <w:p w14:paraId="6A28AF61">
      <w:pPr>
        <w:tabs>
          <w:tab w:val="left" w:pos="851"/>
        </w:tabs>
        <w:snapToGrid w:val="0"/>
        <w:spacing w:line="360" w:lineRule="auto"/>
        <w:ind w:firstLine="420" w:firstLineChars="200"/>
        <w:contextualSpacing/>
        <w:jc w:val="left"/>
        <w:rPr>
          <w:color w:val="auto"/>
          <w:szCs w:val="21"/>
          <w:highlight w:val="none"/>
        </w:rPr>
      </w:pPr>
      <w:r>
        <w:rPr>
          <w:color w:val="auto"/>
          <w:szCs w:val="21"/>
          <w:highlight w:val="none"/>
        </w:rPr>
        <w:t>（</w:t>
      </w:r>
      <w:r>
        <w:rPr>
          <w:rFonts w:hint="eastAsia"/>
          <w:color w:val="auto"/>
          <w:szCs w:val="21"/>
          <w:highlight w:val="none"/>
        </w:rPr>
        <w:t>5</w:t>
      </w:r>
      <w:r>
        <w:rPr>
          <w:color w:val="auto"/>
          <w:szCs w:val="21"/>
          <w:highlight w:val="none"/>
        </w:rPr>
        <w:t>）专用工具的使用和保管；</w:t>
      </w:r>
    </w:p>
    <w:p w14:paraId="35DCFD92">
      <w:pPr>
        <w:tabs>
          <w:tab w:val="left" w:pos="851"/>
        </w:tabs>
        <w:snapToGrid w:val="0"/>
        <w:spacing w:line="360" w:lineRule="auto"/>
        <w:ind w:firstLine="420" w:firstLineChars="200"/>
        <w:contextualSpacing/>
        <w:jc w:val="left"/>
        <w:rPr>
          <w:color w:val="auto"/>
          <w:szCs w:val="21"/>
          <w:highlight w:val="none"/>
        </w:rPr>
      </w:pPr>
      <w:r>
        <w:rPr>
          <w:color w:val="auto"/>
          <w:szCs w:val="21"/>
          <w:highlight w:val="none"/>
        </w:rPr>
        <w:t>（</w:t>
      </w:r>
      <w:r>
        <w:rPr>
          <w:rFonts w:hint="eastAsia"/>
          <w:color w:val="auto"/>
          <w:szCs w:val="21"/>
          <w:highlight w:val="none"/>
        </w:rPr>
        <w:t>6</w:t>
      </w:r>
      <w:r>
        <w:rPr>
          <w:color w:val="auto"/>
          <w:szCs w:val="21"/>
          <w:highlight w:val="none"/>
        </w:rPr>
        <w:t>）变电站</w:t>
      </w:r>
      <w:r>
        <w:rPr>
          <w:rFonts w:hint="eastAsia"/>
          <w:color w:val="auto"/>
          <w:szCs w:val="21"/>
          <w:highlight w:val="none"/>
        </w:rPr>
        <w:t>、开闭所</w:t>
      </w:r>
      <w:r>
        <w:rPr>
          <w:color w:val="auto"/>
          <w:szCs w:val="21"/>
          <w:highlight w:val="none"/>
        </w:rPr>
        <w:t>及管理区域的卫生保洁；</w:t>
      </w:r>
    </w:p>
    <w:p w14:paraId="79F8A200">
      <w:pPr>
        <w:tabs>
          <w:tab w:val="left" w:pos="851"/>
        </w:tabs>
        <w:snapToGrid w:val="0"/>
        <w:spacing w:line="360" w:lineRule="auto"/>
        <w:ind w:firstLine="420" w:firstLineChars="200"/>
        <w:contextualSpacing/>
        <w:jc w:val="left"/>
        <w:rPr>
          <w:color w:val="auto"/>
          <w:szCs w:val="21"/>
          <w:highlight w:val="none"/>
        </w:rPr>
      </w:pPr>
      <w:r>
        <w:rPr>
          <w:color w:val="auto"/>
          <w:szCs w:val="21"/>
          <w:highlight w:val="none"/>
        </w:rPr>
        <w:t>（</w:t>
      </w:r>
      <w:r>
        <w:rPr>
          <w:rFonts w:hint="eastAsia"/>
          <w:color w:val="auto"/>
          <w:szCs w:val="21"/>
          <w:highlight w:val="none"/>
        </w:rPr>
        <w:t>7</w:t>
      </w:r>
      <w:r>
        <w:rPr>
          <w:color w:val="auto"/>
          <w:szCs w:val="21"/>
          <w:highlight w:val="none"/>
        </w:rPr>
        <w:t>）建立完整、连续、准确的基础管理资料，动态更新与现场实际相符的图表和生产技术管理文档。</w:t>
      </w:r>
    </w:p>
    <w:p w14:paraId="526BE3A4">
      <w:pPr>
        <w:spacing w:line="360" w:lineRule="auto"/>
        <w:ind w:firstLine="420" w:firstLineChars="200"/>
        <w:rPr>
          <w:b/>
          <w:color w:val="auto"/>
          <w:szCs w:val="21"/>
          <w:highlight w:val="none"/>
        </w:rPr>
      </w:pPr>
      <w:bookmarkStart w:id="118" w:name="_Toc446925790"/>
      <w:bookmarkStart w:id="119" w:name="_Toc444072582"/>
      <w:r>
        <w:rPr>
          <w:rFonts w:hint="eastAsia"/>
          <w:b/>
          <w:color w:val="auto"/>
          <w:szCs w:val="21"/>
          <w:highlight w:val="none"/>
          <w:lang w:val="en-US" w:eastAsia="zh-CN"/>
        </w:rPr>
        <w:t>4</w:t>
      </w:r>
      <w:r>
        <w:rPr>
          <w:rFonts w:hint="eastAsia"/>
          <w:b/>
          <w:color w:val="auto"/>
          <w:szCs w:val="21"/>
          <w:highlight w:val="none"/>
        </w:rPr>
        <w:t>、</w:t>
      </w:r>
      <w:r>
        <w:rPr>
          <w:b/>
          <w:color w:val="auto"/>
          <w:szCs w:val="21"/>
          <w:highlight w:val="none"/>
        </w:rPr>
        <w:t>日常工作</w:t>
      </w:r>
      <w:bookmarkEnd w:id="118"/>
      <w:bookmarkEnd w:id="119"/>
    </w:p>
    <w:p w14:paraId="1008FE58">
      <w:pPr>
        <w:tabs>
          <w:tab w:val="left" w:pos="851"/>
        </w:tabs>
        <w:snapToGrid w:val="0"/>
        <w:spacing w:line="360" w:lineRule="auto"/>
        <w:ind w:firstLine="464" w:firstLineChars="221"/>
        <w:contextualSpacing/>
        <w:rPr>
          <w:color w:val="auto"/>
          <w:szCs w:val="21"/>
          <w:highlight w:val="none"/>
        </w:rPr>
      </w:pPr>
      <w:r>
        <w:rPr>
          <w:rFonts w:hint="eastAsia"/>
          <w:color w:val="auto"/>
          <w:szCs w:val="21"/>
          <w:highlight w:val="none"/>
        </w:rPr>
        <w:t>供配电设备设施运行维护工作</w:t>
      </w:r>
      <w:r>
        <w:rPr>
          <w:color w:val="auto"/>
          <w:szCs w:val="21"/>
          <w:highlight w:val="none"/>
        </w:rPr>
        <w:t>是保证</w:t>
      </w:r>
      <w:r>
        <w:rPr>
          <w:rFonts w:hint="eastAsia"/>
          <w:color w:val="auto"/>
          <w:szCs w:val="21"/>
          <w:highlight w:val="none"/>
        </w:rPr>
        <w:t>武汉理工大学</w:t>
      </w:r>
      <w:r>
        <w:rPr>
          <w:rFonts w:hint="eastAsia"/>
          <w:color w:val="auto"/>
          <w:szCs w:val="21"/>
          <w:highlight w:val="none"/>
          <w:lang w:eastAsia="zh-CN"/>
        </w:rPr>
        <w:t>南湖校区</w:t>
      </w:r>
      <w:r>
        <w:rPr>
          <w:color w:val="auto"/>
          <w:szCs w:val="21"/>
          <w:highlight w:val="none"/>
        </w:rPr>
        <w:t>供配电系统的连续</w:t>
      </w:r>
      <w:r>
        <w:rPr>
          <w:rFonts w:hint="eastAsia"/>
          <w:color w:val="auto"/>
          <w:szCs w:val="21"/>
          <w:highlight w:val="none"/>
        </w:rPr>
        <w:t>正常运行所涵盖的日常工作</w:t>
      </w:r>
      <w:r>
        <w:rPr>
          <w:color w:val="auto"/>
          <w:szCs w:val="21"/>
          <w:highlight w:val="none"/>
        </w:rPr>
        <w:t>，包括</w:t>
      </w:r>
      <w:r>
        <w:rPr>
          <w:rFonts w:hint="eastAsia"/>
          <w:color w:val="auto"/>
          <w:szCs w:val="21"/>
          <w:highlight w:val="none"/>
        </w:rPr>
        <w:t>供配电设备设施内</w:t>
      </w:r>
      <w:r>
        <w:rPr>
          <w:color w:val="auto"/>
          <w:szCs w:val="21"/>
          <w:highlight w:val="none"/>
        </w:rPr>
        <w:t>线路和电气设备的巡视、电气设备操作等。供配电系统实行统一调度管理的原则，供配电系统的调度指令下达，一般应以文件、传真、邮件等便于留存归档的方式下达。投标人负责对调度指令的执行，和事故处理等工作。</w:t>
      </w:r>
    </w:p>
    <w:p w14:paraId="441241CC">
      <w:pPr>
        <w:tabs>
          <w:tab w:val="left" w:pos="851"/>
        </w:tabs>
        <w:snapToGrid w:val="0"/>
        <w:spacing w:line="360" w:lineRule="auto"/>
        <w:ind w:firstLine="420" w:firstLineChars="200"/>
        <w:contextualSpacing/>
        <w:rPr>
          <w:color w:val="auto"/>
          <w:szCs w:val="21"/>
          <w:highlight w:val="none"/>
        </w:rPr>
      </w:pPr>
      <w:r>
        <w:rPr>
          <w:color w:val="auto"/>
          <w:szCs w:val="21"/>
          <w:highlight w:val="none"/>
        </w:rPr>
        <w:t>对投标人内部的或职权范围内的业务工作，由投标人向项目部下达，投标人和项目部均应有详细记录和可追溯的痕迹。</w:t>
      </w:r>
    </w:p>
    <w:p w14:paraId="0B73020F">
      <w:pPr>
        <w:tabs>
          <w:tab w:val="left" w:pos="851"/>
        </w:tabs>
        <w:snapToGrid w:val="0"/>
        <w:spacing w:line="360" w:lineRule="auto"/>
        <w:ind w:firstLine="420" w:firstLineChars="200"/>
        <w:contextualSpacing/>
        <w:rPr>
          <w:color w:val="auto"/>
          <w:szCs w:val="21"/>
          <w:highlight w:val="none"/>
        </w:rPr>
      </w:pPr>
      <w:r>
        <w:rPr>
          <w:color w:val="auto"/>
          <w:szCs w:val="21"/>
          <w:highlight w:val="none"/>
        </w:rPr>
        <w:t>当发布</w:t>
      </w:r>
      <w:r>
        <w:rPr>
          <w:rFonts w:hint="eastAsia"/>
          <w:color w:val="auto"/>
          <w:szCs w:val="21"/>
          <w:highlight w:val="none"/>
        </w:rPr>
        <w:t>新的</w:t>
      </w:r>
      <w:r>
        <w:rPr>
          <w:color w:val="auto"/>
          <w:szCs w:val="21"/>
          <w:highlight w:val="none"/>
        </w:rPr>
        <w:t>供配电设备设施运行规程或输电线路运行规程时，相应的条款如有矛盾之处，以新文件条款为准。</w:t>
      </w:r>
    </w:p>
    <w:p w14:paraId="5622AFD9">
      <w:pPr>
        <w:tabs>
          <w:tab w:val="left" w:pos="851"/>
        </w:tabs>
        <w:snapToGrid w:val="0"/>
        <w:spacing w:line="360" w:lineRule="auto"/>
        <w:ind w:firstLine="420" w:firstLineChars="200"/>
        <w:contextualSpacing/>
        <w:rPr>
          <w:color w:val="auto"/>
          <w:szCs w:val="21"/>
          <w:highlight w:val="none"/>
        </w:rPr>
      </w:pPr>
      <w:r>
        <w:rPr>
          <w:color w:val="auto"/>
          <w:szCs w:val="21"/>
          <w:highlight w:val="none"/>
        </w:rPr>
        <w:t>日常运行主要工作内容如下（但不限于下）：</w:t>
      </w:r>
    </w:p>
    <w:p w14:paraId="0BC0ECBB">
      <w:pPr>
        <w:tabs>
          <w:tab w:val="left" w:pos="851"/>
        </w:tabs>
        <w:snapToGrid w:val="0"/>
        <w:spacing w:line="360" w:lineRule="auto"/>
        <w:ind w:firstLine="359" w:firstLineChars="171"/>
        <w:contextualSpacing/>
        <w:rPr>
          <w:color w:val="auto"/>
          <w:szCs w:val="21"/>
          <w:highlight w:val="none"/>
        </w:rPr>
      </w:pPr>
      <w:r>
        <w:rPr>
          <w:color w:val="auto"/>
          <w:szCs w:val="21"/>
          <w:highlight w:val="none"/>
        </w:rPr>
        <w:t>（1）负责</w:t>
      </w:r>
      <w:r>
        <w:rPr>
          <w:rFonts w:hint="eastAsia"/>
          <w:color w:val="auto"/>
          <w:szCs w:val="21"/>
          <w:highlight w:val="none"/>
        </w:rPr>
        <w:t>配电设备</w:t>
      </w:r>
      <w:r>
        <w:rPr>
          <w:color w:val="auto"/>
          <w:szCs w:val="21"/>
          <w:highlight w:val="none"/>
        </w:rPr>
        <w:t>线路的日常巡视，线路的清扫、紧固、缺失零部件补充</w:t>
      </w:r>
      <w:r>
        <w:rPr>
          <w:rFonts w:hint="eastAsia"/>
          <w:color w:val="auto"/>
          <w:szCs w:val="21"/>
          <w:highlight w:val="none"/>
        </w:rPr>
        <w:t>。</w:t>
      </w:r>
    </w:p>
    <w:p w14:paraId="03466DB2">
      <w:pPr>
        <w:tabs>
          <w:tab w:val="left" w:pos="851"/>
        </w:tabs>
        <w:snapToGrid w:val="0"/>
        <w:spacing w:line="360" w:lineRule="auto"/>
        <w:ind w:firstLine="359" w:firstLineChars="171"/>
        <w:contextualSpacing/>
        <w:rPr>
          <w:color w:val="auto"/>
          <w:szCs w:val="21"/>
          <w:highlight w:val="none"/>
        </w:rPr>
      </w:pPr>
      <w:r>
        <w:rPr>
          <w:color w:val="auto"/>
          <w:szCs w:val="21"/>
          <w:highlight w:val="none"/>
        </w:rPr>
        <w:t>（2）根据调度指令进行电气设备操作，巡视设备仪表，发现异常及时排除故障</w:t>
      </w:r>
      <w:r>
        <w:rPr>
          <w:rFonts w:hint="eastAsia"/>
          <w:color w:val="auto"/>
          <w:szCs w:val="21"/>
          <w:highlight w:val="none"/>
        </w:rPr>
        <w:t>。</w:t>
      </w:r>
    </w:p>
    <w:p w14:paraId="3FEAFC23">
      <w:pPr>
        <w:tabs>
          <w:tab w:val="left" w:pos="851"/>
        </w:tabs>
        <w:snapToGrid w:val="0"/>
        <w:spacing w:line="360" w:lineRule="auto"/>
        <w:ind w:firstLine="359" w:firstLineChars="171"/>
        <w:contextualSpacing/>
        <w:rPr>
          <w:color w:val="auto"/>
          <w:szCs w:val="21"/>
          <w:highlight w:val="none"/>
        </w:rPr>
      </w:pPr>
      <w:r>
        <w:rPr>
          <w:color w:val="auto"/>
          <w:szCs w:val="21"/>
          <w:highlight w:val="none"/>
        </w:rPr>
        <w:t>（3）按时编制月度、季度、年度检修计划和进度计划并报投标人审核，按照投标人批准的检修计划，安排生产任务。</w:t>
      </w:r>
    </w:p>
    <w:p w14:paraId="34D7A695">
      <w:pPr>
        <w:tabs>
          <w:tab w:val="left" w:pos="851"/>
        </w:tabs>
        <w:snapToGrid w:val="0"/>
        <w:spacing w:line="360" w:lineRule="auto"/>
        <w:ind w:firstLine="359" w:firstLineChars="171"/>
        <w:contextualSpacing/>
        <w:rPr>
          <w:color w:val="auto"/>
          <w:szCs w:val="21"/>
          <w:highlight w:val="none"/>
        </w:rPr>
      </w:pPr>
      <w:r>
        <w:rPr>
          <w:color w:val="auto"/>
          <w:szCs w:val="21"/>
          <w:highlight w:val="none"/>
        </w:rPr>
        <w:t>（4）建立健全运行、检修维护技术台帐，完善各类记录、报表等,并定期整编所有工作中形成的记录、台帐和技术档案</w:t>
      </w:r>
      <w:r>
        <w:rPr>
          <w:rFonts w:hint="eastAsia"/>
          <w:color w:val="auto"/>
          <w:szCs w:val="21"/>
          <w:highlight w:val="none"/>
        </w:rPr>
        <w:t>。</w:t>
      </w:r>
    </w:p>
    <w:p w14:paraId="501E60C5">
      <w:pPr>
        <w:tabs>
          <w:tab w:val="left" w:pos="851"/>
        </w:tabs>
        <w:snapToGrid w:val="0"/>
        <w:spacing w:line="360" w:lineRule="auto"/>
        <w:ind w:firstLine="359" w:firstLineChars="171"/>
        <w:contextualSpacing/>
        <w:rPr>
          <w:color w:val="auto"/>
          <w:szCs w:val="21"/>
          <w:highlight w:val="none"/>
        </w:rPr>
      </w:pPr>
      <w:r>
        <w:rPr>
          <w:color w:val="auto"/>
          <w:szCs w:val="21"/>
          <w:highlight w:val="none"/>
        </w:rPr>
        <w:t>（5）补充、完善各项安全生产设施、安全标志，开展文明生产创建活动。</w:t>
      </w:r>
    </w:p>
    <w:p w14:paraId="387339B6">
      <w:pPr>
        <w:tabs>
          <w:tab w:val="left" w:pos="851"/>
        </w:tabs>
        <w:snapToGrid w:val="0"/>
        <w:spacing w:line="360" w:lineRule="auto"/>
        <w:ind w:firstLine="359" w:firstLineChars="171"/>
        <w:contextualSpacing/>
        <w:rPr>
          <w:color w:val="auto"/>
          <w:szCs w:val="21"/>
          <w:highlight w:val="none"/>
        </w:rPr>
      </w:pPr>
      <w:r>
        <w:rPr>
          <w:color w:val="auto"/>
          <w:szCs w:val="21"/>
          <w:highlight w:val="none"/>
        </w:rPr>
        <w:t>（6）改进和完善各类运行、检修规程规范、技术资料。</w:t>
      </w:r>
    </w:p>
    <w:p w14:paraId="3779D448">
      <w:pPr>
        <w:tabs>
          <w:tab w:val="left" w:pos="851"/>
        </w:tabs>
        <w:snapToGrid w:val="0"/>
        <w:spacing w:line="360" w:lineRule="auto"/>
        <w:ind w:firstLine="359" w:firstLineChars="171"/>
        <w:contextualSpacing/>
        <w:rPr>
          <w:color w:val="auto"/>
          <w:szCs w:val="21"/>
          <w:highlight w:val="none"/>
        </w:rPr>
      </w:pPr>
      <w:r>
        <w:rPr>
          <w:color w:val="auto"/>
          <w:szCs w:val="21"/>
          <w:highlight w:val="none"/>
        </w:rPr>
        <w:t>（7）对已开展检修的设备进行详细记录，并提供检修工作报告及相关测量、调整数据。</w:t>
      </w:r>
    </w:p>
    <w:p w14:paraId="57D1ADD7">
      <w:pPr>
        <w:tabs>
          <w:tab w:val="left" w:pos="851"/>
        </w:tabs>
        <w:snapToGrid w:val="0"/>
        <w:spacing w:line="360" w:lineRule="auto"/>
        <w:ind w:firstLine="359" w:firstLineChars="171"/>
        <w:contextualSpacing/>
        <w:rPr>
          <w:color w:val="auto"/>
          <w:szCs w:val="21"/>
          <w:highlight w:val="none"/>
        </w:rPr>
      </w:pPr>
      <w:r>
        <w:rPr>
          <w:color w:val="auto"/>
          <w:szCs w:val="21"/>
          <w:highlight w:val="none"/>
        </w:rPr>
        <w:t>（8）提出设备和技术更新、改造建议或意见。</w:t>
      </w:r>
    </w:p>
    <w:p w14:paraId="2206E939">
      <w:pPr>
        <w:tabs>
          <w:tab w:val="left" w:pos="851"/>
        </w:tabs>
        <w:snapToGrid w:val="0"/>
        <w:spacing w:line="360" w:lineRule="auto"/>
        <w:ind w:firstLine="359" w:firstLineChars="171"/>
        <w:contextualSpacing/>
        <w:rPr>
          <w:color w:val="auto"/>
          <w:szCs w:val="21"/>
          <w:highlight w:val="none"/>
        </w:rPr>
      </w:pPr>
      <w:r>
        <w:rPr>
          <w:color w:val="auto"/>
          <w:szCs w:val="21"/>
          <w:highlight w:val="none"/>
        </w:rPr>
        <w:t>（9）所有检修维护过程中更换下的设备部件和材料应全部交回招标人。</w:t>
      </w:r>
    </w:p>
    <w:p w14:paraId="7E2DFA8F">
      <w:pPr>
        <w:tabs>
          <w:tab w:val="left" w:pos="851"/>
        </w:tabs>
        <w:snapToGrid w:val="0"/>
        <w:spacing w:line="360" w:lineRule="auto"/>
        <w:ind w:firstLine="359" w:firstLineChars="171"/>
        <w:contextualSpacing/>
        <w:rPr>
          <w:color w:val="auto"/>
          <w:szCs w:val="21"/>
          <w:highlight w:val="none"/>
        </w:rPr>
      </w:pPr>
      <w:r>
        <w:rPr>
          <w:color w:val="auto"/>
          <w:szCs w:val="21"/>
          <w:highlight w:val="none"/>
        </w:rPr>
        <w:t>（10）配合招标人突发事件的抢修工作。</w:t>
      </w:r>
    </w:p>
    <w:p w14:paraId="44F22B65">
      <w:pPr>
        <w:tabs>
          <w:tab w:val="left" w:pos="851"/>
        </w:tabs>
        <w:snapToGrid w:val="0"/>
        <w:spacing w:line="360" w:lineRule="auto"/>
        <w:ind w:firstLine="359" w:firstLineChars="171"/>
        <w:contextualSpacing/>
        <w:rPr>
          <w:color w:val="auto"/>
          <w:szCs w:val="21"/>
          <w:highlight w:val="none"/>
        </w:rPr>
      </w:pPr>
      <w:r>
        <w:rPr>
          <w:color w:val="auto"/>
          <w:szCs w:val="21"/>
          <w:highlight w:val="none"/>
        </w:rPr>
        <w:t>（11）保持设备及室内环境卫生，工作环境整洁有序。</w:t>
      </w:r>
    </w:p>
    <w:p w14:paraId="1977ADD1">
      <w:pPr>
        <w:tabs>
          <w:tab w:val="left" w:pos="851"/>
        </w:tabs>
        <w:snapToGrid w:val="0"/>
        <w:spacing w:line="360" w:lineRule="auto"/>
        <w:ind w:firstLine="359" w:firstLineChars="171"/>
        <w:contextualSpacing/>
        <w:rPr>
          <w:color w:val="auto"/>
          <w:szCs w:val="21"/>
          <w:highlight w:val="none"/>
        </w:rPr>
      </w:pPr>
      <w:r>
        <w:rPr>
          <w:color w:val="auto"/>
          <w:szCs w:val="21"/>
          <w:highlight w:val="none"/>
        </w:rPr>
        <w:t>（12）负责室内外照明灯具、开关、门窗玻璃、锁具等小型元器件及材料采购、安装。</w:t>
      </w:r>
    </w:p>
    <w:p w14:paraId="1F53E286">
      <w:pPr>
        <w:tabs>
          <w:tab w:val="left" w:pos="851"/>
        </w:tabs>
        <w:snapToGrid w:val="0"/>
        <w:spacing w:line="360" w:lineRule="auto"/>
        <w:ind w:firstLine="359" w:firstLineChars="171"/>
        <w:contextualSpacing/>
        <w:rPr>
          <w:color w:val="auto"/>
          <w:szCs w:val="21"/>
          <w:highlight w:val="none"/>
        </w:rPr>
      </w:pPr>
      <w:r>
        <w:rPr>
          <w:color w:val="auto"/>
          <w:szCs w:val="21"/>
          <w:highlight w:val="none"/>
        </w:rPr>
        <w:t>（13）负责检修维护用工器具及消耗性材料的采购。</w:t>
      </w:r>
    </w:p>
    <w:p w14:paraId="7025FFF9">
      <w:pPr>
        <w:tabs>
          <w:tab w:val="left" w:pos="851"/>
        </w:tabs>
        <w:snapToGrid w:val="0"/>
        <w:spacing w:line="360" w:lineRule="auto"/>
        <w:ind w:firstLine="359" w:firstLineChars="171"/>
        <w:contextualSpacing/>
        <w:rPr>
          <w:color w:val="auto"/>
          <w:szCs w:val="21"/>
          <w:highlight w:val="none"/>
        </w:rPr>
      </w:pPr>
      <w:r>
        <w:rPr>
          <w:color w:val="auto"/>
          <w:szCs w:val="21"/>
          <w:highlight w:val="none"/>
        </w:rPr>
        <w:t>（14）负责备品备件统计、保管和更换。</w:t>
      </w:r>
    </w:p>
    <w:p w14:paraId="4C61DD53">
      <w:pPr>
        <w:tabs>
          <w:tab w:val="left" w:pos="851"/>
        </w:tabs>
        <w:snapToGrid w:val="0"/>
        <w:spacing w:line="360" w:lineRule="auto"/>
        <w:ind w:firstLine="359" w:firstLineChars="171"/>
        <w:contextualSpacing/>
        <w:rPr>
          <w:rFonts w:hint="eastAsia"/>
          <w:color w:val="auto"/>
          <w:szCs w:val="21"/>
          <w:highlight w:val="none"/>
          <w:lang w:val="en-US" w:eastAsia="zh-CN"/>
        </w:rPr>
      </w:pPr>
      <w:r>
        <w:rPr>
          <w:rFonts w:hint="eastAsia"/>
          <w:color w:val="auto"/>
          <w:szCs w:val="21"/>
          <w:highlight w:val="none"/>
          <w:lang w:val="en-US" w:eastAsia="zh-CN"/>
        </w:rPr>
        <w:t>（15）维护配电柜、线缆等配电设施标识标签清晰准确。</w:t>
      </w:r>
    </w:p>
    <w:p w14:paraId="778B45F5">
      <w:pPr>
        <w:tabs>
          <w:tab w:val="left" w:pos="851"/>
        </w:tabs>
        <w:snapToGrid w:val="0"/>
        <w:spacing w:line="360" w:lineRule="auto"/>
        <w:ind w:firstLine="359" w:firstLineChars="171"/>
        <w:contextualSpacing/>
        <w:rPr>
          <w:rFonts w:hint="eastAsia"/>
          <w:color w:val="auto"/>
          <w:szCs w:val="21"/>
          <w:highlight w:val="none"/>
          <w:lang w:val="en-US" w:eastAsia="zh-CN"/>
        </w:rPr>
      </w:pPr>
      <w:r>
        <w:rPr>
          <w:rFonts w:hint="eastAsia"/>
          <w:color w:val="auto"/>
          <w:szCs w:val="21"/>
          <w:highlight w:val="none"/>
          <w:lang w:val="en-US" w:eastAsia="zh-CN"/>
        </w:rPr>
        <w:t>（16）负责配电房、箱变等设施的配套附属设备、设施、工具的日常管理和维护。</w:t>
      </w:r>
    </w:p>
    <w:p w14:paraId="78AE7268">
      <w:pPr>
        <w:tabs>
          <w:tab w:val="left" w:pos="851"/>
        </w:tabs>
        <w:snapToGrid w:val="0"/>
        <w:spacing w:line="360" w:lineRule="auto"/>
        <w:ind w:firstLine="359" w:firstLineChars="171"/>
        <w:contextualSpacing/>
        <w:rPr>
          <w:rFonts w:hint="default"/>
          <w:color w:val="auto"/>
          <w:szCs w:val="21"/>
          <w:highlight w:val="none"/>
          <w:lang w:val="en-US" w:eastAsia="zh-CN"/>
        </w:rPr>
      </w:pPr>
      <w:r>
        <w:rPr>
          <w:rFonts w:hint="eastAsia"/>
          <w:color w:val="auto"/>
          <w:szCs w:val="21"/>
          <w:highlight w:val="none"/>
          <w:lang w:val="en-US" w:eastAsia="zh-CN"/>
        </w:rPr>
        <w:t>（17）配合甲方拟定楼栋内用电增容方案，配合甲方进行线路检查和安全隐患排查。</w:t>
      </w:r>
    </w:p>
    <w:p w14:paraId="7CD9F6BA">
      <w:pPr>
        <w:tabs>
          <w:tab w:val="left" w:pos="851"/>
        </w:tabs>
        <w:snapToGrid w:val="0"/>
        <w:spacing w:line="360" w:lineRule="auto"/>
        <w:ind w:firstLine="359" w:firstLineChars="171"/>
        <w:contextualSpacing/>
        <w:rPr>
          <w:color w:val="auto"/>
          <w:szCs w:val="21"/>
          <w:highlight w:val="none"/>
        </w:rPr>
      </w:pPr>
      <w:r>
        <w:rPr>
          <w:rFonts w:hint="eastAsia"/>
          <w:color w:val="auto"/>
          <w:szCs w:val="21"/>
          <w:highlight w:val="none"/>
        </w:rPr>
        <w:t>（1</w:t>
      </w:r>
      <w:r>
        <w:rPr>
          <w:rFonts w:hint="eastAsia"/>
          <w:color w:val="auto"/>
          <w:szCs w:val="21"/>
          <w:highlight w:val="none"/>
          <w:lang w:val="en-US" w:eastAsia="zh-CN"/>
        </w:rPr>
        <w:t>8</w:t>
      </w:r>
      <w:r>
        <w:rPr>
          <w:rFonts w:hint="eastAsia"/>
          <w:color w:val="auto"/>
          <w:szCs w:val="21"/>
          <w:highlight w:val="none"/>
        </w:rPr>
        <w:t>）当供配电设备出现故障，运维单位接到通知后需在30分钟内赶赴现场，按照技术流程迅速找出故障原因予以处置，一般应在2小时内恢复供电。</w:t>
      </w:r>
    </w:p>
    <w:p w14:paraId="50DB46C3">
      <w:pPr>
        <w:tabs>
          <w:tab w:val="left" w:pos="851"/>
        </w:tabs>
        <w:snapToGrid w:val="0"/>
        <w:spacing w:line="360" w:lineRule="auto"/>
        <w:ind w:firstLine="359" w:firstLineChars="171"/>
        <w:contextualSpacing/>
        <w:rPr>
          <w:color w:val="auto"/>
          <w:szCs w:val="21"/>
          <w:highlight w:val="none"/>
        </w:rPr>
      </w:pPr>
      <w:r>
        <w:rPr>
          <w:rFonts w:hint="eastAsia"/>
          <w:color w:val="auto"/>
          <w:szCs w:val="21"/>
          <w:highlight w:val="none"/>
        </w:rPr>
        <w:t>（</w:t>
      </w:r>
      <w:r>
        <w:rPr>
          <w:color w:val="auto"/>
          <w:szCs w:val="21"/>
          <w:highlight w:val="none"/>
        </w:rPr>
        <w:t>1</w:t>
      </w:r>
      <w:r>
        <w:rPr>
          <w:rFonts w:hint="eastAsia"/>
          <w:color w:val="auto"/>
          <w:szCs w:val="21"/>
          <w:highlight w:val="none"/>
          <w:lang w:val="en-US" w:eastAsia="zh-CN"/>
        </w:rPr>
        <w:t>9</w:t>
      </w:r>
      <w:r>
        <w:rPr>
          <w:rFonts w:hint="eastAsia"/>
          <w:color w:val="auto"/>
          <w:szCs w:val="21"/>
          <w:highlight w:val="none"/>
        </w:rPr>
        <w:t>）除日常工作外，针对学校举行重大活动需制定详细的供电保障方案，防止出现断电停电的情况，并配备更多的服务保障力量。</w:t>
      </w:r>
    </w:p>
    <w:p w14:paraId="07369729">
      <w:pPr>
        <w:tabs>
          <w:tab w:val="left" w:pos="851"/>
        </w:tabs>
        <w:snapToGrid w:val="0"/>
        <w:spacing w:line="360" w:lineRule="auto"/>
        <w:ind w:firstLine="359" w:firstLineChars="171"/>
        <w:contextualSpacing/>
        <w:rPr>
          <w:b/>
          <w:color w:val="auto"/>
          <w:kern w:val="0"/>
          <w:szCs w:val="21"/>
          <w:highlight w:val="none"/>
        </w:rPr>
      </w:pPr>
      <w:r>
        <w:rPr>
          <w:rFonts w:hint="eastAsia"/>
          <w:color w:val="auto"/>
          <w:szCs w:val="21"/>
          <w:highlight w:val="none"/>
        </w:rPr>
        <w:t>（</w:t>
      </w:r>
      <w:r>
        <w:rPr>
          <w:rFonts w:hint="eastAsia"/>
          <w:color w:val="auto"/>
          <w:szCs w:val="21"/>
          <w:highlight w:val="none"/>
          <w:lang w:val="en-US" w:eastAsia="zh-CN"/>
        </w:rPr>
        <w:t>20</w:t>
      </w:r>
      <w:r>
        <w:rPr>
          <w:rFonts w:hint="eastAsia"/>
          <w:color w:val="auto"/>
          <w:szCs w:val="21"/>
          <w:highlight w:val="none"/>
        </w:rPr>
        <w:t>）维护和维修过的电力设备，必须确保在60天内不发生同样的电力故障。</w:t>
      </w:r>
    </w:p>
    <w:p w14:paraId="5451BE16">
      <w:pPr>
        <w:spacing w:line="360" w:lineRule="auto"/>
        <w:ind w:firstLine="420" w:firstLineChars="200"/>
        <w:jc w:val="left"/>
        <w:rPr>
          <w:b/>
          <w:color w:val="auto"/>
          <w:szCs w:val="21"/>
          <w:highlight w:val="none"/>
        </w:rPr>
      </w:pPr>
      <w:r>
        <w:rPr>
          <w:b/>
          <w:color w:val="auto"/>
          <w:kern w:val="0"/>
          <w:szCs w:val="21"/>
          <w:highlight w:val="none"/>
        </w:rPr>
        <w:t>（</w:t>
      </w:r>
      <w:r>
        <w:rPr>
          <w:rFonts w:hint="eastAsia"/>
          <w:b/>
          <w:color w:val="auto"/>
          <w:kern w:val="0"/>
          <w:szCs w:val="21"/>
          <w:highlight w:val="none"/>
        </w:rPr>
        <w:t>二</w:t>
      </w:r>
      <w:r>
        <w:rPr>
          <w:b/>
          <w:color w:val="auto"/>
          <w:kern w:val="0"/>
          <w:szCs w:val="21"/>
          <w:highlight w:val="none"/>
        </w:rPr>
        <w:t>）</w:t>
      </w:r>
      <w:r>
        <w:rPr>
          <w:rFonts w:hint="eastAsia"/>
          <w:b/>
          <w:color w:val="auto"/>
          <w:kern w:val="0"/>
          <w:szCs w:val="21"/>
          <w:highlight w:val="none"/>
        </w:rPr>
        <w:t>供配电设备设施卫生</w:t>
      </w:r>
    </w:p>
    <w:p w14:paraId="5EF622B0">
      <w:pPr>
        <w:spacing w:line="360" w:lineRule="auto"/>
        <w:ind w:firstLine="420" w:firstLineChars="200"/>
        <w:jc w:val="left"/>
        <w:rPr>
          <w:color w:val="auto"/>
          <w:szCs w:val="21"/>
          <w:highlight w:val="none"/>
        </w:rPr>
      </w:pPr>
      <w:r>
        <w:rPr>
          <w:rFonts w:hint="eastAsia"/>
          <w:color w:val="auto"/>
          <w:szCs w:val="21"/>
          <w:highlight w:val="none"/>
        </w:rPr>
        <w:t>负责供配电设备设施运维服务项目内公共卫生，包括道路、围墙、空地等卫生保洁及绿植养护和修剪等。</w:t>
      </w:r>
      <w:r>
        <w:rPr>
          <w:color w:val="auto"/>
          <w:szCs w:val="21"/>
          <w:highlight w:val="none"/>
        </w:rPr>
        <w:t>供配电设备设施室内变压器、高压开关柜的停电清扫每年结合</w:t>
      </w:r>
      <w:r>
        <w:rPr>
          <w:rFonts w:hint="eastAsia"/>
          <w:color w:val="auto"/>
          <w:szCs w:val="21"/>
          <w:highlight w:val="none"/>
        </w:rPr>
        <w:t>停电检查</w:t>
      </w:r>
      <w:r>
        <w:rPr>
          <w:color w:val="auto"/>
          <w:szCs w:val="21"/>
          <w:highlight w:val="none"/>
        </w:rPr>
        <w:t>进行一次。</w:t>
      </w:r>
    </w:p>
    <w:p w14:paraId="239DABD5">
      <w:pPr>
        <w:spacing w:line="360" w:lineRule="auto"/>
        <w:jc w:val="center"/>
        <w:rPr>
          <w:b/>
          <w:color w:val="auto"/>
          <w:szCs w:val="21"/>
          <w:highlight w:val="none"/>
        </w:rPr>
      </w:pPr>
      <w:r>
        <w:rPr>
          <w:b/>
          <w:color w:val="auto"/>
          <w:szCs w:val="21"/>
          <w:highlight w:val="none"/>
        </w:rPr>
        <w:t>值班室清扫</w:t>
      </w:r>
      <w:r>
        <w:rPr>
          <w:rFonts w:hint="eastAsia"/>
          <w:b/>
          <w:color w:val="auto"/>
          <w:szCs w:val="21"/>
          <w:highlight w:val="none"/>
        </w:rPr>
        <w:t>标准</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095"/>
        <w:gridCol w:w="5613"/>
      </w:tblGrid>
      <w:tr w14:paraId="6E82D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72D5C173">
            <w:pPr>
              <w:snapToGrid w:val="0"/>
              <w:contextualSpacing/>
              <w:jc w:val="center"/>
              <w:rPr>
                <w:color w:val="auto"/>
                <w:szCs w:val="21"/>
                <w:highlight w:val="none"/>
              </w:rPr>
            </w:pPr>
            <w:r>
              <w:rPr>
                <w:color w:val="auto"/>
                <w:szCs w:val="21"/>
                <w:highlight w:val="none"/>
              </w:rPr>
              <w:t>序号</w:t>
            </w:r>
          </w:p>
        </w:tc>
        <w:tc>
          <w:tcPr>
            <w:tcW w:w="2095" w:type="dxa"/>
            <w:noWrap/>
            <w:vAlign w:val="center"/>
          </w:tcPr>
          <w:p w14:paraId="0D6B4607">
            <w:pPr>
              <w:snapToGrid w:val="0"/>
              <w:contextualSpacing/>
              <w:jc w:val="center"/>
              <w:rPr>
                <w:color w:val="auto"/>
                <w:szCs w:val="21"/>
                <w:highlight w:val="none"/>
              </w:rPr>
            </w:pPr>
            <w:r>
              <w:rPr>
                <w:color w:val="auto"/>
                <w:szCs w:val="21"/>
                <w:highlight w:val="none"/>
              </w:rPr>
              <w:t>部  位</w:t>
            </w:r>
          </w:p>
        </w:tc>
        <w:tc>
          <w:tcPr>
            <w:tcW w:w="5613" w:type="dxa"/>
            <w:noWrap/>
            <w:vAlign w:val="center"/>
          </w:tcPr>
          <w:p w14:paraId="676A27B9">
            <w:pPr>
              <w:snapToGrid w:val="0"/>
              <w:contextualSpacing/>
              <w:jc w:val="center"/>
              <w:rPr>
                <w:color w:val="auto"/>
                <w:szCs w:val="21"/>
                <w:highlight w:val="none"/>
              </w:rPr>
            </w:pPr>
            <w:r>
              <w:rPr>
                <w:color w:val="auto"/>
                <w:szCs w:val="21"/>
                <w:highlight w:val="none"/>
              </w:rPr>
              <w:t>清洁</w:t>
            </w:r>
            <w:r>
              <w:rPr>
                <w:rFonts w:hint="eastAsia"/>
                <w:color w:val="auto"/>
                <w:szCs w:val="21"/>
                <w:highlight w:val="none"/>
              </w:rPr>
              <w:t>标准</w:t>
            </w:r>
          </w:p>
        </w:tc>
      </w:tr>
      <w:tr w14:paraId="4D92B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2BCCA0FC">
            <w:pPr>
              <w:snapToGrid w:val="0"/>
              <w:contextualSpacing/>
              <w:jc w:val="center"/>
              <w:rPr>
                <w:color w:val="auto"/>
                <w:szCs w:val="21"/>
                <w:highlight w:val="none"/>
              </w:rPr>
            </w:pPr>
            <w:r>
              <w:rPr>
                <w:color w:val="auto"/>
                <w:szCs w:val="21"/>
                <w:highlight w:val="none"/>
              </w:rPr>
              <w:t>1</w:t>
            </w:r>
          </w:p>
        </w:tc>
        <w:tc>
          <w:tcPr>
            <w:tcW w:w="2095" w:type="dxa"/>
            <w:noWrap/>
            <w:vAlign w:val="center"/>
          </w:tcPr>
          <w:p w14:paraId="6448B8BD">
            <w:pPr>
              <w:snapToGrid w:val="0"/>
              <w:contextualSpacing/>
              <w:jc w:val="center"/>
              <w:rPr>
                <w:color w:val="auto"/>
                <w:szCs w:val="21"/>
                <w:highlight w:val="none"/>
              </w:rPr>
            </w:pPr>
            <w:r>
              <w:rPr>
                <w:color w:val="auto"/>
                <w:szCs w:val="21"/>
                <w:highlight w:val="none"/>
              </w:rPr>
              <w:t>室内地面</w:t>
            </w:r>
          </w:p>
        </w:tc>
        <w:tc>
          <w:tcPr>
            <w:tcW w:w="5613" w:type="dxa"/>
            <w:noWrap/>
            <w:vAlign w:val="center"/>
          </w:tcPr>
          <w:p w14:paraId="54E418A7">
            <w:pPr>
              <w:snapToGrid w:val="0"/>
              <w:contextualSpacing/>
              <w:jc w:val="center"/>
              <w:rPr>
                <w:color w:val="auto"/>
                <w:szCs w:val="21"/>
                <w:highlight w:val="none"/>
              </w:rPr>
            </w:pPr>
            <w:r>
              <w:rPr>
                <w:color w:val="auto"/>
                <w:szCs w:val="21"/>
                <w:highlight w:val="none"/>
              </w:rPr>
              <w:t>地面无灰尘、油渍、水迹，室内物品定位摆放，标志清晰</w:t>
            </w:r>
          </w:p>
        </w:tc>
      </w:tr>
      <w:tr w14:paraId="0A366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0FABD9F7">
            <w:pPr>
              <w:snapToGrid w:val="0"/>
              <w:contextualSpacing/>
              <w:jc w:val="center"/>
              <w:rPr>
                <w:color w:val="auto"/>
                <w:szCs w:val="21"/>
                <w:highlight w:val="none"/>
              </w:rPr>
            </w:pPr>
            <w:r>
              <w:rPr>
                <w:color w:val="auto"/>
                <w:szCs w:val="21"/>
                <w:highlight w:val="none"/>
              </w:rPr>
              <w:t>2</w:t>
            </w:r>
          </w:p>
        </w:tc>
        <w:tc>
          <w:tcPr>
            <w:tcW w:w="2095" w:type="dxa"/>
            <w:noWrap/>
            <w:vAlign w:val="center"/>
          </w:tcPr>
          <w:p w14:paraId="4ED598A5">
            <w:pPr>
              <w:snapToGrid w:val="0"/>
              <w:contextualSpacing/>
              <w:jc w:val="center"/>
              <w:rPr>
                <w:color w:val="auto"/>
                <w:szCs w:val="21"/>
                <w:highlight w:val="none"/>
              </w:rPr>
            </w:pPr>
            <w:r>
              <w:rPr>
                <w:color w:val="auto"/>
                <w:szCs w:val="21"/>
                <w:highlight w:val="none"/>
              </w:rPr>
              <w:t>配电房四周</w:t>
            </w:r>
          </w:p>
        </w:tc>
        <w:tc>
          <w:tcPr>
            <w:tcW w:w="5613" w:type="dxa"/>
            <w:noWrap/>
            <w:vAlign w:val="center"/>
          </w:tcPr>
          <w:p w14:paraId="734DC974">
            <w:pPr>
              <w:snapToGrid w:val="0"/>
              <w:contextualSpacing/>
              <w:jc w:val="center"/>
              <w:rPr>
                <w:color w:val="auto"/>
                <w:szCs w:val="21"/>
                <w:highlight w:val="none"/>
              </w:rPr>
            </w:pPr>
            <w:r>
              <w:rPr>
                <w:color w:val="auto"/>
                <w:szCs w:val="21"/>
                <w:highlight w:val="none"/>
              </w:rPr>
              <w:t>配电房四周无树叶、杂草、纸屑等异物</w:t>
            </w:r>
          </w:p>
        </w:tc>
      </w:tr>
      <w:tr w14:paraId="46E2B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650D625E">
            <w:pPr>
              <w:snapToGrid w:val="0"/>
              <w:contextualSpacing/>
              <w:jc w:val="center"/>
              <w:rPr>
                <w:color w:val="auto"/>
                <w:szCs w:val="21"/>
                <w:highlight w:val="none"/>
              </w:rPr>
            </w:pPr>
            <w:r>
              <w:rPr>
                <w:color w:val="auto"/>
                <w:szCs w:val="21"/>
                <w:highlight w:val="none"/>
              </w:rPr>
              <w:t>3</w:t>
            </w:r>
          </w:p>
        </w:tc>
        <w:tc>
          <w:tcPr>
            <w:tcW w:w="2095" w:type="dxa"/>
            <w:noWrap/>
            <w:vAlign w:val="center"/>
          </w:tcPr>
          <w:p w14:paraId="4D83A017">
            <w:pPr>
              <w:snapToGrid w:val="0"/>
              <w:contextualSpacing/>
              <w:jc w:val="center"/>
              <w:rPr>
                <w:color w:val="auto"/>
                <w:szCs w:val="21"/>
                <w:highlight w:val="none"/>
              </w:rPr>
            </w:pPr>
            <w:r>
              <w:rPr>
                <w:color w:val="auto"/>
                <w:szCs w:val="21"/>
                <w:highlight w:val="none"/>
              </w:rPr>
              <w:t>办公桌椅</w:t>
            </w:r>
          </w:p>
        </w:tc>
        <w:tc>
          <w:tcPr>
            <w:tcW w:w="5613" w:type="dxa"/>
            <w:noWrap/>
            <w:vAlign w:val="center"/>
          </w:tcPr>
          <w:p w14:paraId="4DA17A6E">
            <w:pPr>
              <w:snapToGrid w:val="0"/>
              <w:contextualSpacing/>
              <w:jc w:val="center"/>
              <w:rPr>
                <w:color w:val="auto"/>
                <w:szCs w:val="21"/>
                <w:highlight w:val="none"/>
              </w:rPr>
            </w:pPr>
            <w:r>
              <w:rPr>
                <w:color w:val="auto"/>
                <w:szCs w:val="21"/>
                <w:highlight w:val="none"/>
              </w:rPr>
              <w:t>桌椅表面无灰尘、赃迹、水迹</w:t>
            </w:r>
          </w:p>
        </w:tc>
      </w:tr>
      <w:tr w14:paraId="3F239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0204015D">
            <w:pPr>
              <w:snapToGrid w:val="0"/>
              <w:contextualSpacing/>
              <w:jc w:val="center"/>
              <w:rPr>
                <w:color w:val="auto"/>
                <w:szCs w:val="21"/>
                <w:highlight w:val="none"/>
              </w:rPr>
            </w:pPr>
            <w:r>
              <w:rPr>
                <w:color w:val="auto"/>
                <w:szCs w:val="21"/>
                <w:highlight w:val="none"/>
              </w:rPr>
              <w:t>4</w:t>
            </w:r>
          </w:p>
        </w:tc>
        <w:tc>
          <w:tcPr>
            <w:tcW w:w="2095" w:type="dxa"/>
            <w:noWrap/>
            <w:vAlign w:val="center"/>
          </w:tcPr>
          <w:p w14:paraId="6EB4EF1A">
            <w:pPr>
              <w:snapToGrid w:val="0"/>
              <w:contextualSpacing/>
              <w:jc w:val="center"/>
              <w:rPr>
                <w:color w:val="auto"/>
                <w:szCs w:val="21"/>
                <w:highlight w:val="none"/>
              </w:rPr>
            </w:pPr>
            <w:r>
              <w:rPr>
                <w:color w:val="auto"/>
                <w:szCs w:val="21"/>
                <w:highlight w:val="none"/>
              </w:rPr>
              <w:t>饮水机、传真机、电话机、电脑等物品</w:t>
            </w:r>
          </w:p>
        </w:tc>
        <w:tc>
          <w:tcPr>
            <w:tcW w:w="5613" w:type="dxa"/>
            <w:noWrap/>
            <w:vAlign w:val="center"/>
          </w:tcPr>
          <w:p w14:paraId="2E4599A2">
            <w:pPr>
              <w:snapToGrid w:val="0"/>
              <w:contextualSpacing/>
              <w:jc w:val="center"/>
              <w:rPr>
                <w:color w:val="auto"/>
                <w:szCs w:val="21"/>
                <w:highlight w:val="none"/>
              </w:rPr>
            </w:pPr>
            <w:r>
              <w:rPr>
                <w:color w:val="auto"/>
                <w:szCs w:val="21"/>
                <w:highlight w:val="none"/>
              </w:rPr>
              <w:t>饮水机、传真机、电话机、电脑表面无灰尘、赃迹，物器定位放置</w:t>
            </w:r>
          </w:p>
        </w:tc>
      </w:tr>
      <w:tr w14:paraId="6BD7E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53524EC5">
            <w:pPr>
              <w:snapToGrid w:val="0"/>
              <w:contextualSpacing/>
              <w:jc w:val="center"/>
              <w:rPr>
                <w:color w:val="auto"/>
                <w:szCs w:val="21"/>
                <w:highlight w:val="none"/>
              </w:rPr>
            </w:pPr>
            <w:r>
              <w:rPr>
                <w:color w:val="auto"/>
                <w:szCs w:val="21"/>
                <w:highlight w:val="none"/>
              </w:rPr>
              <w:t>5</w:t>
            </w:r>
          </w:p>
        </w:tc>
        <w:tc>
          <w:tcPr>
            <w:tcW w:w="2095" w:type="dxa"/>
            <w:noWrap/>
            <w:vAlign w:val="center"/>
          </w:tcPr>
          <w:p w14:paraId="17A4CF55">
            <w:pPr>
              <w:snapToGrid w:val="0"/>
              <w:contextualSpacing/>
              <w:jc w:val="center"/>
              <w:rPr>
                <w:color w:val="auto"/>
                <w:szCs w:val="21"/>
                <w:highlight w:val="none"/>
              </w:rPr>
            </w:pPr>
            <w:r>
              <w:rPr>
                <w:color w:val="auto"/>
                <w:szCs w:val="21"/>
                <w:highlight w:val="none"/>
              </w:rPr>
              <w:t>门、窗</w:t>
            </w:r>
          </w:p>
        </w:tc>
        <w:tc>
          <w:tcPr>
            <w:tcW w:w="5613" w:type="dxa"/>
            <w:noWrap/>
            <w:vAlign w:val="center"/>
          </w:tcPr>
          <w:p w14:paraId="28B2BBB5">
            <w:pPr>
              <w:snapToGrid w:val="0"/>
              <w:contextualSpacing/>
              <w:jc w:val="center"/>
              <w:rPr>
                <w:color w:val="auto"/>
                <w:szCs w:val="21"/>
                <w:highlight w:val="none"/>
              </w:rPr>
            </w:pPr>
            <w:r>
              <w:rPr>
                <w:color w:val="auto"/>
                <w:szCs w:val="21"/>
                <w:highlight w:val="none"/>
              </w:rPr>
              <w:t>门框、门的内外、两个侧面和上部无灰尘、无赃迹和蜘蛛网</w:t>
            </w:r>
          </w:p>
        </w:tc>
      </w:tr>
      <w:tr w14:paraId="23EDC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53FA6CCA">
            <w:pPr>
              <w:snapToGrid w:val="0"/>
              <w:contextualSpacing/>
              <w:jc w:val="center"/>
              <w:rPr>
                <w:color w:val="auto"/>
                <w:szCs w:val="21"/>
                <w:highlight w:val="none"/>
              </w:rPr>
            </w:pPr>
            <w:r>
              <w:rPr>
                <w:color w:val="auto"/>
                <w:szCs w:val="21"/>
                <w:highlight w:val="none"/>
              </w:rPr>
              <w:t>6</w:t>
            </w:r>
          </w:p>
        </w:tc>
        <w:tc>
          <w:tcPr>
            <w:tcW w:w="2095" w:type="dxa"/>
            <w:noWrap/>
            <w:vAlign w:val="center"/>
          </w:tcPr>
          <w:p w14:paraId="492C566D">
            <w:pPr>
              <w:snapToGrid w:val="0"/>
              <w:contextualSpacing/>
              <w:jc w:val="center"/>
              <w:rPr>
                <w:color w:val="auto"/>
                <w:szCs w:val="21"/>
                <w:highlight w:val="none"/>
              </w:rPr>
            </w:pPr>
            <w:r>
              <w:rPr>
                <w:color w:val="auto"/>
                <w:szCs w:val="21"/>
                <w:highlight w:val="none"/>
              </w:rPr>
              <w:t>门窗玻璃</w:t>
            </w:r>
          </w:p>
        </w:tc>
        <w:tc>
          <w:tcPr>
            <w:tcW w:w="5613" w:type="dxa"/>
            <w:noWrap/>
            <w:vAlign w:val="center"/>
          </w:tcPr>
          <w:p w14:paraId="44FC73A8">
            <w:pPr>
              <w:snapToGrid w:val="0"/>
              <w:contextualSpacing/>
              <w:jc w:val="center"/>
              <w:rPr>
                <w:color w:val="auto"/>
                <w:szCs w:val="21"/>
                <w:highlight w:val="none"/>
              </w:rPr>
            </w:pPr>
            <w:r>
              <w:rPr>
                <w:color w:val="auto"/>
                <w:szCs w:val="21"/>
                <w:highlight w:val="none"/>
              </w:rPr>
              <w:t>玻璃无灰尘、赃迹、水迹</w:t>
            </w:r>
          </w:p>
        </w:tc>
      </w:tr>
      <w:tr w14:paraId="66B61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74367EBC">
            <w:pPr>
              <w:snapToGrid w:val="0"/>
              <w:contextualSpacing/>
              <w:jc w:val="center"/>
              <w:rPr>
                <w:color w:val="auto"/>
                <w:szCs w:val="21"/>
                <w:highlight w:val="none"/>
              </w:rPr>
            </w:pPr>
            <w:r>
              <w:rPr>
                <w:color w:val="auto"/>
                <w:szCs w:val="21"/>
                <w:highlight w:val="none"/>
              </w:rPr>
              <w:t>7</w:t>
            </w:r>
          </w:p>
        </w:tc>
        <w:tc>
          <w:tcPr>
            <w:tcW w:w="2095" w:type="dxa"/>
            <w:noWrap/>
            <w:vAlign w:val="center"/>
          </w:tcPr>
          <w:p w14:paraId="69A8DF9D">
            <w:pPr>
              <w:snapToGrid w:val="0"/>
              <w:contextualSpacing/>
              <w:jc w:val="center"/>
              <w:rPr>
                <w:color w:val="auto"/>
                <w:szCs w:val="21"/>
                <w:highlight w:val="none"/>
              </w:rPr>
            </w:pPr>
            <w:r>
              <w:rPr>
                <w:color w:val="auto"/>
                <w:szCs w:val="21"/>
                <w:highlight w:val="none"/>
              </w:rPr>
              <w:t>天花板、墙壁</w:t>
            </w:r>
          </w:p>
        </w:tc>
        <w:tc>
          <w:tcPr>
            <w:tcW w:w="5613" w:type="dxa"/>
            <w:noWrap/>
            <w:vAlign w:val="center"/>
          </w:tcPr>
          <w:p w14:paraId="0E978AD7">
            <w:pPr>
              <w:snapToGrid w:val="0"/>
              <w:contextualSpacing/>
              <w:jc w:val="center"/>
              <w:rPr>
                <w:color w:val="auto"/>
                <w:szCs w:val="21"/>
                <w:highlight w:val="none"/>
              </w:rPr>
            </w:pPr>
            <w:r>
              <w:rPr>
                <w:color w:val="auto"/>
                <w:szCs w:val="21"/>
                <w:highlight w:val="none"/>
              </w:rPr>
              <w:t>天花板、墙壁无灰尘和蜘蛛网</w:t>
            </w:r>
          </w:p>
        </w:tc>
      </w:tr>
      <w:tr w14:paraId="5ED3D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72956EE4">
            <w:pPr>
              <w:snapToGrid w:val="0"/>
              <w:contextualSpacing/>
              <w:jc w:val="center"/>
              <w:rPr>
                <w:color w:val="auto"/>
                <w:szCs w:val="21"/>
                <w:highlight w:val="none"/>
              </w:rPr>
            </w:pPr>
            <w:r>
              <w:rPr>
                <w:color w:val="auto"/>
                <w:szCs w:val="21"/>
                <w:highlight w:val="none"/>
              </w:rPr>
              <w:t>8</w:t>
            </w:r>
          </w:p>
        </w:tc>
        <w:tc>
          <w:tcPr>
            <w:tcW w:w="2095" w:type="dxa"/>
            <w:noWrap/>
            <w:vAlign w:val="center"/>
          </w:tcPr>
          <w:p w14:paraId="69CC1869">
            <w:pPr>
              <w:snapToGrid w:val="0"/>
              <w:contextualSpacing/>
              <w:jc w:val="center"/>
              <w:rPr>
                <w:color w:val="auto"/>
                <w:szCs w:val="21"/>
                <w:highlight w:val="none"/>
              </w:rPr>
            </w:pPr>
            <w:r>
              <w:rPr>
                <w:color w:val="auto"/>
                <w:szCs w:val="21"/>
                <w:highlight w:val="none"/>
              </w:rPr>
              <w:t>照明灯具</w:t>
            </w:r>
          </w:p>
        </w:tc>
        <w:tc>
          <w:tcPr>
            <w:tcW w:w="5613" w:type="dxa"/>
            <w:noWrap/>
            <w:vAlign w:val="center"/>
          </w:tcPr>
          <w:p w14:paraId="55D17073">
            <w:pPr>
              <w:snapToGrid w:val="0"/>
              <w:contextualSpacing/>
              <w:jc w:val="center"/>
              <w:rPr>
                <w:color w:val="auto"/>
                <w:szCs w:val="21"/>
                <w:highlight w:val="none"/>
              </w:rPr>
            </w:pPr>
            <w:r>
              <w:rPr>
                <w:color w:val="auto"/>
                <w:szCs w:val="21"/>
                <w:highlight w:val="none"/>
              </w:rPr>
              <w:t>照明灯具无灰尘、蜘蛛网和昆虫等</w:t>
            </w:r>
          </w:p>
        </w:tc>
      </w:tr>
      <w:tr w14:paraId="1A6E7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7F48196F">
            <w:pPr>
              <w:snapToGrid w:val="0"/>
              <w:contextualSpacing/>
              <w:jc w:val="center"/>
              <w:rPr>
                <w:color w:val="auto"/>
                <w:szCs w:val="21"/>
                <w:highlight w:val="none"/>
              </w:rPr>
            </w:pPr>
            <w:r>
              <w:rPr>
                <w:color w:val="auto"/>
                <w:szCs w:val="21"/>
                <w:highlight w:val="none"/>
              </w:rPr>
              <w:t>9</w:t>
            </w:r>
          </w:p>
        </w:tc>
        <w:tc>
          <w:tcPr>
            <w:tcW w:w="2095" w:type="dxa"/>
            <w:noWrap/>
            <w:vAlign w:val="center"/>
          </w:tcPr>
          <w:p w14:paraId="0C04BECC">
            <w:pPr>
              <w:snapToGrid w:val="0"/>
              <w:contextualSpacing/>
              <w:jc w:val="center"/>
              <w:rPr>
                <w:color w:val="auto"/>
                <w:szCs w:val="21"/>
                <w:highlight w:val="none"/>
              </w:rPr>
            </w:pPr>
            <w:r>
              <w:rPr>
                <w:color w:val="auto"/>
                <w:szCs w:val="21"/>
                <w:highlight w:val="none"/>
              </w:rPr>
              <w:t>文件柜、工具柜</w:t>
            </w:r>
          </w:p>
        </w:tc>
        <w:tc>
          <w:tcPr>
            <w:tcW w:w="5613" w:type="dxa"/>
            <w:noWrap/>
            <w:vAlign w:val="center"/>
          </w:tcPr>
          <w:p w14:paraId="2D185B2C">
            <w:pPr>
              <w:snapToGrid w:val="0"/>
              <w:contextualSpacing/>
              <w:jc w:val="center"/>
              <w:rPr>
                <w:color w:val="auto"/>
                <w:szCs w:val="21"/>
                <w:highlight w:val="none"/>
              </w:rPr>
            </w:pPr>
            <w:r>
              <w:rPr>
                <w:color w:val="auto"/>
                <w:szCs w:val="21"/>
                <w:highlight w:val="none"/>
              </w:rPr>
              <w:t>文件柜、工具柜无灰尘、赃迹，物品定位放置，标识清楚</w:t>
            </w:r>
          </w:p>
        </w:tc>
      </w:tr>
      <w:tr w14:paraId="3D667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19D5ACE8">
            <w:pPr>
              <w:snapToGrid w:val="0"/>
              <w:contextualSpacing/>
              <w:jc w:val="center"/>
              <w:rPr>
                <w:color w:val="auto"/>
                <w:szCs w:val="21"/>
                <w:highlight w:val="none"/>
              </w:rPr>
            </w:pPr>
            <w:r>
              <w:rPr>
                <w:color w:val="auto"/>
                <w:szCs w:val="21"/>
                <w:highlight w:val="none"/>
              </w:rPr>
              <w:t>10</w:t>
            </w:r>
          </w:p>
        </w:tc>
        <w:tc>
          <w:tcPr>
            <w:tcW w:w="2095" w:type="dxa"/>
            <w:noWrap/>
            <w:vAlign w:val="center"/>
          </w:tcPr>
          <w:p w14:paraId="35570FB5">
            <w:pPr>
              <w:snapToGrid w:val="0"/>
              <w:contextualSpacing/>
              <w:jc w:val="center"/>
              <w:rPr>
                <w:color w:val="auto"/>
                <w:szCs w:val="21"/>
                <w:highlight w:val="none"/>
              </w:rPr>
            </w:pPr>
            <w:r>
              <w:rPr>
                <w:color w:val="auto"/>
                <w:szCs w:val="21"/>
                <w:highlight w:val="none"/>
              </w:rPr>
              <w:t>空调</w:t>
            </w:r>
          </w:p>
        </w:tc>
        <w:tc>
          <w:tcPr>
            <w:tcW w:w="5613" w:type="dxa"/>
            <w:noWrap/>
            <w:vAlign w:val="center"/>
          </w:tcPr>
          <w:p w14:paraId="68025AE8">
            <w:pPr>
              <w:snapToGrid w:val="0"/>
              <w:contextualSpacing/>
              <w:jc w:val="center"/>
              <w:rPr>
                <w:color w:val="auto"/>
                <w:szCs w:val="21"/>
                <w:highlight w:val="none"/>
              </w:rPr>
            </w:pPr>
            <w:r>
              <w:rPr>
                <w:color w:val="auto"/>
                <w:szCs w:val="21"/>
                <w:highlight w:val="none"/>
              </w:rPr>
              <w:t>空调各部位无灰尘、赃迹</w:t>
            </w:r>
          </w:p>
        </w:tc>
      </w:tr>
      <w:tr w14:paraId="18646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0" w:type="dxa"/>
            <w:noWrap/>
            <w:vAlign w:val="center"/>
          </w:tcPr>
          <w:p w14:paraId="1E666A06">
            <w:pPr>
              <w:snapToGrid w:val="0"/>
              <w:contextualSpacing/>
              <w:jc w:val="center"/>
              <w:rPr>
                <w:color w:val="auto"/>
                <w:szCs w:val="21"/>
                <w:highlight w:val="none"/>
              </w:rPr>
            </w:pPr>
            <w:r>
              <w:rPr>
                <w:color w:val="auto"/>
                <w:szCs w:val="21"/>
                <w:highlight w:val="none"/>
              </w:rPr>
              <w:t>11</w:t>
            </w:r>
          </w:p>
        </w:tc>
        <w:tc>
          <w:tcPr>
            <w:tcW w:w="2095" w:type="dxa"/>
            <w:noWrap/>
            <w:vAlign w:val="center"/>
          </w:tcPr>
          <w:p w14:paraId="59FE2AB7">
            <w:pPr>
              <w:snapToGrid w:val="0"/>
              <w:contextualSpacing/>
              <w:jc w:val="center"/>
              <w:rPr>
                <w:color w:val="auto"/>
                <w:szCs w:val="21"/>
                <w:highlight w:val="none"/>
              </w:rPr>
            </w:pPr>
            <w:r>
              <w:rPr>
                <w:color w:val="auto"/>
                <w:szCs w:val="21"/>
                <w:highlight w:val="none"/>
              </w:rPr>
              <w:t>制度牌</w:t>
            </w:r>
          </w:p>
        </w:tc>
        <w:tc>
          <w:tcPr>
            <w:tcW w:w="5613" w:type="dxa"/>
            <w:noWrap/>
            <w:vAlign w:val="center"/>
          </w:tcPr>
          <w:p w14:paraId="06B993B6">
            <w:pPr>
              <w:snapToGrid w:val="0"/>
              <w:contextualSpacing/>
              <w:jc w:val="center"/>
              <w:rPr>
                <w:color w:val="auto"/>
                <w:szCs w:val="21"/>
                <w:highlight w:val="none"/>
              </w:rPr>
            </w:pPr>
            <w:r>
              <w:rPr>
                <w:color w:val="auto"/>
                <w:szCs w:val="21"/>
                <w:highlight w:val="none"/>
              </w:rPr>
              <w:t>各类制度牌上无灰尘、水迹</w:t>
            </w:r>
          </w:p>
        </w:tc>
      </w:tr>
    </w:tbl>
    <w:p w14:paraId="6021FEA3">
      <w:pPr>
        <w:spacing w:line="360" w:lineRule="auto"/>
        <w:jc w:val="center"/>
        <w:rPr>
          <w:b/>
          <w:color w:val="auto"/>
          <w:szCs w:val="21"/>
          <w:highlight w:val="none"/>
        </w:rPr>
      </w:pPr>
      <w:r>
        <w:rPr>
          <w:b/>
          <w:color w:val="auto"/>
          <w:szCs w:val="21"/>
          <w:highlight w:val="none"/>
        </w:rPr>
        <w:t>高压配电间清扫</w:t>
      </w:r>
      <w:r>
        <w:rPr>
          <w:rFonts w:hint="eastAsia"/>
          <w:b/>
          <w:color w:val="auto"/>
          <w:szCs w:val="21"/>
          <w:highlight w:val="none"/>
        </w:rPr>
        <w:t>标准</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2052"/>
        <w:gridCol w:w="5674"/>
      </w:tblGrid>
      <w:tr w14:paraId="51A00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13329406">
            <w:pPr>
              <w:snapToGrid w:val="0"/>
              <w:contextualSpacing/>
              <w:jc w:val="center"/>
              <w:rPr>
                <w:color w:val="auto"/>
                <w:szCs w:val="21"/>
                <w:highlight w:val="none"/>
              </w:rPr>
            </w:pPr>
            <w:r>
              <w:rPr>
                <w:color w:val="auto"/>
                <w:szCs w:val="21"/>
                <w:highlight w:val="none"/>
              </w:rPr>
              <w:t>序号</w:t>
            </w:r>
          </w:p>
        </w:tc>
        <w:tc>
          <w:tcPr>
            <w:tcW w:w="2052" w:type="dxa"/>
            <w:noWrap/>
            <w:vAlign w:val="center"/>
          </w:tcPr>
          <w:p w14:paraId="166577BC">
            <w:pPr>
              <w:snapToGrid w:val="0"/>
              <w:contextualSpacing/>
              <w:jc w:val="center"/>
              <w:rPr>
                <w:color w:val="auto"/>
                <w:szCs w:val="21"/>
                <w:highlight w:val="none"/>
              </w:rPr>
            </w:pPr>
            <w:r>
              <w:rPr>
                <w:color w:val="auto"/>
                <w:szCs w:val="21"/>
                <w:highlight w:val="none"/>
              </w:rPr>
              <w:t>部  位</w:t>
            </w:r>
          </w:p>
        </w:tc>
        <w:tc>
          <w:tcPr>
            <w:tcW w:w="5674" w:type="dxa"/>
            <w:noWrap/>
            <w:vAlign w:val="center"/>
          </w:tcPr>
          <w:p w14:paraId="4DAF1AB2">
            <w:pPr>
              <w:snapToGrid w:val="0"/>
              <w:contextualSpacing/>
              <w:jc w:val="center"/>
              <w:rPr>
                <w:color w:val="auto"/>
                <w:szCs w:val="21"/>
                <w:highlight w:val="none"/>
              </w:rPr>
            </w:pPr>
            <w:r>
              <w:rPr>
                <w:color w:val="auto"/>
                <w:szCs w:val="21"/>
                <w:highlight w:val="none"/>
              </w:rPr>
              <w:t>清洁</w:t>
            </w:r>
            <w:r>
              <w:rPr>
                <w:rFonts w:hint="eastAsia"/>
                <w:color w:val="auto"/>
                <w:szCs w:val="21"/>
                <w:highlight w:val="none"/>
              </w:rPr>
              <w:t>标准</w:t>
            </w:r>
          </w:p>
        </w:tc>
      </w:tr>
      <w:tr w14:paraId="104EE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04885673">
            <w:pPr>
              <w:snapToGrid w:val="0"/>
              <w:contextualSpacing/>
              <w:jc w:val="center"/>
              <w:rPr>
                <w:color w:val="auto"/>
                <w:szCs w:val="21"/>
                <w:highlight w:val="none"/>
              </w:rPr>
            </w:pPr>
            <w:r>
              <w:rPr>
                <w:color w:val="auto"/>
                <w:szCs w:val="21"/>
                <w:highlight w:val="none"/>
              </w:rPr>
              <w:t>1</w:t>
            </w:r>
          </w:p>
        </w:tc>
        <w:tc>
          <w:tcPr>
            <w:tcW w:w="2052" w:type="dxa"/>
            <w:noWrap/>
            <w:vAlign w:val="center"/>
          </w:tcPr>
          <w:p w14:paraId="7D692143">
            <w:pPr>
              <w:snapToGrid w:val="0"/>
              <w:contextualSpacing/>
              <w:jc w:val="center"/>
              <w:rPr>
                <w:color w:val="auto"/>
                <w:szCs w:val="21"/>
                <w:highlight w:val="none"/>
              </w:rPr>
            </w:pPr>
            <w:r>
              <w:rPr>
                <w:color w:val="auto"/>
                <w:szCs w:val="21"/>
                <w:highlight w:val="none"/>
              </w:rPr>
              <w:t>地面</w:t>
            </w:r>
          </w:p>
        </w:tc>
        <w:tc>
          <w:tcPr>
            <w:tcW w:w="5674" w:type="dxa"/>
            <w:noWrap/>
            <w:vAlign w:val="center"/>
          </w:tcPr>
          <w:p w14:paraId="452DFCFA">
            <w:pPr>
              <w:snapToGrid w:val="0"/>
              <w:contextualSpacing/>
              <w:jc w:val="center"/>
              <w:rPr>
                <w:color w:val="auto"/>
                <w:szCs w:val="21"/>
                <w:highlight w:val="none"/>
              </w:rPr>
            </w:pPr>
            <w:r>
              <w:rPr>
                <w:color w:val="auto"/>
                <w:szCs w:val="21"/>
                <w:highlight w:val="none"/>
              </w:rPr>
              <w:t>地面无灰尘、油渍、水迹，室内物品定位摆放，通道线清晰无断处</w:t>
            </w:r>
          </w:p>
        </w:tc>
      </w:tr>
      <w:tr w14:paraId="4EEBD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3D7C852B">
            <w:pPr>
              <w:snapToGrid w:val="0"/>
              <w:contextualSpacing/>
              <w:jc w:val="center"/>
              <w:rPr>
                <w:color w:val="auto"/>
                <w:szCs w:val="21"/>
                <w:highlight w:val="none"/>
              </w:rPr>
            </w:pPr>
            <w:r>
              <w:rPr>
                <w:color w:val="auto"/>
                <w:szCs w:val="21"/>
                <w:highlight w:val="none"/>
              </w:rPr>
              <w:t>2</w:t>
            </w:r>
          </w:p>
        </w:tc>
        <w:tc>
          <w:tcPr>
            <w:tcW w:w="2052" w:type="dxa"/>
            <w:noWrap/>
            <w:vAlign w:val="center"/>
          </w:tcPr>
          <w:p w14:paraId="6D0DA081">
            <w:pPr>
              <w:snapToGrid w:val="0"/>
              <w:contextualSpacing/>
              <w:jc w:val="center"/>
              <w:rPr>
                <w:color w:val="auto"/>
                <w:szCs w:val="21"/>
                <w:highlight w:val="none"/>
              </w:rPr>
            </w:pPr>
            <w:r>
              <w:rPr>
                <w:color w:val="auto"/>
                <w:szCs w:val="21"/>
                <w:highlight w:val="none"/>
              </w:rPr>
              <w:t>绝缘垫</w:t>
            </w:r>
          </w:p>
        </w:tc>
        <w:tc>
          <w:tcPr>
            <w:tcW w:w="5674" w:type="dxa"/>
            <w:noWrap/>
            <w:vAlign w:val="center"/>
          </w:tcPr>
          <w:p w14:paraId="3ED3658E">
            <w:pPr>
              <w:snapToGrid w:val="0"/>
              <w:contextualSpacing/>
              <w:jc w:val="center"/>
              <w:rPr>
                <w:color w:val="auto"/>
                <w:szCs w:val="21"/>
                <w:highlight w:val="none"/>
              </w:rPr>
            </w:pPr>
            <w:r>
              <w:rPr>
                <w:color w:val="auto"/>
                <w:szCs w:val="21"/>
                <w:highlight w:val="none"/>
              </w:rPr>
              <w:t>绝缘垫无灰尘、水迹。</w:t>
            </w:r>
          </w:p>
        </w:tc>
      </w:tr>
      <w:tr w14:paraId="28F5B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490864DB">
            <w:pPr>
              <w:snapToGrid w:val="0"/>
              <w:contextualSpacing/>
              <w:jc w:val="center"/>
              <w:rPr>
                <w:color w:val="auto"/>
                <w:szCs w:val="21"/>
                <w:highlight w:val="none"/>
              </w:rPr>
            </w:pPr>
            <w:r>
              <w:rPr>
                <w:color w:val="auto"/>
                <w:szCs w:val="21"/>
                <w:highlight w:val="none"/>
              </w:rPr>
              <w:t>3</w:t>
            </w:r>
          </w:p>
        </w:tc>
        <w:tc>
          <w:tcPr>
            <w:tcW w:w="2052" w:type="dxa"/>
            <w:noWrap/>
            <w:vAlign w:val="center"/>
          </w:tcPr>
          <w:p w14:paraId="6211F2F5">
            <w:pPr>
              <w:snapToGrid w:val="0"/>
              <w:contextualSpacing/>
              <w:jc w:val="center"/>
              <w:rPr>
                <w:color w:val="auto"/>
                <w:szCs w:val="21"/>
                <w:highlight w:val="none"/>
              </w:rPr>
            </w:pPr>
            <w:r>
              <w:rPr>
                <w:color w:val="auto"/>
                <w:szCs w:val="21"/>
                <w:highlight w:val="none"/>
              </w:rPr>
              <w:t>天花板、墙壁</w:t>
            </w:r>
          </w:p>
        </w:tc>
        <w:tc>
          <w:tcPr>
            <w:tcW w:w="5674" w:type="dxa"/>
            <w:noWrap/>
            <w:vAlign w:val="center"/>
          </w:tcPr>
          <w:p w14:paraId="65A29331">
            <w:pPr>
              <w:snapToGrid w:val="0"/>
              <w:contextualSpacing/>
              <w:jc w:val="center"/>
              <w:rPr>
                <w:color w:val="auto"/>
                <w:szCs w:val="21"/>
                <w:highlight w:val="none"/>
              </w:rPr>
            </w:pPr>
            <w:r>
              <w:rPr>
                <w:color w:val="auto"/>
                <w:szCs w:val="21"/>
                <w:highlight w:val="none"/>
              </w:rPr>
              <w:t>天花板、墙壁无灰尘和蜘蛛网</w:t>
            </w:r>
          </w:p>
        </w:tc>
      </w:tr>
      <w:tr w14:paraId="07A41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75A4E6EE">
            <w:pPr>
              <w:snapToGrid w:val="0"/>
              <w:contextualSpacing/>
              <w:jc w:val="center"/>
              <w:rPr>
                <w:color w:val="auto"/>
                <w:szCs w:val="21"/>
                <w:highlight w:val="none"/>
              </w:rPr>
            </w:pPr>
            <w:r>
              <w:rPr>
                <w:color w:val="auto"/>
                <w:szCs w:val="21"/>
                <w:highlight w:val="none"/>
              </w:rPr>
              <w:t>4</w:t>
            </w:r>
          </w:p>
        </w:tc>
        <w:tc>
          <w:tcPr>
            <w:tcW w:w="2052" w:type="dxa"/>
            <w:noWrap/>
            <w:vAlign w:val="center"/>
          </w:tcPr>
          <w:p w14:paraId="523C33B8">
            <w:pPr>
              <w:snapToGrid w:val="0"/>
              <w:contextualSpacing/>
              <w:jc w:val="center"/>
              <w:rPr>
                <w:color w:val="auto"/>
                <w:szCs w:val="21"/>
                <w:highlight w:val="none"/>
              </w:rPr>
            </w:pPr>
            <w:r>
              <w:rPr>
                <w:color w:val="auto"/>
                <w:szCs w:val="21"/>
                <w:highlight w:val="none"/>
              </w:rPr>
              <w:t>照明灯具</w:t>
            </w:r>
          </w:p>
        </w:tc>
        <w:tc>
          <w:tcPr>
            <w:tcW w:w="5674" w:type="dxa"/>
            <w:noWrap/>
            <w:vAlign w:val="center"/>
          </w:tcPr>
          <w:p w14:paraId="6A98EC0A">
            <w:pPr>
              <w:snapToGrid w:val="0"/>
              <w:contextualSpacing/>
              <w:jc w:val="center"/>
              <w:rPr>
                <w:color w:val="auto"/>
                <w:szCs w:val="21"/>
                <w:highlight w:val="none"/>
              </w:rPr>
            </w:pPr>
            <w:r>
              <w:rPr>
                <w:color w:val="auto"/>
                <w:szCs w:val="21"/>
                <w:highlight w:val="none"/>
              </w:rPr>
              <w:t>照明灯具无灰尘、蜘蛛网和昆虫等</w:t>
            </w:r>
          </w:p>
        </w:tc>
      </w:tr>
      <w:tr w14:paraId="171D6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3E56E36E">
            <w:pPr>
              <w:snapToGrid w:val="0"/>
              <w:contextualSpacing/>
              <w:jc w:val="center"/>
              <w:rPr>
                <w:color w:val="auto"/>
                <w:szCs w:val="21"/>
                <w:highlight w:val="none"/>
              </w:rPr>
            </w:pPr>
            <w:r>
              <w:rPr>
                <w:color w:val="auto"/>
                <w:szCs w:val="21"/>
                <w:highlight w:val="none"/>
              </w:rPr>
              <w:t>5</w:t>
            </w:r>
          </w:p>
        </w:tc>
        <w:tc>
          <w:tcPr>
            <w:tcW w:w="2052" w:type="dxa"/>
            <w:noWrap/>
            <w:vAlign w:val="center"/>
          </w:tcPr>
          <w:p w14:paraId="265FC156">
            <w:pPr>
              <w:snapToGrid w:val="0"/>
              <w:contextualSpacing/>
              <w:jc w:val="center"/>
              <w:rPr>
                <w:color w:val="auto"/>
                <w:szCs w:val="21"/>
                <w:highlight w:val="none"/>
              </w:rPr>
            </w:pPr>
            <w:r>
              <w:rPr>
                <w:color w:val="auto"/>
                <w:szCs w:val="21"/>
                <w:highlight w:val="none"/>
              </w:rPr>
              <w:t>门、窗</w:t>
            </w:r>
          </w:p>
        </w:tc>
        <w:tc>
          <w:tcPr>
            <w:tcW w:w="5674" w:type="dxa"/>
            <w:noWrap/>
            <w:vAlign w:val="center"/>
          </w:tcPr>
          <w:p w14:paraId="4288D9EE">
            <w:pPr>
              <w:snapToGrid w:val="0"/>
              <w:contextualSpacing/>
              <w:jc w:val="center"/>
              <w:rPr>
                <w:color w:val="auto"/>
                <w:szCs w:val="21"/>
                <w:highlight w:val="none"/>
              </w:rPr>
            </w:pPr>
            <w:r>
              <w:rPr>
                <w:color w:val="auto"/>
                <w:szCs w:val="21"/>
                <w:highlight w:val="none"/>
              </w:rPr>
              <w:t>门窗各部位无灰尘，脏迹和蜘蛛网、昆虫等异物</w:t>
            </w:r>
          </w:p>
        </w:tc>
      </w:tr>
      <w:tr w14:paraId="74AEC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5E677494">
            <w:pPr>
              <w:snapToGrid w:val="0"/>
              <w:contextualSpacing/>
              <w:jc w:val="center"/>
              <w:rPr>
                <w:color w:val="auto"/>
                <w:szCs w:val="21"/>
                <w:highlight w:val="none"/>
              </w:rPr>
            </w:pPr>
            <w:r>
              <w:rPr>
                <w:color w:val="auto"/>
                <w:szCs w:val="21"/>
                <w:highlight w:val="none"/>
              </w:rPr>
              <w:t>6</w:t>
            </w:r>
          </w:p>
        </w:tc>
        <w:tc>
          <w:tcPr>
            <w:tcW w:w="2052" w:type="dxa"/>
            <w:noWrap/>
            <w:vAlign w:val="center"/>
          </w:tcPr>
          <w:p w14:paraId="41F0459B">
            <w:pPr>
              <w:snapToGrid w:val="0"/>
              <w:contextualSpacing/>
              <w:jc w:val="center"/>
              <w:rPr>
                <w:color w:val="auto"/>
                <w:szCs w:val="21"/>
                <w:highlight w:val="none"/>
              </w:rPr>
            </w:pPr>
            <w:r>
              <w:rPr>
                <w:color w:val="auto"/>
                <w:szCs w:val="21"/>
                <w:highlight w:val="none"/>
              </w:rPr>
              <w:t>门窗玻璃</w:t>
            </w:r>
          </w:p>
        </w:tc>
        <w:tc>
          <w:tcPr>
            <w:tcW w:w="5674" w:type="dxa"/>
            <w:noWrap/>
            <w:vAlign w:val="center"/>
          </w:tcPr>
          <w:p w14:paraId="39AB1E1B">
            <w:pPr>
              <w:snapToGrid w:val="0"/>
              <w:contextualSpacing/>
              <w:jc w:val="center"/>
              <w:rPr>
                <w:color w:val="auto"/>
                <w:szCs w:val="21"/>
                <w:highlight w:val="none"/>
              </w:rPr>
            </w:pPr>
            <w:r>
              <w:rPr>
                <w:color w:val="auto"/>
                <w:szCs w:val="21"/>
                <w:highlight w:val="none"/>
              </w:rPr>
              <w:t>玻璃无灰尘、赃迹、水迹</w:t>
            </w:r>
          </w:p>
        </w:tc>
      </w:tr>
      <w:tr w14:paraId="2EA5F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6F20E3FC">
            <w:pPr>
              <w:snapToGrid w:val="0"/>
              <w:contextualSpacing/>
              <w:jc w:val="center"/>
              <w:rPr>
                <w:color w:val="auto"/>
                <w:szCs w:val="21"/>
                <w:highlight w:val="none"/>
              </w:rPr>
            </w:pPr>
            <w:r>
              <w:rPr>
                <w:color w:val="auto"/>
                <w:szCs w:val="21"/>
                <w:highlight w:val="none"/>
              </w:rPr>
              <w:t>7</w:t>
            </w:r>
          </w:p>
        </w:tc>
        <w:tc>
          <w:tcPr>
            <w:tcW w:w="2052" w:type="dxa"/>
            <w:noWrap/>
            <w:vAlign w:val="center"/>
          </w:tcPr>
          <w:p w14:paraId="5BD7325B">
            <w:pPr>
              <w:snapToGrid w:val="0"/>
              <w:contextualSpacing/>
              <w:jc w:val="center"/>
              <w:rPr>
                <w:color w:val="auto"/>
                <w:szCs w:val="21"/>
                <w:highlight w:val="none"/>
              </w:rPr>
            </w:pPr>
            <w:r>
              <w:rPr>
                <w:color w:val="auto"/>
                <w:szCs w:val="21"/>
                <w:highlight w:val="none"/>
              </w:rPr>
              <w:t>纱窗</w:t>
            </w:r>
          </w:p>
        </w:tc>
        <w:tc>
          <w:tcPr>
            <w:tcW w:w="5674" w:type="dxa"/>
            <w:noWrap/>
            <w:vAlign w:val="center"/>
          </w:tcPr>
          <w:p w14:paraId="69B3B7FB">
            <w:pPr>
              <w:snapToGrid w:val="0"/>
              <w:contextualSpacing/>
              <w:jc w:val="center"/>
              <w:rPr>
                <w:color w:val="auto"/>
                <w:szCs w:val="21"/>
                <w:highlight w:val="none"/>
              </w:rPr>
            </w:pPr>
            <w:r>
              <w:rPr>
                <w:color w:val="auto"/>
                <w:szCs w:val="21"/>
                <w:highlight w:val="none"/>
              </w:rPr>
              <w:t>纱窗无灰尘、无小昆虫等异物</w:t>
            </w:r>
          </w:p>
        </w:tc>
      </w:tr>
      <w:tr w14:paraId="78A5F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306AB488">
            <w:pPr>
              <w:snapToGrid w:val="0"/>
              <w:contextualSpacing/>
              <w:jc w:val="center"/>
              <w:rPr>
                <w:color w:val="auto"/>
                <w:szCs w:val="21"/>
                <w:highlight w:val="none"/>
              </w:rPr>
            </w:pPr>
            <w:r>
              <w:rPr>
                <w:color w:val="auto"/>
                <w:szCs w:val="21"/>
                <w:highlight w:val="none"/>
              </w:rPr>
              <w:t>8</w:t>
            </w:r>
          </w:p>
        </w:tc>
        <w:tc>
          <w:tcPr>
            <w:tcW w:w="2052" w:type="dxa"/>
            <w:noWrap/>
            <w:vAlign w:val="center"/>
          </w:tcPr>
          <w:p w14:paraId="089C9C54">
            <w:pPr>
              <w:snapToGrid w:val="0"/>
              <w:contextualSpacing/>
              <w:jc w:val="center"/>
              <w:rPr>
                <w:color w:val="auto"/>
                <w:szCs w:val="21"/>
                <w:highlight w:val="none"/>
              </w:rPr>
            </w:pPr>
            <w:r>
              <w:rPr>
                <w:color w:val="auto"/>
                <w:szCs w:val="21"/>
                <w:highlight w:val="none"/>
              </w:rPr>
              <w:t>灭火器</w:t>
            </w:r>
          </w:p>
        </w:tc>
        <w:tc>
          <w:tcPr>
            <w:tcW w:w="5674" w:type="dxa"/>
            <w:noWrap/>
            <w:vAlign w:val="center"/>
          </w:tcPr>
          <w:p w14:paraId="7B25EA99">
            <w:pPr>
              <w:snapToGrid w:val="0"/>
              <w:contextualSpacing/>
              <w:jc w:val="center"/>
              <w:rPr>
                <w:color w:val="auto"/>
                <w:szCs w:val="21"/>
                <w:highlight w:val="none"/>
              </w:rPr>
            </w:pPr>
            <w:r>
              <w:rPr>
                <w:color w:val="auto"/>
                <w:szCs w:val="21"/>
                <w:highlight w:val="none"/>
              </w:rPr>
              <w:t>灭火器箱子和本体无灰尘、赃迹，定位标志清晰</w:t>
            </w:r>
          </w:p>
        </w:tc>
      </w:tr>
      <w:tr w14:paraId="68F28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11F25813">
            <w:pPr>
              <w:snapToGrid w:val="0"/>
              <w:contextualSpacing/>
              <w:jc w:val="center"/>
              <w:rPr>
                <w:color w:val="auto"/>
                <w:szCs w:val="21"/>
                <w:highlight w:val="none"/>
              </w:rPr>
            </w:pPr>
            <w:r>
              <w:rPr>
                <w:color w:val="auto"/>
                <w:szCs w:val="21"/>
                <w:highlight w:val="none"/>
              </w:rPr>
              <w:t>9</w:t>
            </w:r>
          </w:p>
        </w:tc>
        <w:tc>
          <w:tcPr>
            <w:tcW w:w="2052" w:type="dxa"/>
            <w:noWrap/>
            <w:vAlign w:val="center"/>
          </w:tcPr>
          <w:p w14:paraId="19299A8F">
            <w:pPr>
              <w:snapToGrid w:val="0"/>
              <w:contextualSpacing/>
              <w:jc w:val="center"/>
              <w:rPr>
                <w:color w:val="auto"/>
                <w:szCs w:val="21"/>
                <w:highlight w:val="none"/>
              </w:rPr>
            </w:pPr>
            <w:r>
              <w:rPr>
                <w:color w:val="auto"/>
                <w:szCs w:val="21"/>
                <w:highlight w:val="none"/>
              </w:rPr>
              <w:t>配电柜、变压器四周</w:t>
            </w:r>
          </w:p>
        </w:tc>
        <w:tc>
          <w:tcPr>
            <w:tcW w:w="5674" w:type="dxa"/>
            <w:noWrap/>
            <w:vAlign w:val="center"/>
          </w:tcPr>
          <w:p w14:paraId="6C1B28A1">
            <w:pPr>
              <w:snapToGrid w:val="0"/>
              <w:contextualSpacing/>
              <w:jc w:val="center"/>
              <w:rPr>
                <w:color w:val="auto"/>
                <w:szCs w:val="21"/>
                <w:highlight w:val="none"/>
              </w:rPr>
            </w:pPr>
            <w:r>
              <w:rPr>
                <w:color w:val="auto"/>
                <w:szCs w:val="21"/>
                <w:highlight w:val="none"/>
              </w:rPr>
              <w:t>配电柜、干式变压器的四周表面无灰尘和赃迹、水迹</w:t>
            </w:r>
          </w:p>
        </w:tc>
      </w:tr>
      <w:tr w14:paraId="421F4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3B985597">
            <w:pPr>
              <w:snapToGrid w:val="0"/>
              <w:contextualSpacing/>
              <w:jc w:val="center"/>
              <w:rPr>
                <w:color w:val="auto"/>
                <w:szCs w:val="21"/>
                <w:highlight w:val="none"/>
              </w:rPr>
            </w:pPr>
            <w:r>
              <w:rPr>
                <w:color w:val="auto"/>
                <w:szCs w:val="21"/>
                <w:highlight w:val="none"/>
              </w:rPr>
              <w:t>10</w:t>
            </w:r>
          </w:p>
        </w:tc>
        <w:tc>
          <w:tcPr>
            <w:tcW w:w="2052" w:type="dxa"/>
            <w:noWrap/>
            <w:vAlign w:val="center"/>
          </w:tcPr>
          <w:p w14:paraId="5E184DFB">
            <w:pPr>
              <w:snapToGrid w:val="0"/>
              <w:contextualSpacing/>
              <w:jc w:val="center"/>
              <w:rPr>
                <w:color w:val="auto"/>
                <w:szCs w:val="21"/>
                <w:highlight w:val="none"/>
              </w:rPr>
            </w:pPr>
            <w:r>
              <w:rPr>
                <w:color w:val="auto"/>
                <w:szCs w:val="21"/>
                <w:highlight w:val="none"/>
              </w:rPr>
              <w:t>仪表、指示灯、按钮开关手柄</w:t>
            </w:r>
          </w:p>
        </w:tc>
        <w:tc>
          <w:tcPr>
            <w:tcW w:w="5674" w:type="dxa"/>
            <w:noWrap/>
            <w:vAlign w:val="center"/>
          </w:tcPr>
          <w:p w14:paraId="65748500">
            <w:pPr>
              <w:snapToGrid w:val="0"/>
              <w:contextualSpacing/>
              <w:jc w:val="center"/>
              <w:rPr>
                <w:color w:val="auto"/>
                <w:szCs w:val="21"/>
                <w:highlight w:val="none"/>
              </w:rPr>
            </w:pPr>
            <w:r>
              <w:rPr>
                <w:color w:val="auto"/>
                <w:szCs w:val="21"/>
                <w:highlight w:val="none"/>
              </w:rPr>
              <w:t>仪表、指示灯、按钮、开关手柄上无灰尘</w:t>
            </w:r>
          </w:p>
        </w:tc>
      </w:tr>
      <w:tr w14:paraId="26594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4472C0F8">
            <w:pPr>
              <w:snapToGrid w:val="0"/>
              <w:contextualSpacing/>
              <w:jc w:val="center"/>
              <w:rPr>
                <w:color w:val="auto"/>
                <w:szCs w:val="21"/>
                <w:highlight w:val="none"/>
              </w:rPr>
            </w:pPr>
            <w:r>
              <w:rPr>
                <w:color w:val="auto"/>
                <w:szCs w:val="21"/>
                <w:highlight w:val="none"/>
              </w:rPr>
              <w:t>11</w:t>
            </w:r>
          </w:p>
        </w:tc>
        <w:tc>
          <w:tcPr>
            <w:tcW w:w="2052" w:type="dxa"/>
            <w:noWrap/>
            <w:vAlign w:val="center"/>
          </w:tcPr>
          <w:p w14:paraId="0161D47F">
            <w:pPr>
              <w:snapToGrid w:val="0"/>
              <w:contextualSpacing/>
              <w:jc w:val="center"/>
              <w:rPr>
                <w:color w:val="auto"/>
                <w:szCs w:val="21"/>
                <w:highlight w:val="none"/>
              </w:rPr>
            </w:pPr>
            <w:r>
              <w:rPr>
                <w:color w:val="auto"/>
                <w:szCs w:val="21"/>
                <w:highlight w:val="none"/>
              </w:rPr>
              <w:t>标识牌、制度牌</w:t>
            </w:r>
          </w:p>
        </w:tc>
        <w:tc>
          <w:tcPr>
            <w:tcW w:w="5674" w:type="dxa"/>
            <w:noWrap/>
            <w:vAlign w:val="center"/>
          </w:tcPr>
          <w:p w14:paraId="2121BCEB">
            <w:pPr>
              <w:snapToGrid w:val="0"/>
              <w:contextualSpacing/>
              <w:jc w:val="center"/>
              <w:rPr>
                <w:color w:val="auto"/>
                <w:szCs w:val="21"/>
                <w:highlight w:val="none"/>
              </w:rPr>
            </w:pPr>
            <w:r>
              <w:rPr>
                <w:color w:val="auto"/>
                <w:szCs w:val="21"/>
                <w:highlight w:val="none"/>
              </w:rPr>
              <w:t>各类制度牌、标识牌上无灰尘、水迹</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标识清晰准确</w:t>
            </w:r>
          </w:p>
        </w:tc>
      </w:tr>
      <w:tr w14:paraId="77E6E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2" w:type="dxa"/>
            <w:noWrap/>
            <w:vAlign w:val="center"/>
          </w:tcPr>
          <w:p w14:paraId="49070F95">
            <w:pPr>
              <w:snapToGrid w:val="0"/>
              <w:contextualSpacing/>
              <w:jc w:val="center"/>
              <w:rPr>
                <w:color w:val="auto"/>
                <w:szCs w:val="21"/>
                <w:highlight w:val="none"/>
              </w:rPr>
            </w:pPr>
            <w:r>
              <w:rPr>
                <w:color w:val="auto"/>
                <w:szCs w:val="21"/>
                <w:highlight w:val="none"/>
              </w:rPr>
              <w:t>12</w:t>
            </w:r>
          </w:p>
        </w:tc>
        <w:tc>
          <w:tcPr>
            <w:tcW w:w="2052" w:type="dxa"/>
            <w:noWrap/>
            <w:vAlign w:val="center"/>
          </w:tcPr>
          <w:p w14:paraId="2EED9684">
            <w:pPr>
              <w:snapToGrid w:val="0"/>
              <w:contextualSpacing/>
              <w:jc w:val="center"/>
              <w:rPr>
                <w:color w:val="auto"/>
                <w:szCs w:val="21"/>
                <w:highlight w:val="none"/>
              </w:rPr>
            </w:pPr>
            <w:r>
              <w:rPr>
                <w:color w:val="auto"/>
                <w:szCs w:val="21"/>
                <w:highlight w:val="none"/>
              </w:rPr>
              <w:t>室内、外电缆沟</w:t>
            </w:r>
          </w:p>
        </w:tc>
        <w:tc>
          <w:tcPr>
            <w:tcW w:w="5674" w:type="dxa"/>
            <w:noWrap/>
            <w:vAlign w:val="center"/>
          </w:tcPr>
          <w:p w14:paraId="6BB41DC4">
            <w:pPr>
              <w:snapToGrid w:val="0"/>
              <w:contextualSpacing/>
              <w:jc w:val="center"/>
              <w:rPr>
                <w:color w:val="auto"/>
                <w:szCs w:val="21"/>
                <w:highlight w:val="none"/>
              </w:rPr>
            </w:pPr>
            <w:r>
              <w:rPr>
                <w:color w:val="auto"/>
                <w:szCs w:val="21"/>
                <w:highlight w:val="none"/>
              </w:rPr>
              <w:t>管线敷设整齐，无杂物、无积尘、无积水</w:t>
            </w:r>
          </w:p>
        </w:tc>
      </w:tr>
    </w:tbl>
    <w:p w14:paraId="6FC23749">
      <w:pPr>
        <w:spacing w:line="360" w:lineRule="auto"/>
        <w:ind w:firstLine="420" w:firstLineChars="200"/>
        <w:jc w:val="left"/>
        <w:rPr>
          <w:b/>
          <w:color w:val="auto"/>
          <w:szCs w:val="21"/>
          <w:highlight w:val="none"/>
        </w:rPr>
      </w:pPr>
      <w:r>
        <w:rPr>
          <w:b/>
          <w:color w:val="auto"/>
          <w:kern w:val="0"/>
          <w:szCs w:val="21"/>
          <w:highlight w:val="none"/>
        </w:rPr>
        <w:t>（</w:t>
      </w:r>
      <w:r>
        <w:rPr>
          <w:rFonts w:hint="eastAsia"/>
          <w:b/>
          <w:color w:val="auto"/>
          <w:kern w:val="0"/>
          <w:szCs w:val="21"/>
          <w:highlight w:val="none"/>
        </w:rPr>
        <w:t>三</w:t>
      </w:r>
      <w:r>
        <w:rPr>
          <w:b/>
          <w:color w:val="auto"/>
          <w:kern w:val="0"/>
          <w:szCs w:val="21"/>
          <w:highlight w:val="none"/>
        </w:rPr>
        <w:t>）</w:t>
      </w:r>
      <w:r>
        <w:rPr>
          <w:rFonts w:hint="eastAsia"/>
          <w:b/>
          <w:color w:val="auto"/>
          <w:szCs w:val="21"/>
          <w:highlight w:val="none"/>
        </w:rPr>
        <w:t>本供配电设备设施运行维护服务项目内资产管理及设备设施维护</w:t>
      </w:r>
    </w:p>
    <w:p w14:paraId="08CFDD0A">
      <w:pPr>
        <w:spacing w:line="360" w:lineRule="auto"/>
        <w:ind w:firstLine="420" w:firstLineChars="200"/>
        <w:jc w:val="left"/>
        <w:rPr>
          <w:color w:val="auto"/>
          <w:kern w:val="0"/>
          <w:szCs w:val="21"/>
          <w:highlight w:val="none"/>
        </w:rPr>
      </w:pPr>
      <w:r>
        <w:rPr>
          <w:rFonts w:hint="eastAsia"/>
          <w:bCs/>
          <w:color w:val="auto"/>
          <w:szCs w:val="21"/>
          <w:highlight w:val="none"/>
        </w:rPr>
        <w:t>根据学校有关资产管理规定，做好本项目内资产管理，与学校签订托管资产管理协议，保证学校资产的安全、完整和有效使用，不得发生资产丢失、损毁等问题。按照学校资产管理部门工作要求做好资产的登记、统计、清查及档案管理工作。</w:t>
      </w:r>
    </w:p>
    <w:p w14:paraId="295F834E">
      <w:pPr>
        <w:adjustRightInd w:val="0"/>
        <w:snapToGrid w:val="0"/>
        <w:spacing w:line="360" w:lineRule="auto"/>
        <w:rPr>
          <w:rFonts w:ascii="宋体" w:hAnsi="宋体" w:cs="宋体"/>
          <w:b/>
          <w:color w:val="auto"/>
          <w:szCs w:val="21"/>
          <w:highlight w:val="none"/>
        </w:rPr>
      </w:pPr>
      <w:bookmarkStart w:id="120" w:name="_Toc477275855"/>
      <w:r>
        <w:rPr>
          <w:rFonts w:hint="eastAsia" w:ascii="宋体" w:hAnsi="宋体" w:cs="宋体"/>
          <w:b/>
          <w:color w:val="auto"/>
          <w:sz w:val="24"/>
          <w:highlight w:val="none"/>
        </w:rPr>
        <w:br w:type="page"/>
      </w:r>
      <w:r>
        <w:rPr>
          <w:rFonts w:hint="eastAsia" w:ascii="宋体" w:hAnsi="宋体" w:cs="宋体"/>
          <w:b/>
          <w:color w:val="auto"/>
          <w:szCs w:val="21"/>
          <w:highlight w:val="none"/>
        </w:rPr>
        <w:t>附件4:考核办法</w:t>
      </w:r>
      <w:bookmarkEnd w:id="120"/>
    </w:p>
    <w:p w14:paraId="503D036E">
      <w:pPr>
        <w:pStyle w:val="71"/>
        <w:numPr>
          <w:ilvl w:val="0"/>
          <w:numId w:val="56"/>
        </w:numPr>
        <w:spacing w:line="360" w:lineRule="auto"/>
        <w:ind w:left="0" w:firstLine="436" w:firstLineChars="200"/>
        <w:rPr>
          <w:rFonts w:ascii="宋体" w:hAnsi="宋体" w:cs="仿宋_GB2312"/>
          <w:color w:val="auto"/>
          <w:szCs w:val="21"/>
          <w:highlight w:val="none"/>
        </w:rPr>
      </w:pPr>
      <w:r>
        <w:rPr>
          <w:rFonts w:hint="eastAsia" w:ascii="宋体" w:hAnsi="宋体" w:cs="仿宋_GB2312"/>
          <w:color w:val="auto"/>
          <w:szCs w:val="21"/>
          <w:highlight w:val="none"/>
        </w:rPr>
        <w:t>对运维公司的考核采用月度考核和年度考核相结合的形式。</w:t>
      </w:r>
    </w:p>
    <w:p w14:paraId="4FB9605C">
      <w:pPr>
        <w:pStyle w:val="71"/>
        <w:numPr>
          <w:ilvl w:val="0"/>
          <w:numId w:val="56"/>
        </w:numPr>
        <w:spacing w:line="360" w:lineRule="auto"/>
        <w:ind w:left="0" w:firstLine="436" w:firstLineChars="200"/>
        <w:rPr>
          <w:rFonts w:ascii="宋体" w:hAnsi="宋体" w:cs="仿宋_GB2312"/>
          <w:color w:val="auto"/>
          <w:szCs w:val="21"/>
          <w:highlight w:val="none"/>
        </w:rPr>
      </w:pPr>
      <w:r>
        <w:rPr>
          <w:rFonts w:hint="eastAsia" w:ascii="宋体" w:hAnsi="宋体" w:cs="仿宋_GB2312"/>
          <w:color w:val="auto"/>
          <w:szCs w:val="21"/>
          <w:highlight w:val="none"/>
        </w:rPr>
        <w:t>对运维公司的考核内容包括：日常管理、日常维护、故障处理、工程配合、机房安全管理、安全生产事故管理、客户满意度等。</w:t>
      </w:r>
    </w:p>
    <w:p w14:paraId="15B29B9E">
      <w:pPr>
        <w:pStyle w:val="71"/>
        <w:numPr>
          <w:ilvl w:val="0"/>
          <w:numId w:val="56"/>
        </w:numPr>
        <w:spacing w:line="360" w:lineRule="auto"/>
        <w:ind w:left="0" w:firstLine="436" w:firstLineChars="200"/>
        <w:rPr>
          <w:rFonts w:ascii="宋体" w:hAnsi="宋体" w:cs="仿宋_GB2312"/>
          <w:b/>
          <w:bCs/>
          <w:color w:val="auto"/>
          <w:szCs w:val="21"/>
          <w:highlight w:val="none"/>
        </w:rPr>
      </w:pPr>
      <w:r>
        <w:rPr>
          <w:rFonts w:hint="eastAsia" w:ascii="宋体" w:hAnsi="宋体" w:cs="仿宋_GB2312"/>
          <w:b/>
          <w:bCs/>
          <w:color w:val="auto"/>
          <w:szCs w:val="21"/>
          <w:highlight w:val="none"/>
        </w:rPr>
        <w:t>如运维公司月考核低于8</w:t>
      </w:r>
      <w:r>
        <w:rPr>
          <w:rFonts w:ascii="宋体" w:hAnsi="宋体" w:cs="仿宋_GB2312"/>
          <w:b/>
          <w:bCs/>
          <w:color w:val="auto"/>
          <w:szCs w:val="21"/>
          <w:highlight w:val="none"/>
        </w:rPr>
        <w:t>5</w:t>
      </w:r>
      <w:r>
        <w:rPr>
          <w:rFonts w:hint="eastAsia" w:ascii="宋体" w:hAnsi="宋体" w:cs="仿宋_GB2312"/>
          <w:b/>
          <w:bCs/>
          <w:color w:val="auto"/>
          <w:szCs w:val="21"/>
          <w:highlight w:val="none"/>
        </w:rPr>
        <w:t>分（不含8</w:t>
      </w:r>
      <w:r>
        <w:rPr>
          <w:rFonts w:ascii="宋体" w:hAnsi="宋体" w:cs="仿宋_GB2312"/>
          <w:b/>
          <w:bCs/>
          <w:color w:val="auto"/>
          <w:szCs w:val="21"/>
          <w:highlight w:val="none"/>
        </w:rPr>
        <w:t>5</w:t>
      </w:r>
      <w:r>
        <w:rPr>
          <w:rFonts w:hint="eastAsia" w:ascii="宋体" w:hAnsi="宋体" w:cs="仿宋_GB2312"/>
          <w:b/>
          <w:bCs/>
          <w:color w:val="auto"/>
          <w:szCs w:val="21"/>
          <w:highlight w:val="none"/>
        </w:rPr>
        <w:t>分）扣月运行服务费的5%，如运维公司连续二个月或一年内有三个月的运维工作考核评分低于8</w:t>
      </w:r>
      <w:r>
        <w:rPr>
          <w:rFonts w:ascii="宋体" w:hAnsi="宋体" w:cs="仿宋_GB2312"/>
          <w:b/>
          <w:bCs/>
          <w:color w:val="auto"/>
          <w:szCs w:val="21"/>
          <w:highlight w:val="none"/>
        </w:rPr>
        <w:t>5</w:t>
      </w:r>
      <w:r>
        <w:rPr>
          <w:rFonts w:hint="eastAsia" w:ascii="宋体" w:hAnsi="宋体" w:cs="仿宋_GB2312"/>
          <w:b/>
          <w:bCs/>
          <w:color w:val="auto"/>
          <w:szCs w:val="21"/>
          <w:highlight w:val="none"/>
        </w:rPr>
        <w:t>分（不含8</w:t>
      </w:r>
      <w:r>
        <w:rPr>
          <w:rFonts w:ascii="宋体" w:hAnsi="宋体" w:cs="仿宋_GB2312"/>
          <w:b/>
          <w:bCs/>
          <w:color w:val="auto"/>
          <w:szCs w:val="21"/>
          <w:highlight w:val="none"/>
        </w:rPr>
        <w:t>5</w:t>
      </w:r>
      <w:r>
        <w:rPr>
          <w:rFonts w:hint="eastAsia" w:ascii="宋体" w:hAnsi="宋体" w:cs="仿宋_GB2312"/>
          <w:b/>
          <w:bCs/>
          <w:color w:val="auto"/>
          <w:szCs w:val="21"/>
          <w:highlight w:val="none"/>
        </w:rPr>
        <w:t>分），甲方有权利单方面中止运维合同。（</w:t>
      </w:r>
      <w:r>
        <w:rPr>
          <w:rFonts w:hint="eastAsia" w:ascii="宋体" w:hAnsi="宋体" w:eastAsia="宋体" w:cs="宋体"/>
          <w:b/>
          <w:bCs/>
          <w:color w:val="auto"/>
          <w:szCs w:val="21"/>
          <w:highlight w:val="none"/>
        </w:rPr>
        <w:t>★</w:t>
      </w:r>
      <w:r>
        <w:rPr>
          <w:rFonts w:hint="eastAsia" w:ascii="宋体" w:hAnsi="宋体" w:cs="仿宋_GB2312"/>
          <w:b/>
          <w:bCs/>
          <w:color w:val="auto"/>
          <w:szCs w:val="21"/>
          <w:highlight w:val="none"/>
        </w:rPr>
        <w:t>本条不可偏离）</w:t>
      </w:r>
    </w:p>
    <w:p w14:paraId="0008A8FC">
      <w:pPr>
        <w:spacing w:line="360" w:lineRule="auto"/>
        <w:rPr>
          <w:color w:val="auto"/>
          <w:szCs w:val="21"/>
          <w:highlight w:val="none"/>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6"/>
        <w:gridCol w:w="6069"/>
        <w:gridCol w:w="1163"/>
      </w:tblGrid>
      <w:tr w14:paraId="326CC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296" w:type="dxa"/>
            <w:noWrap/>
            <w:vAlign w:val="center"/>
          </w:tcPr>
          <w:p w14:paraId="674781F1">
            <w:pPr>
              <w:jc w:val="center"/>
              <w:rPr>
                <w:color w:val="auto"/>
                <w:szCs w:val="21"/>
                <w:highlight w:val="none"/>
              </w:rPr>
            </w:pPr>
            <w:r>
              <w:rPr>
                <w:color w:val="auto"/>
                <w:szCs w:val="21"/>
                <w:highlight w:val="none"/>
              </w:rPr>
              <w:t>考核项目</w:t>
            </w:r>
          </w:p>
        </w:tc>
        <w:tc>
          <w:tcPr>
            <w:tcW w:w="6069" w:type="dxa"/>
            <w:noWrap/>
            <w:vAlign w:val="center"/>
          </w:tcPr>
          <w:p w14:paraId="3D50F5CF">
            <w:pPr>
              <w:jc w:val="center"/>
              <w:rPr>
                <w:color w:val="auto"/>
                <w:szCs w:val="21"/>
                <w:highlight w:val="none"/>
              </w:rPr>
            </w:pPr>
            <w:r>
              <w:rPr>
                <w:color w:val="auto"/>
                <w:szCs w:val="21"/>
                <w:highlight w:val="none"/>
              </w:rPr>
              <w:t>考核内容</w:t>
            </w:r>
          </w:p>
        </w:tc>
        <w:tc>
          <w:tcPr>
            <w:tcW w:w="1163" w:type="dxa"/>
            <w:noWrap/>
            <w:vAlign w:val="center"/>
          </w:tcPr>
          <w:p w14:paraId="65F2E5F5">
            <w:pPr>
              <w:jc w:val="center"/>
              <w:rPr>
                <w:color w:val="auto"/>
                <w:szCs w:val="21"/>
                <w:highlight w:val="none"/>
              </w:rPr>
            </w:pPr>
            <w:r>
              <w:rPr>
                <w:rFonts w:hint="eastAsia"/>
                <w:color w:val="auto"/>
                <w:szCs w:val="21"/>
                <w:highlight w:val="none"/>
              </w:rPr>
              <w:t>考核得分</w:t>
            </w:r>
          </w:p>
        </w:tc>
      </w:tr>
      <w:tr w14:paraId="4F2C5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restart"/>
            <w:noWrap/>
            <w:vAlign w:val="center"/>
          </w:tcPr>
          <w:p w14:paraId="121E8417">
            <w:pPr>
              <w:jc w:val="center"/>
              <w:rPr>
                <w:color w:val="auto"/>
                <w:szCs w:val="21"/>
                <w:highlight w:val="none"/>
              </w:rPr>
            </w:pPr>
            <w:r>
              <w:rPr>
                <w:color w:val="auto"/>
                <w:szCs w:val="21"/>
                <w:highlight w:val="none"/>
              </w:rPr>
              <w:t>安全生产</w:t>
            </w:r>
          </w:p>
          <w:p w14:paraId="37BE2BD1">
            <w:pPr>
              <w:jc w:val="center"/>
              <w:rPr>
                <w:color w:val="auto"/>
                <w:szCs w:val="21"/>
                <w:highlight w:val="none"/>
              </w:rPr>
            </w:pPr>
            <w:r>
              <w:rPr>
                <w:color w:val="auto"/>
                <w:szCs w:val="21"/>
                <w:highlight w:val="none"/>
              </w:rPr>
              <w:t>30 分</w:t>
            </w:r>
          </w:p>
        </w:tc>
        <w:tc>
          <w:tcPr>
            <w:tcW w:w="6069" w:type="dxa"/>
            <w:noWrap/>
            <w:vAlign w:val="center"/>
          </w:tcPr>
          <w:p w14:paraId="15A3B304">
            <w:pPr>
              <w:jc w:val="center"/>
              <w:rPr>
                <w:color w:val="auto"/>
                <w:szCs w:val="21"/>
                <w:highlight w:val="none"/>
              </w:rPr>
            </w:pPr>
            <w:r>
              <w:rPr>
                <w:color w:val="auto"/>
                <w:szCs w:val="21"/>
                <w:highlight w:val="none"/>
              </w:rPr>
              <w:t>发生误操作事故，发生人员责任火灾事故扣除30 分</w:t>
            </w:r>
          </w:p>
        </w:tc>
        <w:tc>
          <w:tcPr>
            <w:tcW w:w="1163" w:type="dxa"/>
            <w:noWrap/>
            <w:vAlign w:val="center"/>
          </w:tcPr>
          <w:p w14:paraId="44175BDF">
            <w:pPr>
              <w:jc w:val="center"/>
              <w:rPr>
                <w:color w:val="auto"/>
                <w:szCs w:val="21"/>
                <w:highlight w:val="none"/>
              </w:rPr>
            </w:pPr>
          </w:p>
        </w:tc>
      </w:tr>
      <w:tr w14:paraId="7CB8E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72D60126">
            <w:pPr>
              <w:jc w:val="center"/>
              <w:rPr>
                <w:color w:val="auto"/>
                <w:szCs w:val="21"/>
                <w:highlight w:val="none"/>
              </w:rPr>
            </w:pPr>
          </w:p>
        </w:tc>
        <w:tc>
          <w:tcPr>
            <w:tcW w:w="6069" w:type="dxa"/>
            <w:noWrap/>
            <w:vAlign w:val="center"/>
          </w:tcPr>
          <w:p w14:paraId="16F704BF">
            <w:pPr>
              <w:jc w:val="center"/>
              <w:rPr>
                <w:color w:val="auto"/>
                <w:szCs w:val="21"/>
                <w:highlight w:val="none"/>
              </w:rPr>
            </w:pPr>
            <w:r>
              <w:rPr>
                <w:color w:val="auto"/>
                <w:szCs w:val="21"/>
                <w:highlight w:val="none"/>
              </w:rPr>
              <w:t>违章作业无论是否造成后果扣除</w:t>
            </w:r>
            <w:r>
              <w:rPr>
                <w:rFonts w:hint="eastAsia"/>
                <w:color w:val="auto"/>
                <w:szCs w:val="21"/>
                <w:highlight w:val="none"/>
              </w:rPr>
              <w:t>2</w:t>
            </w:r>
            <w:r>
              <w:rPr>
                <w:color w:val="auto"/>
                <w:szCs w:val="21"/>
                <w:highlight w:val="none"/>
              </w:rPr>
              <w:t>0 分</w:t>
            </w:r>
          </w:p>
        </w:tc>
        <w:tc>
          <w:tcPr>
            <w:tcW w:w="1163" w:type="dxa"/>
            <w:noWrap/>
            <w:vAlign w:val="center"/>
          </w:tcPr>
          <w:p w14:paraId="1D7DC345">
            <w:pPr>
              <w:jc w:val="center"/>
              <w:rPr>
                <w:color w:val="auto"/>
                <w:szCs w:val="21"/>
                <w:highlight w:val="none"/>
              </w:rPr>
            </w:pPr>
          </w:p>
        </w:tc>
      </w:tr>
      <w:tr w14:paraId="2B273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5C15FEA4">
            <w:pPr>
              <w:jc w:val="center"/>
              <w:rPr>
                <w:color w:val="auto"/>
                <w:szCs w:val="21"/>
                <w:highlight w:val="none"/>
              </w:rPr>
            </w:pPr>
          </w:p>
        </w:tc>
        <w:tc>
          <w:tcPr>
            <w:tcW w:w="6069" w:type="dxa"/>
            <w:noWrap/>
            <w:vAlign w:val="center"/>
          </w:tcPr>
          <w:p w14:paraId="52D6BC42">
            <w:pPr>
              <w:jc w:val="center"/>
              <w:rPr>
                <w:color w:val="auto"/>
                <w:szCs w:val="21"/>
                <w:highlight w:val="none"/>
              </w:rPr>
            </w:pPr>
            <w:r>
              <w:rPr>
                <w:color w:val="auto"/>
                <w:szCs w:val="21"/>
                <w:highlight w:val="none"/>
              </w:rPr>
              <w:t>值班期间因巡视不到位</w:t>
            </w:r>
            <w:r>
              <w:rPr>
                <w:rFonts w:hint="eastAsia"/>
                <w:color w:val="auto"/>
                <w:szCs w:val="21"/>
                <w:highlight w:val="none"/>
              </w:rPr>
              <w:t>，</w:t>
            </w:r>
            <w:r>
              <w:rPr>
                <w:color w:val="auto"/>
                <w:szCs w:val="21"/>
                <w:highlight w:val="none"/>
              </w:rPr>
              <w:t>造成设备被迫停电扣除</w:t>
            </w:r>
            <w:r>
              <w:rPr>
                <w:rFonts w:hint="eastAsia"/>
                <w:color w:val="auto"/>
                <w:szCs w:val="21"/>
                <w:highlight w:val="none"/>
              </w:rPr>
              <w:t>2</w:t>
            </w:r>
            <w:r>
              <w:rPr>
                <w:color w:val="auto"/>
                <w:szCs w:val="21"/>
                <w:highlight w:val="none"/>
              </w:rPr>
              <w:t>0 分</w:t>
            </w:r>
          </w:p>
        </w:tc>
        <w:tc>
          <w:tcPr>
            <w:tcW w:w="1163" w:type="dxa"/>
            <w:noWrap/>
            <w:vAlign w:val="center"/>
          </w:tcPr>
          <w:p w14:paraId="13011249">
            <w:pPr>
              <w:jc w:val="center"/>
              <w:rPr>
                <w:color w:val="auto"/>
                <w:szCs w:val="21"/>
                <w:highlight w:val="none"/>
              </w:rPr>
            </w:pPr>
          </w:p>
        </w:tc>
      </w:tr>
      <w:tr w14:paraId="6AB9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1AE84C9E">
            <w:pPr>
              <w:jc w:val="center"/>
              <w:rPr>
                <w:color w:val="auto"/>
                <w:szCs w:val="21"/>
                <w:highlight w:val="none"/>
              </w:rPr>
            </w:pPr>
          </w:p>
        </w:tc>
        <w:tc>
          <w:tcPr>
            <w:tcW w:w="6069" w:type="dxa"/>
            <w:noWrap/>
            <w:vAlign w:val="center"/>
          </w:tcPr>
          <w:p w14:paraId="5CD01B98">
            <w:pPr>
              <w:jc w:val="center"/>
              <w:rPr>
                <w:color w:val="auto"/>
                <w:szCs w:val="21"/>
                <w:highlight w:val="none"/>
              </w:rPr>
            </w:pPr>
            <w:r>
              <w:rPr>
                <w:color w:val="auto"/>
                <w:szCs w:val="21"/>
                <w:highlight w:val="none"/>
              </w:rPr>
              <w:t>安全用具到期未做试验当班人员未发现扣除10 分</w:t>
            </w:r>
          </w:p>
        </w:tc>
        <w:tc>
          <w:tcPr>
            <w:tcW w:w="1163" w:type="dxa"/>
            <w:noWrap/>
            <w:vAlign w:val="center"/>
          </w:tcPr>
          <w:p w14:paraId="36BF7A06">
            <w:pPr>
              <w:jc w:val="center"/>
              <w:rPr>
                <w:color w:val="auto"/>
                <w:szCs w:val="21"/>
                <w:highlight w:val="none"/>
              </w:rPr>
            </w:pPr>
          </w:p>
        </w:tc>
      </w:tr>
      <w:tr w14:paraId="39347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58A49F1C">
            <w:pPr>
              <w:jc w:val="center"/>
              <w:rPr>
                <w:color w:val="auto"/>
                <w:szCs w:val="21"/>
                <w:highlight w:val="none"/>
              </w:rPr>
            </w:pPr>
          </w:p>
        </w:tc>
        <w:tc>
          <w:tcPr>
            <w:tcW w:w="6069" w:type="dxa"/>
            <w:noWrap/>
            <w:vAlign w:val="center"/>
          </w:tcPr>
          <w:p w14:paraId="3E78CEDD">
            <w:pPr>
              <w:jc w:val="center"/>
              <w:rPr>
                <w:color w:val="auto"/>
                <w:szCs w:val="21"/>
                <w:highlight w:val="none"/>
              </w:rPr>
            </w:pPr>
            <w:r>
              <w:rPr>
                <w:color w:val="auto"/>
                <w:szCs w:val="21"/>
                <w:highlight w:val="none"/>
              </w:rPr>
              <w:t>进入设备区不</w:t>
            </w:r>
            <w:r>
              <w:rPr>
                <w:rFonts w:hint="eastAsia"/>
                <w:color w:val="auto"/>
                <w:szCs w:val="21"/>
                <w:highlight w:val="none"/>
              </w:rPr>
              <w:t>戴</w:t>
            </w:r>
            <w:r>
              <w:rPr>
                <w:color w:val="auto"/>
                <w:szCs w:val="21"/>
                <w:highlight w:val="none"/>
              </w:rPr>
              <w:t>安全帽，不穿绝缘鞋在设备区操作不戴安全帽、不穿绝缘鞋和不戴绝缘手套扣除10 分</w:t>
            </w:r>
          </w:p>
        </w:tc>
        <w:tc>
          <w:tcPr>
            <w:tcW w:w="1163" w:type="dxa"/>
            <w:noWrap/>
            <w:vAlign w:val="center"/>
          </w:tcPr>
          <w:p w14:paraId="3BA4B805">
            <w:pPr>
              <w:jc w:val="center"/>
              <w:rPr>
                <w:color w:val="auto"/>
                <w:szCs w:val="21"/>
                <w:highlight w:val="none"/>
              </w:rPr>
            </w:pPr>
          </w:p>
        </w:tc>
      </w:tr>
      <w:tr w14:paraId="68372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2D23FE41">
            <w:pPr>
              <w:jc w:val="center"/>
              <w:rPr>
                <w:color w:val="auto"/>
                <w:szCs w:val="21"/>
                <w:highlight w:val="none"/>
              </w:rPr>
            </w:pPr>
          </w:p>
        </w:tc>
        <w:tc>
          <w:tcPr>
            <w:tcW w:w="6069" w:type="dxa"/>
            <w:noWrap/>
            <w:vAlign w:val="center"/>
          </w:tcPr>
          <w:p w14:paraId="58DDD668">
            <w:pPr>
              <w:jc w:val="center"/>
              <w:rPr>
                <w:color w:val="auto"/>
                <w:szCs w:val="21"/>
                <w:highlight w:val="none"/>
              </w:rPr>
            </w:pPr>
            <w:r>
              <w:rPr>
                <w:color w:val="auto"/>
                <w:szCs w:val="21"/>
                <w:highlight w:val="none"/>
              </w:rPr>
              <w:t>执行的两票合格率要求100%，发现一处不合格扣除5 分，操作中随意解锁扣除5 分</w:t>
            </w:r>
          </w:p>
        </w:tc>
        <w:tc>
          <w:tcPr>
            <w:tcW w:w="1163" w:type="dxa"/>
            <w:noWrap/>
            <w:vAlign w:val="center"/>
          </w:tcPr>
          <w:p w14:paraId="517748F8">
            <w:pPr>
              <w:jc w:val="center"/>
              <w:rPr>
                <w:color w:val="auto"/>
                <w:szCs w:val="21"/>
                <w:highlight w:val="none"/>
              </w:rPr>
            </w:pPr>
          </w:p>
        </w:tc>
      </w:tr>
      <w:tr w14:paraId="69115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281BBBCF">
            <w:pPr>
              <w:jc w:val="center"/>
              <w:rPr>
                <w:color w:val="auto"/>
                <w:szCs w:val="21"/>
                <w:highlight w:val="none"/>
              </w:rPr>
            </w:pPr>
          </w:p>
        </w:tc>
        <w:tc>
          <w:tcPr>
            <w:tcW w:w="6069" w:type="dxa"/>
            <w:noWrap/>
            <w:vAlign w:val="center"/>
          </w:tcPr>
          <w:p w14:paraId="4B00B1B7">
            <w:pPr>
              <w:jc w:val="center"/>
              <w:rPr>
                <w:color w:val="auto"/>
                <w:szCs w:val="21"/>
                <w:highlight w:val="none"/>
              </w:rPr>
            </w:pPr>
            <w:r>
              <w:rPr>
                <w:color w:val="auto"/>
                <w:szCs w:val="21"/>
                <w:highlight w:val="none"/>
              </w:rPr>
              <w:t>供配电设备设施有工作，在开工前、结束后，没有会同工作人员到现场检查者，扣除</w:t>
            </w:r>
            <w:r>
              <w:rPr>
                <w:rFonts w:hint="eastAsia"/>
                <w:color w:val="auto"/>
                <w:szCs w:val="21"/>
                <w:highlight w:val="none"/>
              </w:rPr>
              <w:t>3-</w:t>
            </w:r>
            <w:r>
              <w:rPr>
                <w:color w:val="auto"/>
                <w:szCs w:val="21"/>
                <w:highlight w:val="none"/>
              </w:rPr>
              <w:t>5分</w:t>
            </w:r>
          </w:p>
        </w:tc>
        <w:tc>
          <w:tcPr>
            <w:tcW w:w="1163" w:type="dxa"/>
            <w:noWrap/>
            <w:vAlign w:val="center"/>
          </w:tcPr>
          <w:p w14:paraId="74AE9830">
            <w:pPr>
              <w:jc w:val="center"/>
              <w:rPr>
                <w:color w:val="auto"/>
                <w:szCs w:val="21"/>
                <w:highlight w:val="none"/>
              </w:rPr>
            </w:pPr>
          </w:p>
        </w:tc>
      </w:tr>
      <w:tr w14:paraId="7029D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59B8A539">
            <w:pPr>
              <w:jc w:val="center"/>
              <w:rPr>
                <w:color w:val="auto"/>
                <w:szCs w:val="21"/>
                <w:highlight w:val="none"/>
              </w:rPr>
            </w:pPr>
          </w:p>
        </w:tc>
        <w:tc>
          <w:tcPr>
            <w:tcW w:w="6069" w:type="dxa"/>
            <w:noWrap/>
            <w:vAlign w:val="center"/>
          </w:tcPr>
          <w:p w14:paraId="1BA76941">
            <w:pPr>
              <w:jc w:val="center"/>
              <w:rPr>
                <w:color w:val="auto"/>
                <w:szCs w:val="21"/>
                <w:highlight w:val="none"/>
              </w:rPr>
            </w:pPr>
            <w:r>
              <w:rPr>
                <w:color w:val="auto"/>
                <w:szCs w:val="21"/>
                <w:highlight w:val="none"/>
              </w:rPr>
              <w:t>当值人员发现供配电设备设施施工检修人员有违章作业未制止，扣除5分</w:t>
            </w:r>
          </w:p>
        </w:tc>
        <w:tc>
          <w:tcPr>
            <w:tcW w:w="1163" w:type="dxa"/>
            <w:noWrap/>
            <w:vAlign w:val="center"/>
          </w:tcPr>
          <w:p w14:paraId="007DAB86">
            <w:pPr>
              <w:jc w:val="center"/>
              <w:rPr>
                <w:color w:val="auto"/>
                <w:szCs w:val="21"/>
                <w:highlight w:val="none"/>
              </w:rPr>
            </w:pPr>
          </w:p>
        </w:tc>
      </w:tr>
      <w:tr w14:paraId="0D5BA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1111ACAB">
            <w:pPr>
              <w:jc w:val="center"/>
              <w:rPr>
                <w:color w:val="auto"/>
                <w:szCs w:val="21"/>
                <w:highlight w:val="none"/>
              </w:rPr>
            </w:pPr>
          </w:p>
        </w:tc>
        <w:tc>
          <w:tcPr>
            <w:tcW w:w="6069" w:type="dxa"/>
            <w:noWrap/>
            <w:vAlign w:val="center"/>
          </w:tcPr>
          <w:p w14:paraId="6E19C7A7">
            <w:pPr>
              <w:jc w:val="center"/>
              <w:rPr>
                <w:color w:val="auto"/>
                <w:szCs w:val="21"/>
                <w:highlight w:val="none"/>
              </w:rPr>
            </w:pPr>
            <w:r>
              <w:rPr>
                <w:rFonts w:hint="eastAsia"/>
                <w:color w:val="auto"/>
                <w:szCs w:val="21"/>
                <w:highlight w:val="none"/>
              </w:rPr>
              <w:t>当供配电设备出现故障，未能在30分钟内赶赴现场的扣3</w:t>
            </w:r>
            <w:r>
              <w:rPr>
                <w:color w:val="auto"/>
                <w:szCs w:val="21"/>
                <w:highlight w:val="none"/>
              </w:rPr>
              <w:t>0</w:t>
            </w:r>
            <w:r>
              <w:rPr>
                <w:rFonts w:hint="eastAsia"/>
                <w:color w:val="auto"/>
                <w:szCs w:val="21"/>
                <w:highlight w:val="none"/>
              </w:rPr>
              <w:t>分</w:t>
            </w:r>
          </w:p>
        </w:tc>
        <w:tc>
          <w:tcPr>
            <w:tcW w:w="1163" w:type="dxa"/>
            <w:noWrap/>
            <w:vAlign w:val="center"/>
          </w:tcPr>
          <w:p w14:paraId="6E0D3FF6">
            <w:pPr>
              <w:jc w:val="center"/>
              <w:rPr>
                <w:color w:val="auto"/>
                <w:szCs w:val="21"/>
                <w:highlight w:val="none"/>
              </w:rPr>
            </w:pPr>
          </w:p>
        </w:tc>
      </w:tr>
      <w:tr w14:paraId="38365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105F9C2C">
            <w:pPr>
              <w:jc w:val="center"/>
              <w:rPr>
                <w:color w:val="auto"/>
                <w:szCs w:val="21"/>
                <w:highlight w:val="none"/>
              </w:rPr>
            </w:pPr>
          </w:p>
        </w:tc>
        <w:tc>
          <w:tcPr>
            <w:tcW w:w="6069" w:type="dxa"/>
            <w:noWrap/>
            <w:vAlign w:val="center"/>
          </w:tcPr>
          <w:p w14:paraId="3EF70C5E">
            <w:pPr>
              <w:jc w:val="center"/>
              <w:rPr>
                <w:color w:val="auto"/>
                <w:szCs w:val="21"/>
                <w:highlight w:val="none"/>
              </w:rPr>
            </w:pPr>
            <w:r>
              <w:rPr>
                <w:rFonts w:hint="eastAsia"/>
                <w:color w:val="auto"/>
                <w:szCs w:val="21"/>
                <w:highlight w:val="none"/>
              </w:rPr>
              <w:t>在《电力安全工作规程》内，当供配电设备出现故障，未能在2小时内恢复供电的扣</w:t>
            </w:r>
            <w:r>
              <w:rPr>
                <w:color w:val="auto"/>
                <w:szCs w:val="21"/>
                <w:highlight w:val="none"/>
              </w:rPr>
              <w:t>15</w:t>
            </w:r>
            <w:r>
              <w:rPr>
                <w:rFonts w:hint="eastAsia"/>
                <w:color w:val="auto"/>
                <w:szCs w:val="21"/>
                <w:highlight w:val="none"/>
              </w:rPr>
              <w:t>分，未能在5小时内恢复供电的扣2</w:t>
            </w:r>
            <w:r>
              <w:rPr>
                <w:color w:val="auto"/>
                <w:szCs w:val="21"/>
                <w:highlight w:val="none"/>
              </w:rPr>
              <w:t>0</w:t>
            </w:r>
            <w:r>
              <w:rPr>
                <w:rFonts w:hint="eastAsia"/>
                <w:color w:val="auto"/>
                <w:szCs w:val="21"/>
                <w:highlight w:val="none"/>
              </w:rPr>
              <w:t>分，未能在8小时内恢复供电的扣3</w:t>
            </w:r>
            <w:r>
              <w:rPr>
                <w:color w:val="auto"/>
                <w:szCs w:val="21"/>
                <w:highlight w:val="none"/>
              </w:rPr>
              <w:t>0</w:t>
            </w:r>
            <w:r>
              <w:rPr>
                <w:rFonts w:hint="eastAsia"/>
                <w:color w:val="auto"/>
                <w:szCs w:val="21"/>
                <w:highlight w:val="none"/>
              </w:rPr>
              <w:t>分。</w:t>
            </w:r>
          </w:p>
        </w:tc>
        <w:tc>
          <w:tcPr>
            <w:tcW w:w="1163" w:type="dxa"/>
            <w:noWrap/>
            <w:vAlign w:val="center"/>
          </w:tcPr>
          <w:p w14:paraId="26A23775">
            <w:pPr>
              <w:jc w:val="center"/>
              <w:rPr>
                <w:color w:val="auto"/>
                <w:szCs w:val="21"/>
                <w:highlight w:val="none"/>
              </w:rPr>
            </w:pPr>
          </w:p>
        </w:tc>
      </w:tr>
      <w:tr w14:paraId="36EC7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18C1A97B">
            <w:pPr>
              <w:jc w:val="center"/>
              <w:rPr>
                <w:color w:val="auto"/>
                <w:szCs w:val="21"/>
                <w:highlight w:val="none"/>
              </w:rPr>
            </w:pPr>
          </w:p>
        </w:tc>
        <w:tc>
          <w:tcPr>
            <w:tcW w:w="6069" w:type="dxa"/>
            <w:noWrap/>
            <w:vAlign w:val="center"/>
          </w:tcPr>
          <w:p w14:paraId="588F87FB">
            <w:pPr>
              <w:jc w:val="center"/>
              <w:rPr>
                <w:color w:val="auto"/>
                <w:szCs w:val="21"/>
                <w:highlight w:val="none"/>
              </w:rPr>
            </w:pPr>
            <w:r>
              <w:rPr>
                <w:rFonts w:hint="eastAsia"/>
                <w:color w:val="auto"/>
                <w:szCs w:val="21"/>
                <w:highlight w:val="none"/>
              </w:rPr>
              <w:t>在《电力安全工作规程》内，若学校举行重大活动出现断电停电的情况，未能在2小时内恢复供电的扣3</w:t>
            </w:r>
            <w:r>
              <w:rPr>
                <w:color w:val="auto"/>
                <w:szCs w:val="21"/>
                <w:highlight w:val="none"/>
              </w:rPr>
              <w:t>0</w:t>
            </w:r>
            <w:r>
              <w:rPr>
                <w:rFonts w:hint="eastAsia"/>
                <w:color w:val="auto"/>
                <w:szCs w:val="21"/>
                <w:highlight w:val="none"/>
              </w:rPr>
              <w:t>分</w:t>
            </w:r>
          </w:p>
        </w:tc>
        <w:tc>
          <w:tcPr>
            <w:tcW w:w="1163" w:type="dxa"/>
            <w:noWrap/>
            <w:vAlign w:val="center"/>
          </w:tcPr>
          <w:p w14:paraId="1560A026">
            <w:pPr>
              <w:jc w:val="center"/>
              <w:rPr>
                <w:color w:val="auto"/>
                <w:szCs w:val="21"/>
                <w:highlight w:val="none"/>
              </w:rPr>
            </w:pPr>
          </w:p>
        </w:tc>
      </w:tr>
      <w:tr w14:paraId="1DD9C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29A559A2">
            <w:pPr>
              <w:jc w:val="center"/>
              <w:rPr>
                <w:color w:val="auto"/>
                <w:szCs w:val="21"/>
                <w:highlight w:val="none"/>
              </w:rPr>
            </w:pPr>
          </w:p>
        </w:tc>
        <w:tc>
          <w:tcPr>
            <w:tcW w:w="6069" w:type="dxa"/>
            <w:noWrap/>
            <w:vAlign w:val="center"/>
          </w:tcPr>
          <w:p w14:paraId="476C673B">
            <w:pPr>
              <w:jc w:val="center"/>
              <w:rPr>
                <w:color w:val="auto"/>
                <w:szCs w:val="21"/>
                <w:highlight w:val="none"/>
              </w:rPr>
            </w:pPr>
            <w:r>
              <w:rPr>
                <w:rFonts w:hint="eastAsia"/>
                <w:color w:val="auto"/>
                <w:szCs w:val="21"/>
                <w:highlight w:val="none"/>
              </w:rPr>
              <w:t>维护和维修过的电力设备，若60天内发生同样的电力故障，出现一次扣30分。</w:t>
            </w:r>
          </w:p>
        </w:tc>
        <w:tc>
          <w:tcPr>
            <w:tcW w:w="1163" w:type="dxa"/>
            <w:noWrap/>
            <w:vAlign w:val="center"/>
          </w:tcPr>
          <w:p w14:paraId="24C111EF">
            <w:pPr>
              <w:jc w:val="center"/>
              <w:rPr>
                <w:color w:val="auto"/>
                <w:szCs w:val="21"/>
                <w:highlight w:val="none"/>
              </w:rPr>
            </w:pPr>
          </w:p>
        </w:tc>
      </w:tr>
      <w:tr w14:paraId="48D61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restart"/>
            <w:noWrap/>
            <w:vAlign w:val="center"/>
          </w:tcPr>
          <w:p w14:paraId="479858EC">
            <w:pPr>
              <w:jc w:val="center"/>
              <w:rPr>
                <w:color w:val="auto"/>
                <w:szCs w:val="21"/>
                <w:highlight w:val="none"/>
              </w:rPr>
            </w:pPr>
            <w:r>
              <w:rPr>
                <w:color w:val="auto"/>
                <w:szCs w:val="21"/>
                <w:highlight w:val="none"/>
              </w:rPr>
              <w:t>运行管理</w:t>
            </w:r>
          </w:p>
          <w:p w14:paraId="3A983CFC">
            <w:pPr>
              <w:jc w:val="center"/>
              <w:rPr>
                <w:color w:val="auto"/>
                <w:szCs w:val="21"/>
                <w:highlight w:val="none"/>
              </w:rPr>
            </w:pPr>
            <w:r>
              <w:rPr>
                <w:color w:val="auto"/>
                <w:szCs w:val="21"/>
                <w:highlight w:val="none"/>
              </w:rPr>
              <w:t>30 分</w:t>
            </w:r>
          </w:p>
        </w:tc>
        <w:tc>
          <w:tcPr>
            <w:tcW w:w="6069" w:type="dxa"/>
            <w:noWrap/>
            <w:vAlign w:val="center"/>
          </w:tcPr>
          <w:p w14:paraId="7D6874EC">
            <w:pPr>
              <w:jc w:val="center"/>
              <w:rPr>
                <w:color w:val="auto"/>
                <w:szCs w:val="21"/>
                <w:highlight w:val="none"/>
              </w:rPr>
            </w:pPr>
            <w:r>
              <w:rPr>
                <w:rFonts w:hint="eastAsia"/>
                <w:color w:val="auto"/>
                <w:szCs w:val="21"/>
                <w:highlight w:val="none"/>
              </w:rPr>
              <w:t>值班人员缺岗，发现一次</w:t>
            </w:r>
            <w:r>
              <w:rPr>
                <w:color w:val="auto"/>
                <w:szCs w:val="21"/>
                <w:highlight w:val="none"/>
              </w:rPr>
              <w:t>扣除</w:t>
            </w:r>
            <w:r>
              <w:rPr>
                <w:rFonts w:hint="eastAsia"/>
                <w:color w:val="auto"/>
                <w:szCs w:val="21"/>
                <w:highlight w:val="none"/>
              </w:rPr>
              <w:t>20</w:t>
            </w:r>
            <w:r>
              <w:rPr>
                <w:color w:val="auto"/>
                <w:szCs w:val="21"/>
                <w:highlight w:val="none"/>
              </w:rPr>
              <w:t>分</w:t>
            </w:r>
          </w:p>
        </w:tc>
        <w:tc>
          <w:tcPr>
            <w:tcW w:w="1163" w:type="dxa"/>
            <w:noWrap/>
            <w:vAlign w:val="center"/>
          </w:tcPr>
          <w:p w14:paraId="2B5A78B9">
            <w:pPr>
              <w:jc w:val="center"/>
              <w:rPr>
                <w:color w:val="auto"/>
                <w:szCs w:val="21"/>
                <w:highlight w:val="none"/>
              </w:rPr>
            </w:pPr>
          </w:p>
        </w:tc>
      </w:tr>
      <w:tr w14:paraId="6F905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580DE1C2">
            <w:pPr>
              <w:jc w:val="center"/>
              <w:rPr>
                <w:color w:val="auto"/>
                <w:szCs w:val="21"/>
                <w:highlight w:val="none"/>
              </w:rPr>
            </w:pPr>
          </w:p>
        </w:tc>
        <w:tc>
          <w:tcPr>
            <w:tcW w:w="6069" w:type="dxa"/>
            <w:noWrap/>
            <w:vAlign w:val="center"/>
          </w:tcPr>
          <w:p w14:paraId="279ABC59">
            <w:pPr>
              <w:jc w:val="center"/>
              <w:rPr>
                <w:color w:val="auto"/>
                <w:szCs w:val="21"/>
                <w:highlight w:val="none"/>
              </w:rPr>
            </w:pPr>
            <w:r>
              <w:rPr>
                <w:color w:val="auto"/>
                <w:szCs w:val="21"/>
                <w:highlight w:val="none"/>
              </w:rPr>
              <w:t>未按规定进行交接班，影响正常运行工作的扣除10 分</w:t>
            </w:r>
          </w:p>
        </w:tc>
        <w:tc>
          <w:tcPr>
            <w:tcW w:w="1163" w:type="dxa"/>
            <w:noWrap/>
            <w:vAlign w:val="center"/>
          </w:tcPr>
          <w:p w14:paraId="7638793F">
            <w:pPr>
              <w:jc w:val="center"/>
              <w:rPr>
                <w:color w:val="auto"/>
                <w:szCs w:val="21"/>
                <w:highlight w:val="none"/>
              </w:rPr>
            </w:pPr>
          </w:p>
        </w:tc>
      </w:tr>
      <w:tr w14:paraId="46BDC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0FF465C3">
            <w:pPr>
              <w:jc w:val="center"/>
              <w:rPr>
                <w:color w:val="auto"/>
                <w:szCs w:val="21"/>
                <w:highlight w:val="none"/>
              </w:rPr>
            </w:pPr>
          </w:p>
        </w:tc>
        <w:tc>
          <w:tcPr>
            <w:tcW w:w="6069" w:type="dxa"/>
            <w:noWrap/>
            <w:vAlign w:val="center"/>
          </w:tcPr>
          <w:p w14:paraId="2DF0B080">
            <w:pPr>
              <w:jc w:val="center"/>
              <w:rPr>
                <w:color w:val="auto"/>
                <w:szCs w:val="21"/>
                <w:highlight w:val="none"/>
              </w:rPr>
            </w:pPr>
            <w:r>
              <w:rPr>
                <w:color w:val="auto"/>
                <w:szCs w:val="21"/>
                <w:highlight w:val="none"/>
              </w:rPr>
              <w:t>值班各种报表、未能准确统计上报或记录出现错误扣除5 分</w:t>
            </w:r>
          </w:p>
        </w:tc>
        <w:tc>
          <w:tcPr>
            <w:tcW w:w="1163" w:type="dxa"/>
            <w:noWrap/>
            <w:vAlign w:val="center"/>
          </w:tcPr>
          <w:p w14:paraId="05AFDCFE">
            <w:pPr>
              <w:jc w:val="center"/>
              <w:rPr>
                <w:color w:val="auto"/>
                <w:szCs w:val="21"/>
                <w:highlight w:val="none"/>
              </w:rPr>
            </w:pPr>
          </w:p>
        </w:tc>
      </w:tr>
      <w:tr w14:paraId="03FC3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78DACA16">
            <w:pPr>
              <w:jc w:val="center"/>
              <w:rPr>
                <w:color w:val="auto"/>
                <w:szCs w:val="21"/>
                <w:highlight w:val="none"/>
              </w:rPr>
            </w:pPr>
          </w:p>
        </w:tc>
        <w:tc>
          <w:tcPr>
            <w:tcW w:w="6069" w:type="dxa"/>
            <w:noWrap/>
            <w:vAlign w:val="center"/>
          </w:tcPr>
          <w:p w14:paraId="7C87B349">
            <w:pPr>
              <w:jc w:val="center"/>
              <w:rPr>
                <w:color w:val="auto"/>
                <w:szCs w:val="21"/>
                <w:highlight w:val="none"/>
              </w:rPr>
            </w:pPr>
            <w:r>
              <w:rPr>
                <w:color w:val="auto"/>
                <w:szCs w:val="21"/>
                <w:highlight w:val="none"/>
              </w:rPr>
              <w:t>资料员各种报表、记录、文件未能及时归档存贮扣除5 分</w:t>
            </w:r>
          </w:p>
        </w:tc>
        <w:tc>
          <w:tcPr>
            <w:tcW w:w="1163" w:type="dxa"/>
            <w:noWrap/>
            <w:vAlign w:val="center"/>
          </w:tcPr>
          <w:p w14:paraId="7CF5FD1D">
            <w:pPr>
              <w:jc w:val="center"/>
              <w:rPr>
                <w:color w:val="auto"/>
                <w:szCs w:val="21"/>
                <w:highlight w:val="none"/>
              </w:rPr>
            </w:pPr>
          </w:p>
        </w:tc>
      </w:tr>
      <w:tr w14:paraId="6E71D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7EAF4A33">
            <w:pPr>
              <w:jc w:val="center"/>
              <w:rPr>
                <w:color w:val="auto"/>
                <w:szCs w:val="21"/>
                <w:highlight w:val="none"/>
              </w:rPr>
            </w:pPr>
          </w:p>
        </w:tc>
        <w:tc>
          <w:tcPr>
            <w:tcW w:w="6069" w:type="dxa"/>
            <w:noWrap/>
            <w:vAlign w:val="center"/>
          </w:tcPr>
          <w:p w14:paraId="25BE7293">
            <w:pPr>
              <w:jc w:val="center"/>
              <w:rPr>
                <w:color w:val="auto"/>
                <w:szCs w:val="21"/>
                <w:highlight w:val="none"/>
              </w:rPr>
            </w:pPr>
            <w:r>
              <w:rPr>
                <w:rFonts w:hint="eastAsia"/>
                <w:color w:val="auto"/>
                <w:szCs w:val="21"/>
                <w:highlight w:val="none"/>
              </w:rPr>
              <w:t>档案资料不齐全扣除1-5 分</w:t>
            </w:r>
          </w:p>
        </w:tc>
        <w:tc>
          <w:tcPr>
            <w:tcW w:w="1163" w:type="dxa"/>
            <w:noWrap/>
            <w:vAlign w:val="center"/>
          </w:tcPr>
          <w:p w14:paraId="163E488C">
            <w:pPr>
              <w:jc w:val="center"/>
              <w:rPr>
                <w:color w:val="auto"/>
                <w:szCs w:val="21"/>
                <w:highlight w:val="none"/>
              </w:rPr>
            </w:pPr>
          </w:p>
        </w:tc>
      </w:tr>
      <w:tr w14:paraId="56522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21A5827E">
            <w:pPr>
              <w:jc w:val="center"/>
              <w:rPr>
                <w:color w:val="auto"/>
                <w:szCs w:val="21"/>
                <w:highlight w:val="none"/>
              </w:rPr>
            </w:pPr>
          </w:p>
        </w:tc>
        <w:tc>
          <w:tcPr>
            <w:tcW w:w="6069" w:type="dxa"/>
            <w:noWrap/>
            <w:vAlign w:val="center"/>
          </w:tcPr>
          <w:p w14:paraId="658BDC96">
            <w:pPr>
              <w:jc w:val="center"/>
              <w:rPr>
                <w:color w:val="auto"/>
                <w:szCs w:val="21"/>
                <w:highlight w:val="none"/>
              </w:rPr>
            </w:pPr>
            <w:r>
              <w:rPr>
                <w:color w:val="auto"/>
                <w:szCs w:val="21"/>
                <w:highlight w:val="none"/>
              </w:rPr>
              <w:t>站、值要按时按成上级交给的工作任务，未完成扣10 分</w:t>
            </w:r>
          </w:p>
        </w:tc>
        <w:tc>
          <w:tcPr>
            <w:tcW w:w="1163" w:type="dxa"/>
            <w:noWrap/>
            <w:vAlign w:val="center"/>
          </w:tcPr>
          <w:p w14:paraId="419A44E7">
            <w:pPr>
              <w:jc w:val="center"/>
              <w:rPr>
                <w:color w:val="auto"/>
                <w:szCs w:val="21"/>
                <w:highlight w:val="none"/>
              </w:rPr>
            </w:pPr>
          </w:p>
        </w:tc>
      </w:tr>
      <w:tr w14:paraId="6F8BE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28A20BF2">
            <w:pPr>
              <w:jc w:val="center"/>
              <w:rPr>
                <w:color w:val="auto"/>
                <w:szCs w:val="21"/>
                <w:highlight w:val="none"/>
              </w:rPr>
            </w:pPr>
          </w:p>
        </w:tc>
        <w:tc>
          <w:tcPr>
            <w:tcW w:w="6069" w:type="dxa"/>
            <w:noWrap/>
            <w:vAlign w:val="center"/>
          </w:tcPr>
          <w:p w14:paraId="6BB101A0">
            <w:pPr>
              <w:jc w:val="center"/>
              <w:rPr>
                <w:color w:val="auto"/>
                <w:szCs w:val="21"/>
                <w:highlight w:val="none"/>
              </w:rPr>
            </w:pPr>
            <w:r>
              <w:rPr>
                <w:color w:val="auto"/>
                <w:szCs w:val="21"/>
                <w:highlight w:val="none"/>
              </w:rPr>
              <w:t>巡视发现设备缺陷奖励5 分，汇报缺陷不准确扣除5 分</w:t>
            </w:r>
          </w:p>
        </w:tc>
        <w:tc>
          <w:tcPr>
            <w:tcW w:w="1163" w:type="dxa"/>
            <w:noWrap/>
            <w:vAlign w:val="center"/>
          </w:tcPr>
          <w:p w14:paraId="0098589B">
            <w:pPr>
              <w:jc w:val="center"/>
              <w:rPr>
                <w:color w:val="auto"/>
                <w:szCs w:val="21"/>
                <w:highlight w:val="none"/>
              </w:rPr>
            </w:pPr>
          </w:p>
        </w:tc>
      </w:tr>
      <w:tr w14:paraId="1EC4A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644329F8">
            <w:pPr>
              <w:jc w:val="center"/>
              <w:rPr>
                <w:color w:val="auto"/>
                <w:szCs w:val="21"/>
                <w:highlight w:val="none"/>
              </w:rPr>
            </w:pPr>
          </w:p>
        </w:tc>
        <w:tc>
          <w:tcPr>
            <w:tcW w:w="6069" w:type="dxa"/>
            <w:noWrap/>
            <w:vAlign w:val="center"/>
          </w:tcPr>
          <w:p w14:paraId="7FADEF39">
            <w:pPr>
              <w:jc w:val="center"/>
              <w:rPr>
                <w:color w:val="auto"/>
                <w:szCs w:val="21"/>
                <w:highlight w:val="none"/>
              </w:rPr>
            </w:pPr>
            <w:r>
              <w:rPr>
                <w:color w:val="auto"/>
                <w:szCs w:val="21"/>
                <w:highlight w:val="none"/>
              </w:rPr>
              <w:t>因未发现缺陷造成事故者扣除</w:t>
            </w:r>
            <w:r>
              <w:rPr>
                <w:rFonts w:hint="eastAsia"/>
                <w:color w:val="auto"/>
                <w:szCs w:val="21"/>
                <w:highlight w:val="none"/>
              </w:rPr>
              <w:t>3</w:t>
            </w:r>
            <w:r>
              <w:rPr>
                <w:color w:val="auto"/>
                <w:szCs w:val="21"/>
                <w:highlight w:val="none"/>
              </w:rPr>
              <w:t>0 分</w:t>
            </w:r>
          </w:p>
        </w:tc>
        <w:tc>
          <w:tcPr>
            <w:tcW w:w="1163" w:type="dxa"/>
            <w:noWrap/>
            <w:vAlign w:val="center"/>
          </w:tcPr>
          <w:p w14:paraId="4EBF5FA2">
            <w:pPr>
              <w:jc w:val="center"/>
              <w:rPr>
                <w:color w:val="auto"/>
                <w:szCs w:val="21"/>
                <w:highlight w:val="none"/>
              </w:rPr>
            </w:pPr>
          </w:p>
        </w:tc>
      </w:tr>
      <w:tr w14:paraId="594F9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789A910A">
            <w:pPr>
              <w:jc w:val="center"/>
              <w:rPr>
                <w:color w:val="auto"/>
                <w:szCs w:val="21"/>
                <w:highlight w:val="none"/>
              </w:rPr>
            </w:pPr>
          </w:p>
        </w:tc>
        <w:tc>
          <w:tcPr>
            <w:tcW w:w="6069" w:type="dxa"/>
            <w:noWrap/>
            <w:vAlign w:val="center"/>
          </w:tcPr>
          <w:p w14:paraId="5CBB2198">
            <w:pPr>
              <w:jc w:val="center"/>
              <w:rPr>
                <w:color w:val="auto"/>
                <w:szCs w:val="21"/>
                <w:highlight w:val="none"/>
              </w:rPr>
            </w:pPr>
            <w:r>
              <w:rPr>
                <w:color w:val="auto"/>
                <w:szCs w:val="21"/>
                <w:highlight w:val="none"/>
              </w:rPr>
              <w:t>因当值人员人为责任被电网并网细则考核扣除10 分，因设备自身原因被考核除外</w:t>
            </w:r>
          </w:p>
        </w:tc>
        <w:tc>
          <w:tcPr>
            <w:tcW w:w="1163" w:type="dxa"/>
            <w:noWrap/>
            <w:vAlign w:val="center"/>
          </w:tcPr>
          <w:p w14:paraId="1204B2E4">
            <w:pPr>
              <w:jc w:val="center"/>
              <w:rPr>
                <w:color w:val="auto"/>
                <w:szCs w:val="21"/>
                <w:highlight w:val="none"/>
              </w:rPr>
            </w:pPr>
          </w:p>
        </w:tc>
      </w:tr>
      <w:tr w14:paraId="4BF3F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5CCDB741">
            <w:pPr>
              <w:jc w:val="center"/>
              <w:rPr>
                <w:color w:val="auto"/>
                <w:szCs w:val="21"/>
                <w:highlight w:val="none"/>
              </w:rPr>
            </w:pPr>
          </w:p>
        </w:tc>
        <w:tc>
          <w:tcPr>
            <w:tcW w:w="6069" w:type="dxa"/>
            <w:noWrap/>
            <w:vAlign w:val="center"/>
          </w:tcPr>
          <w:p w14:paraId="5AFC2243">
            <w:pPr>
              <w:jc w:val="center"/>
              <w:rPr>
                <w:color w:val="auto"/>
                <w:szCs w:val="21"/>
                <w:highlight w:val="none"/>
              </w:rPr>
            </w:pPr>
            <w:r>
              <w:rPr>
                <w:color w:val="auto"/>
                <w:szCs w:val="21"/>
                <w:highlight w:val="none"/>
              </w:rPr>
              <w:t>未及时准确的执行调度命令，发生事故未及时汇报调度及主管领导的扣除15分</w:t>
            </w:r>
          </w:p>
        </w:tc>
        <w:tc>
          <w:tcPr>
            <w:tcW w:w="1163" w:type="dxa"/>
            <w:noWrap/>
            <w:vAlign w:val="center"/>
          </w:tcPr>
          <w:p w14:paraId="15BB4287">
            <w:pPr>
              <w:jc w:val="center"/>
              <w:rPr>
                <w:color w:val="auto"/>
                <w:szCs w:val="21"/>
                <w:highlight w:val="none"/>
              </w:rPr>
            </w:pPr>
          </w:p>
        </w:tc>
      </w:tr>
      <w:tr w14:paraId="55CD7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690652A6">
            <w:pPr>
              <w:jc w:val="center"/>
              <w:rPr>
                <w:color w:val="auto"/>
                <w:szCs w:val="21"/>
                <w:highlight w:val="none"/>
              </w:rPr>
            </w:pPr>
          </w:p>
        </w:tc>
        <w:tc>
          <w:tcPr>
            <w:tcW w:w="6069" w:type="dxa"/>
            <w:noWrap/>
            <w:vAlign w:val="center"/>
          </w:tcPr>
          <w:p w14:paraId="329D8E43">
            <w:pPr>
              <w:jc w:val="center"/>
              <w:rPr>
                <w:color w:val="auto"/>
                <w:szCs w:val="21"/>
                <w:highlight w:val="none"/>
              </w:rPr>
            </w:pPr>
            <w:r>
              <w:rPr>
                <w:color w:val="auto"/>
                <w:szCs w:val="21"/>
                <w:highlight w:val="none"/>
              </w:rPr>
              <w:t>未及时完成领导交办的各项工作扣除5 分</w:t>
            </w:r>
          </w:p>
        </w:tc>
        <w:tc>
          <w:tcPr>
            <w:tcW w:w="1163" w:type="dxa"/>
            <w:noWrap/>
            <w:vAlign w:val="center"/>
          </w:tcPr>
          <w:p w14:paraId="61675FA7">
            <w:pPr>
              <w:jc w:val="center"/>
              <w:rPr>
                <w:color w:val="auto"/>
                <w:szCs w:val="21"/>
                <w:highlight w:val="none"/>
              </w:rPr>
            </w:pPr>
          </w:p>
        </w:tc>
      </w:tr>
      <w:tr w14:paraId="23BD5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463B03B2">
            <w:pPr>
              <w:jc w:val="center"/>
              <w:rPr>
                <w:color w:val="auto"/>
                <w:szCs w:val="21"/>
                <w:highlight w:val="none"/>
              </w:rPr>
            </w:pPr>
          </w:p>
        </w:tc>
        <w:tc>
          <w:tcPr>
            <w:tcW w:w="6069" w:type="dxa"/>
            <w:noWrap/>
            <w:vAlign w:val="center"/>
          </w:tcPr>
          <w:p w14:paraId="6109A6B8">
            <w:pPr>
              <w:jc w:val="center"/>
              <w:rPr>
                <w:color w:val="auto"/>
                <w:szCs w:val="21"/>
                <w:highlight w:val="none"/>
              </w:rPr>
            </w:pPr>
            <w:r>
              <w:rPr>
                <w:rFonts w:hint="eastAsia"/>
                <w:color w:val="auto"/>
                <w:szCs w:val="21"/>
                <w:highlight w:val="none"/>
              </w:rPr>
              <w:t>规章制度齐全并上墙告示，制度未上墙扣除5 分</w:t>
            </w:r>
          </w:p>
        </w:tc>
        <w:tc>
          <w:tcPr>
            <w:tcW w:w="1163" w:type="dxa"/>
            <w:noWrap/>
            <w:vAlign w:val="center"/>
          </w:tcPr>
          <w:p w14:paraId="4A4DBFA1">
            <w:pPr>
              <w:jc w:val="center"/>
              <w:rPr>
                <w:color w:val="auto"/>
                <w:szCs w:val="21"/>
                <w:highlight w:val="none"/>
              </w:rPr>
            </w:pPr>
          </w:p>
        </w:tc>
      </w:tr>
      <w:tr w14:paraId="415FD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restart"/>
            <w:noWrap/>
            <w:vAlign w:val="center"/>
          </w:tcPr>
          <w:p w14:paraId="3167A010">
            <w:pPr>
              <w:jc w:val="center"/>
              <w:rPr>
                <w:color w:val="auto"/>
                <w:szCs w:val="21"/>
                <w:highlight w:val="none"/>
              </w:rPr>
            </w:pPr>
            <w:r>
              <w:rPr>
                <w:color w:val="auto"/>
                <w:szCs w:val="21"/>
                <w:highlight w:val="none"/>
              </w:rPr>
              <w:t>技术培训考</w:t>
            </w:r>
          </w:p>
          <w:p w14:paraId="6F744666">
            <w:pPr>
              <w:jc w:val="center"/>
              <w:rPr>
                <w:color w:val="auto"/>
                <w:szCs w:val="21"/>
                <w:highlight w:val="none"/>
              </w:rPr>
            </w:pPr>
            <w:r>
              <w:rPr>
                <w:color w:val="auto"/>
                <w:szCs w:val="21"/>
                <w:highlight w:val="none"/>
              </w:rPr>
              <w:t>核20 分</w:t>
            </w:r>
          </w:p>
        </w:tc>
        <w:tc>
          <w:tcPr>
            <w:tcW w:w="6069" w:type="dxa"/>
            <w:noWrap/>
            <w:vAlign w:val="center"/>
          </w:tcPr>
          <w:p w14:paraId="5ABDA6EC">
            <w:pPr>
              <w:jc w:val="center"/>
              <w:rPr>
                <w:color w:val="auto"/>
                <w:szCs w:val="21"/>
                <w:highlight w:val="none"/>
              </w:rPr>
            </w:pPr>
            <w:r>
              <w:rPr>
                <w:color w:val="auto"/>
                <w:szCs w:val="21"/>
                <w:highlight w:val="none"/>
              </w:rPr>
              <w:t>安规、调规、运规部门考核不及格一次扣除10 分</w:t>
            </w:r>
          </w:p>
        </w:tc>
        <w:tc>
          <w:tcPr>
            <w:tcW w:w="1163" w:type="dxa"/>
            <w:noWrap/>
            <w:vAlign w:val="center"/>
          </w:tcPr>
          <w:p w14:paraId="38B98CEB">
            <w:pPr>
              <w:jc w:val="center"/>
              <w:rPr>
                <w:color w:val="auto"/>
                <w:szCs w:val="21"/>
                <w:highlight w:val="none"/>
              </w:rPr>
            </w:pPr>
          </w:p>
        </w:tc>
      </w:tr>
      <w:tr w14:paraId="73442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15BD7D94">
            <w:pPr>
              <w:jc w:val="center"/>
              <w:rPr>
                <w:color w:val="auto"/>
                <w:szCs w:val="21"/>
                <w:highlight w:val="none"/>
              </w:rPr>
            </w:pPr>
          </w:p>
        </w:tc>
        <w:tc>
          <w:tcPr>
            <w:tcW w:w="6069" w:type="dxa"/>
            <w:noWrap/>
            <w:vAlign w:val="center"/>
          </w:tcPr>
          <w:p w14:paraId="21876358">
            <w:pPr>
              <w:jc w:val="center"/>
              <w:rPr>
                <w:color w:val="auto"/>
                <w:szCs w:val="21"/>
                <w:highlight w:val="none"/>
              </w:rPr>
            </w:pPr>
            <w:r>
              <w:rPr>
                <w:color w:val="auto"/>
                <w:szCs w:val="21"/>
                <w:highlight w:val="none"/>
              </w:rPr>
              <w:t>运行岗位、技术考核不及格一次扣除10 分</w:t>
            </w:r>
          </w:p>
        </w:tc>
        <w:tc>
          <w:tcPr>
            <w:tcW w:w="1163" w:type="dxa"/>
            <w:noWrap/>
            <w:vAlign w:val="center"/>
          </w:tcPr>
          <w:p w14:paraId="61FAF2DF">
            <w:pPr>
              <w:jc w:val="center"/>
              <w:rPr>
                <w:color w:val="auto"/>
                <w:szCs w:val="21"/>
                <w:highlight w:val="none"/>
              </w:rPr>
            </w:pPr>
          </w:p>
        </w:tc>
      </w:tr>
      <w:tr w14:paraId="56FF8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1296" w:type="dxa"/>
            <w:vMerge w:val="continue"/>
            <w:noWrap/>
            <w:vAlign w:val="center"/>
          </w:tcPr>
          <w:p w14:paraId="19C912BE">
            <w:pPr>
              <w:jc w:val="center"/>
              <w:rPr>
                <w:color w:val="auto"/>
                <w:szCs w:val="21"/>
                <w:highlight w:val="none"/>
              </w:rPr>
            </w:pPr>
          </w:p>
        </w:tc>
        <w:tc>
          <w:tcPr>
            <w:tcW w:w="6069" w:type="dxa"/>
            <w:noWrap/>
            <w:vAlign w:val="center"/>
          </w:tcPr>
          <w:p w14:paraId="51E0B201">
            <w:pPr>
              <w:jc w:val="center"/>
              <w:rPr>
                <w:color w:val="auto"/>
                <w:szCs w:val="21"/>
                <w:highlight w:val="none"/>
              </w:rPr>
            </w:pPr>
            <w:r>
              <w:rPr>
                <w:color w:val="auto"/>
                <w:szCs w:val="21"/>
                <w:highlight w:val="none"/>
              </w:rPr>
              <w:t>月未组织学习培训每次扣除5 分</w:t>
            </w:r>
          </w:p>
        </w:tc>
        <w:tc>
          <w:tcPr>
            <w:tcW w:w="1163" w:type="dxa"/>
            <w:noWrap/>
            <w:vAlign w:val="center"/>
          </w:tcPr>
          <w:p w14:paraId="3419A5EF">
            <w:pPr>
              <w:jc w:val="center"/>
              <w:rPr>
                <w:color w:val="auto"/>
                <w:szCs w:val="21"/>
                <w:highlight w:val="none"/>
              </w:rPr>
            </w:pPr>
          </w:p>
        </w:tc>
      </w:tr>
      <w:tr w14:paraId="36AF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23C1FFF0">
            <w:pPr>
              <w:jc w:val="center"/>
              <w:rPr>
                <w:color w:val="auto"/>
                <w:szCs w:val="21"/>
                <w:highlight w:val="none"/>
              </w:rPr>
            </w:pPr>
          </w:p>
        </w:tc>
        <w:tc>
          <w:tcPr>
            <w:tcW w:w="6069" w:type="dxa"/>
            <w:noWrap/>
            <w:vAlign w:val="center"/>
          </w:tcPr>
          <w:p w14:paraId="6484530E">
            <w:pPr>
              <w:jc w:val="center"/>
              <w:rPr>
                <w:color w:val="auto"/>
                <w:szCs w:val="21"/>
                <w:highlight w:val="none"/>
              </w:rPr>
            </w:pPr>
            <w:r>
              <w:rPr>
                <w:color w:val="auto"/>
                <w:szCs w:val="21"/>
                <w:highlight w:val="none"/>
              </w:rPr>
              <w:t>无故不参加各种培训学习每次扣10 分</w:t>
            </w:r>
          </w:p>
        </w:tc>
        <w:tc>
          <w:tcPr>
            <w:tcW w:w="1163" w:type="dxa"/>
            <w:noWrap/>
            <w:vAlign w:val="center"/>
          </w:tcPr>
          <w:p w14:paraId="43733B1E">
            <w:pPr>
              <w:jc w:val="center"/>
              <w:rPr>
                <w:color w:val="auto"/>
                <w:szCs w:val="21"/>
                <w:highlight w:val="none"/>
              </w:rPr>
            </w:pPr>
          </w:p>
        </w:tc>
      </w:tr>
      <w:tr w14:paraId="182AA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restart"/>
            <w:noWrap/>
            <w:vAlign w:val="center"/>
          </w:tcPr>
          <w:p w14:paraId="12041E86">
            <w:pPr>
              <w:jc w:val="center"/>
              <w:rPr>
                <w:color w:val="auto"/>
                <w:szCs w:val="21"/>
                <w:highlight w:val="none"/>
              </w:rPr>
            </w:pPr>
            <w:r>
              <w:rPr>
                <w:color w:val="auto"/>
                <w:szCs w:val="21"/>
                <w:highlight w:val="none"/>
              </w:rPr>
              <w:t>劳动纪律20</w:t>
            </w:r>
          </w:p>
          <w:p w14:paraId="4313AF0E">
            <w:pPr>
              <w:jc w:val="center"/>
              <w:rPr>
                <w:color w:val="auto"/>
                <w:szCs w:val="21"/>
                <w:highlight w:val="none"/>
              </w:rPr>
            </w:pPr>
            <w:r>
              <w:rPr>
                <w:color w:val="auto"/>
                <w:szCs w:val="21"/>
                <w:highlight w:val="none"/>
              </w:rPr>
              <w:t>分</w:t>
            </w:r>
          </w:p>
        </w:tc>
        <w:tc>
          <w:tcPr>
            <w:tcW w:w="6069" w:type="dxa"/>
            <w:noWrap/>
            <w:vAlign w:val="center"/>
          </w:tcPr>
          <w:p w14:paraId="652F84A6">
            <w:pPr>
              <w:jc w:val="center"/>
              <w:rPr>
                <w:color w:val="auto"/>
                <w:szCs w:val="21"/>
                <w:highlight w:val="none"/>
              </w:rPr>
            </w:pPr>
            <w:r>
              <w:rPr>
                <w:color w:val="auto"/>
                <w:szCs w:val="21"/>
                <w:highlight w:val="none"/>
              </w:rPr>
              <w:t>规范作息时间无故迟到早退一次扣除5 分</w:t>
            </w:r>
          </w:p>
        </w:tc>
        <w:tc>
          <w:tcPr>
            <w:tcW w:w="1163" w:type="dxa"/>
            <w:noWrap/>
            <w:vAlign w:val="center"/>
          </w:tcPr>
          <w:p w14:paraId="6B00C8F7">
            <w:pPr>
              <w:jc w:val="center"/>
              <w:rPr>
                <w:color w:val="auto"/>
                <w:szCs w:val="21"/>
                <w:highlight w:val="none"/>
              </w:rPr>
            </w:pPr>
          </w:p>
        </w:tc>
      </w:tr>
      <w:tr w14:paraId="6E07E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3701ADC8">
            <w:pPr>
              <w:jc w:val="center"/>
              <w:rPr>
                <w:color w:val="auto"/>
                <w:szCs w:val="21"/>
                <w:highlight w:val="none"/>
              </w:rPr>
            </w:pPr>
          </w:p>
        </w:tc>
        <w:tc>
          <w:tcPr>
            <w:tcW w:w="6069" w:type="dxa"/>
            <w:noWrap/>
            <w:vAlign w:val="center"/>
          </w:tcPr>
          <w:p w14:paraId="5674B2EA">
            <w:pPr>
              <w:jc w:val="center"/>
              <w:rPr>
                <w:color w:val="auto"/>
                <w:szCs w:val="21"/>
                <w:highlight w:val="none"/>
              </w:rPr>
            </w:pPr>
            <w:r>
              <w:rPr>
                <w:color w:val="auto"/>
                <w:szCs w:val="21"/>
                <w:highlight w:val="none"/>
              </w:rPr>
              <w:t>值</w:t>
            </w:r>
            <w:r>
              <w:rPr>
                <w:rFonts w:hint="eastAsia"/>
                <w:color w:val="auto"/>
                <w:szCs w:val="21"/>
                <w:highlight w:val="none"/>
              </w:rPr>
              <w:t>班</w:t>
            </w:r>
            <w:r>
              <w:rPr>
                <w:color w:val="auto"/>
                <w:szCs w:val="21"/>
                <w:highlight w:val="none"/>
              </w:rPr>
              <w:t>期间</w:t>
            </w:r>
            <w:r>
              <w:rPr>
                <w:rFonts w:hint="eastAsia"/>
                <w:color w:val="auto"/>
                <w:szCs w:val="21"/>
                <w:highlight w:val="none"/>
              </w:rPr>
              <w:t>变电站、开闭所、配电房内</w:t>
            </w:r>
            <w:r>
              <w:rPr>
                <w:color w:val="auto"/>
                <w:szCs w:val="21"/>
                <w:highlight w:val="none"/>
              </w:rPr>
              <w:t xml:space="preserve">卫生脏乱扣5 分 </w:t>
            </w:r>
          </w:p>
        </w:tc>
        <w:tc>
          <w:tcPr>
            <w:tcW w:w="1163" w:type="dxa"/>
            <w:noWrap/>
            <w:vAlign w:val="center"/>
          </w:tcPr>
          <w:p w14:paraId="56008C01">
            <w:pPr>
              <w:jc w:val="center"/>
              <w:rPr>
                <w:color w:val="auto"/>
                <w:szCs w:val="21"/>
                <w:highlight w:val="none"/>
              </w:rPr>
            </w:pPr>
          </w:p>
        </w:tc>
      </w:tr>
      <w:tr w14:paraId="3CD6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409FD128">
            <w:pPr>
              <w:jc w:val="center"/>
              <w:rPr>
                <w:color w:val="auto"/>
                <w:szCs w:val="21"/>
                <w:highlight w:val="none"/>
              </w:rPr>
            </w:pPr>
          </w:p>
        </w:tc>
        <w:tc>
          <w:tcPr>
            <w:tcW w:w="6069" w:type="dxa"/>
            <w:noWrap/>
            <w:vAlign w:val="center"/>
          </w:tcPr>
          <w:p w14:paraId="4E27B3FD">
            <w:pPr>
              <w:jc w:val="center"/>
              <w:rPr>
                <w:color w:val="auto"/>
                <w:szCs w:val="21"/>
                <w:highlight w:val="none"/>
              </w:rPr>
            </w:pPr>
            <w:r>
              <w:rPr>
                <w:rFonts w:hint="eastAsia"/>
                <w:color w:val="auto"/>
                <w:szCs w:val="21"/>
                <w:highlight w:val="none"/>
              </w:rPr>
              <w:t>变电站、开闭所、配电房内</w:t>
            </w:r>
            <w:r>
              <w:rPr>
                <w:color w:val="auto"/>
                <w:szCs w:val="21"/>
                <w:highlight w:val="none"/>
              </w:rPr>
              <w:t>吸烟一次扣除5 分</w:t>
            </w:r>
          </w:p>
        </w:tc>
        <w:tc>
          <w:tcPr>
            <w:tcW w:w="1163" w:type="dxa"/>
            <w:noWrap/>
            <w:vAlign w:val="center"/>
          </w:tcPr>
          <w:p w14:paraId="6430BD2F">
            <w:pPr>
              <w:jc w:val="center"/>
              <w:rPr>
                <w:color w:val="auto"/>
                <w:szCs w:val="21"/>
                <w:highlight w:val="none"/>
              </w:rPr>
            </w:pPr>
          </w:p>
        </w:tc>
      </w:tr>
      <w:tr w14:paraId="519F5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134A9F6B">
            <w:pPr>
              <w:jc w:val="center"/>
              <w:rPr>
                <w:color w:val="auto"/>
                <w:szCs w:val="21"/>
                <w:highlight w:val="none"/>
              </w:rPr>
            </w:pPr>
          </w:p>
        </w:tc>
        <w:tc>
          <w:tcPr>
            <w:tcW w:w="6069" w:type="dxa"/>
            <w:noWrap/>
            <w:vAlign w:val="center"/>
          </w:tcPr>
          <w:p w14:paraId="30D27CA7">
            <w:pPr>
              <w:jc w:val="center"/>
              <w:rPr>
                <w:color w:val="auto"/>
                <w:szCs w:val="21"/>
                <w:highlight w:val="none"/>
              </w:rPr>
            </w:pPr>
            <w:r>
              <w:rPr>
                <w:rFonts w:hint="eastAsia"/>
                <w:color w:val="auto"/>
                <w:szCs w:val="21"/>
                <w:highlight w:val="none"/>
              </w:rPr>
              <w:t>变电站、开闭所、配电房内</w:t>
            </w:r>
            <w:r>
              <w:rPr>
                <w:color w:val="auto"/>
                <w:szCs w:val="21"/>
                <w:highlight w:val="none"/>
              </w:rPr>
              <w:t>饮酒赌博者扣除</w:t>
            </w:r>
            <w:r>
              <w:rPr>
                <w:rFonts w:hint="eastAsia"/>
                <w:color w:val="auto"/>
                <w:szCs w:val="21"/>
                <w:highlight w:val="none"/>
              </w:rPr>
              <w:t>2</w:t>
            </w:r>
            <w:r>
              <w:rPr>
                <w:color w:val="auto"/>
                <w:szCs w:val="21"/>
                <w:highlight w:val="none"/>
              </w:rPr>
              <w:t>0 分</w:t>
            </w:r>
          </w:p>
        </w:tc>
        <w:tc>
          <w:tcPr>
            <w:tcW w:w="1163" w:type="dxa"/>
            <w:noWrap/>
            <w:vAlign w:val="center"/>
          </w:tcPr>
          <w:p w14:paraId="1604CFAA">
            <w:pPr>
              <w:jc w:val="center"/>
              <w:rPr>
                <w:color w:val="auto"/>
                <w:szCs w:val="21"/>
                <w:highlight w:val="none"/>
              </w:rPr>
            </w:pPr>
          </w:p>
        </w:tc>
      </w:tr>
      <w:tr w14:paraId="3E2BC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vMerge w:val="continue"/>
            <w:noWrap/>
            <w:vAlign w:val="center"/>
          </w:tcPr>
          <w:p w14:paraId="6966F909">
            <w:pPr>
              <w:jc w:val="center"/>
              <w:rPr>
                <w:color w:val="auto"/>
                <w:szCs w:val="21"/>
                <w:highlight w:val="none"/>
              </w:rPr>
            </w:pPr>
          </w:p>
        </w:tc>
        <w:tc>
          <w:tcPr>
            <w:tcW w:w="6069" w:type="dxa"/>
            <w:noWrap/>
            <w:vAlign w:val="center"/>
          </w:tcPr>
          <w:p w14:paraId="2E6CCC13">
            <w:pPr>
              <w:jc w:val="center"/>
              <w:rPr>
                <w:color w:val="auto"/>
                <w:szCs w:val="21"/>
                <w:highlight w:val="none"/>
              </w:rPr>
            </w:pPr>
            <w:r>
              <w:rPr>
                <w:rFonts w:hint="eastAsia"/>
                <w:color w:val="auto"/>
                <w:szCs w:val="21"/>
                <w:highlight w:val="none"/>
              </w:rPr>
              <w:t>管理区域卫生不干净扣除1-5 分</w:t>
            </w:r>
          </w:p>
        </w:tc>
        <w:tc>
          <w:tcPr>
            <w:tcW w:w="1163" w:type="dxa"/>
            <w:noWrap/>
            <w:vAlign w:val="center"/>
          </w:tcPr>
          <w:p w14:paraId="1EDDCDC5">
            <w:pPr>
              <w:jc w:val="center"/>
              <w:rPr>
                <w:color w:val="auto"/>
                <w:szCs w:val="21"/>
                <w:highlight w:val="none"/>
              </w:rPr>
            </w:pPr>
          </w:p>
        </w:tc>
      </w:tr>
      <w:tr w14:paraId="6A7A7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96" w:type="dxa"/>
            <w:noWrap/>
            <w:vAlign w:val="center"/>
          </w:tcPr>
          <w:p w14:paraId="2FCCC57A">
            <w:pPr>
              <w:jc w:val="center"/>
              <w:rPr>
                <w:color w:val="auto"/>
                <w:szCs w:val="21"/>
                <w:highlight w:val="none"/>
              </w:rPr>
            </w:pPr>
            <w:r>
              <w:rPr>
                <w:rFonts w:hint="eastAsia"/>
                <w:color w:val="auto"/>
                <w:szCs w:val="21"/>
                <w:highlight w:val="none"/>
              </w:rPr>
              <w:t>说明</w:t>
            </w:r>
          </w:p>
        </w:tc>
        <w:tc>
          <w:tcPr>
            <w:tcW w:w="6069" w:type="dxa"/>
            <w:noWrap/>
            <w:vAlign w:val="center"/>
          </w:tcPr>
          <w:p w14:paraId="5DC0A2AC">
            <w:pPr>
              <w:jc w:val="center"/>
              <w:rPr>
                <w:color w:val="auto"/>
                <w:szCs w:val="21"/>
                <w:highlight w:val="none"/>
              </w:rPr>
            </w:pPr>
            <w:r>
              <w:rPr>
                <w:color w:val="auto"/>
                <w:szCs w:val="21"/>
                <w:highlight w:val="none"/>
              </w:rPr>
              <w:t>当月绩效考核成绩在</w:t>
            </w:r>
            <w:r>
              <w:rPr>
                <w:rFonts w:hint="eastAsia"/>
                <w:color w:val="auto"/>
                <w:szCs w:val="21"/>
                <w:highlight w:val="none"/>
              </w:rPr>
              <w:t>8</w:t>
            </w:r>
            <w:r>
              <w:rPr>
                <w:color w:val="auto"/>
                <w:szCs w:val="21"/>
                <w:highlight w:val="none"/>
              </w:rPr>
              <w:t>5（含）分</w:t>
            </w:r>
            <w:r>
              <w:rPr>
                <w:rFonts w:hint="eastAsia"/>
                <w:color w:val="auto"/>
                <w:szCs w:val="21"/>
                <w:highlight w:val="none"/>
              </w:rPr>
              <w:t>以上的</w:t>
            </w:r>
            <w:r>
              <w:rPr>
                <w:color w:val="auto"/>
                <w:szCs w:val="21"/>
                <w:highlight w:val="none"/>
              </w:rPr>
              <w:t>为合格</w:t>
            </w:r>
            <w:r>
              <w:rPr>
                <w:rFonts w:hint="eastAsia"/>
                <w:color w:val="auto"/>
                <w:szCs w:val="21"/>
                <w:highlight w:val="none"/>
              </w:rPr>
              <w:t>。</w:t>
            </w:r>
          </w:p>
        </w:tc>
        <w:tc>
          <w:tcPr>
            <w:tcW w:w="1163" w:type="dxa"/>
            <w:noWrap/>
            <w:vAlign w:val="center"/>
          </w:tcPr>
          <w:p w14:paraId="422D9A05">
            <w:pPr>
              <w:jc w:val="center"/>
              <w:rPr>
                <w:color w:val="auto"/>
                <w:szCs w:val="21"/>
                <w:highlight w:val="none"/>
              </w:rPr>
            </w:pPr>
          </w:p>
        </w:tc>
      </w:tr>
    </w:tbl>
    <w:p w14:paraId="781ED6CA">
      <w:pPr>
        <w:spacing w:line="276" w:lineRule="auto"/>
        <w:ind w:firstLine="428" w:firstLineChars="204"/>
        <w:jc w:val="left"/>
        <w:rPr>
          <w:rFonts w:ascii="宋体" w:hAnsi="宋体"/>
          <w:color w:val="auto"/>
          <w:kern w:val="0"/>
          <w:szCs w:val="21"/>
          <w:highlight w:val="none"/>
        </w:rPr>
      </w:pPr>
    </w:p>
    <w:p w14:paraId="23506E9F">
      <w:pPr>
        <w:spacing w:line="276" w:lineRule="auto"/>
        <w:rPr>
          <w:rFonts w:hint="eastAsia" w:ascii="黑体" w:hAnsi="黑体" w:eastAsia="黑体"/>
          <w:b/>
          <w:color w:val="auto"/>
          <w:szCs w:val="21"/>
          <w:highlight w:val="none"/>
        </w:rPr>
      </w:pPr>
    </w:p>
    <w:p w14:paraId="74D75E6A">
      <w:pPr>
        <w:spacing w:line="240" w:lineRule="auto"/>
        <w:jc w:val="left"/>
        <w:rPr>
          <w:rFonts w:ascii="黑体" w:hAnsi="黑体" w:eastAsia="黑体"/>
          <w:b/>
          <w:color w:val="auto"/>
          <w:szCs w:val="21"/>
          <w:highlight w:val="none"/>
        </w:rPr>
      </w:pPr>
      <w:r>
        <w:rPr>
          <w:rFonts w:ascii="黑体" w:hAnsi="黑体" w:eastAsia="黑体"/>
          <w:b/>
          <w:color w:val="auto"/>
          <w:szCs w:val="21"/>
          <w:highlight w:val="none"/>
        </w:rPr>
        <w:br w:type="page"/>
      </w:r>
    </w:p>
    <w:p w14:paraId="68C41240">
      <w:pPr>
        <w:spacing w:line="276" w:lineRule="auto"/>
        <w:jc w:val="center"/>
        <w:rPr>
          <w:rFonts w:ascii="黑体" w:hAnsi="黑体" w:eastAsia="黑体"/>
          <w:b/>
          <w:color w:val="auto"/>
          <w:szCs w:val="21"/>
          <w:highlight w:val="none"/>
        </w:rPr>
      </w:pPr>
    </w:p>
    <w:p w14:paraId="49414C31">
      <w:pPr>
        <w:spacing w:line="276" w:lineRule="auto"/>
        <w:jc w:val="center"/>
        <w:rPr>
          <w:rFonts w:ascii="黑体" w:hAnsi="黑体" w:eastAsia="黑体"/>
          <w:b/>
          <w:color w:val="auto"/>
          <w:szCs w:val="21"/>
          <w:highlight w:val="none"/>
        </w:rPr>
      </w:pPr>
    </w:p>
    <w:p w14:paraId="616F0909">
      <w:pPr>
        <w:spacing w:line="276" w:lineRule="auto"/>
        <w:jc w:val="center"/>
        <w:outlineLvl w:val="0"/>
        <w:rPr>
          <w:rFonts w:ascii="黑体" w:hAnsi="黑体" w:eastAsia="黑体"/>
          <w:color w:val="auto"/>
          <w:sz w:val="28"/>
          <w:szCs w:val="28"/>
          <w:highlight w:val="none"/>
        </w:rPr>
      </w:pPr>
      <w:bookmarkStart w:id="121" w:name="_Toc25409"/>
      <w:bookmarkStart w:id="122" w:name="_Toc97815023"/>
      <w:r>
        <w:rPr>
          <w:rFonts w:hint="eastAsia" w:ascii="黑体" w:hAnsi="黑体" w:eastAsia="黑体"/>
          <w:color w:val="auto"/>
          <w:sz w:val="28"/>
          <w:szCs w:val="28"/>
          <w:highlight w:val="none"/>
        </w:rPr>
        <w:t>第七章 投标文件格式</w:t>
      </w:r>
      <w:bookmarkEnd w:id="105"/>
      <w:bookmarkEnd w:id="106"/>
      <w:bookmarkEnd w:id="107"/>
      <w:bookmarkEnd w:id="108"/>
      <w:bookmarkEnd w:id="109"/>
      <w:bookmarkEnd w:id="110"/>
      <w:bookmarkEnd w:id="121"/>
      <w:bookmarkEnd w:id="122"/>
    </w:p>
    <w:p w14:paraId="4F8CD3D3">
      <w:pPr>
        <w:spacing w:after="780" w:afterLines="250" w:line="276" w:lineRule="auto"/>
        <w:jc w:val="center"/>
        <w:rPr>
          <w:rFonts w:ascii="黑体" w:hAnsi="黑体" w:eastAsia="黑体"/>
          <w:b/>
          <w:color w:val="auto"/>
          <w:sz w:val="72"/>
          <w:szCs w:val="72"/>
          <w:highlight w:val="none"/>
        </w:rPr>
      </w:pPr>
    </w:p>
    <w:p w14:paraId="545EDB73">
      <w:pPr>
        <w:spacing w:after="780" w:afterLines="250" w:line="276" w:lineRule="auto"/>
        <w:jc w:val="center"/>
        <w:rPr>
          <w:rFonts w:ascii="黑体" w:hAnsi="黑体" w:eastAsia="黑体"/>
          <w:b/>
          <w:color w:val="auto"/>
          <w:sz w:val="72"/>
          <w:szCs w:val="72"/>
          <w:highlight w:val="none"/>
        </w:rPr>
      </w:pPr>
      <w:r>
        <w:rPr>
          <w:rFonts w:hint="eastAsia" w:ascii="黑体" w:hAnsi="黑体" w:eastAsia="黑体"/>
          <w:b/>
          <w:color w:val="auto"/>
          <w:sz w:val="72"/>
          <w:szCs w:val="72"/>
          <w:highlight w:val="none"/>
        </w:rPr>
        <w:t>政 府 采 购 项 目</w:t>
      </w:r>
    </w:p>
    <w:p w14:paraId="747ABF77">
      <w:pPr>
        <w:spacing w:after="624" w:afterLines="200" w:line="276" w:lineRule="auto"/>
        <w:jc w:val="center"/>
        <w:rPr>
          <w:rFonts w:ascii="黑体" w:hAnsi="黑体" w:eastAsia="黑体"/>
          <w:b/>
          <w:color w:val="auto"/>
          <w:sz w:val="72"/>
          <w:szCs w:val="72"/>
          <w:highlight w:val="none"/>
        </w:rPr>
      </w:pPr>
      <w:r>
        <w:rPr>
          <w:rFonts w:hint="eastAsia" w:ascii="黑体" w:hAnsi="黑体" w:eastAsia="黑体"/>
          <w:b/>
          <w:color w:val="auto"/>
          <w:sz w:val="72"/>
          <w:szCs w:val="72"/>
          <w:highlight w:val="none"/>
        </w:rPr>
        <w:t>投 标 文 件</w:t>
      </w:r>
    </w:p>
    <w:p w14:paraId="71245478">
      <w:pPr>
        <w:rPr>
          <w:color w:val="auto"/>
          <w:szCs w:val="24"/>
          <w:highlight w:val="none"/>
          <w:lang w:val="zh-CN"/>
        </w:rPr>
      </w:pPr>
    </w:p>
    <w:p w14:paraId="444DA0E7">
      <w:pPr>
        <w:spacing w:line="276" w:lineRule="auto"/>
        <w:ind w:left="1967" w:leftChars="619" w:right="1299" w:rightChars="619" w:hanging="668" w:hangingChars="209"/>
        <w:rPr>
          <w:rFonts w:ascii="宋体" w:hAnsi="宋体"/>
          <w:bCs/>
          <w:color w:val="auto"/>
          <w:sz w:val="32"/>
          <w:szCs w:val="32"/>
          <w:highlight w:val="none"/>
        </w:rPr>
      </w:pPr>
      <w:r>
        <w:rPr>
          <w:rFonts w:hint="eastAsia" w:ascii="宋体" w:hAnsi="宋体"/>
          <w:b/>
          <w:bCs/>
          <w:color w:val="auto"/>
          <w:sz w:val="32"/>
          <w:szCs w:val="32"/>
          <w:highlight w:val="none"/>
        </w:rPr>
        <w:t>项目编号：</w:t>
      </w:r>
      <w:r>
        <w:rPr>
          <w:rFonts w:hint="eastAsia" w:ascii="宋体" w:hAnsi="宋体"/>
          <w:color w:val="auto"/>
          <w:sz w:val="32"/>
          <w:szCs w:val="32"/>
          <w:highlight w:val="none"/>
          <w:u w:val="single"/>
        </w:rPr>
        <w:t xml:space="preserve">                            </w:t>
      </w:r>
    </w:p>
    <w:p w14:paraId="3DEA54A9">
      <w:pPr>
        <w:spacing w:line="276" w:lineRule="auto"/>
        <w:ind w:left="1967" w:leftChars="619" w:right="1299" w:rightChars="619" w:hanging="668" w:hangingChars="209"/>
        <w:rPr>
          <w:rFonts w:ascii="宋体" w:hAnsi="宋体"/>
          <w:bCs/>
          <w:color w:val="auto"/>
          <w:sz w:val="32"/>
          <w:szCs w:val="32"/>
          <w:highlight w:val="none"/>
          <w:lang w:val="zh-CN"/>
        </w:rPr>
      </w:pPr>
      <w:r>
        <w:rPr>
          <w:rFonts w:hint="eastAsia" w:ascii="宋体" w:hAnsi="宋体"/>
          <w:b/>
          <w:bCs/>
          <w:color w:val="auto"/>
          <w:sz w:val="32"/>
          <w:szCs w:val="32"/>
          <w:highlight w:val="none"/>
        </w:rPr>
        <w:t>项目名称：</w:t>
      </w:r>
      <w:r>
        <w:rPr>
          <w:rFonts w:hint="eastAsia" w:ascii="宋体" w:hAnsi="宋体"/>
          <w:color w:val="auto"/>
          <w:sz w:val="32"/>
          <w:szCs w:val="32"/>
          <w:highlight w:val="none"/>
          <w:u w:val="single"/>
        </w:rPr>
        <w:t xml:space="preserve">                            </w:t>
      </w:r>
    </w:p>
    <w:p w14:paraId="021962A8">
      <w:pPr>
        <w:spacing w:line="276" w:lineRule="auto"/>
        <w:ind w:left="1967" w:leftChars="619" w:right="1299" w:rightChars="619" w:hanging="668" w:hangingChars="209"/>
        <w:rPr>
          <w:rFonts w:ascii="宋体" w:hAnsi="宋体"/>
          <w:color w:val="auto"/>
          <w:szCs w:val="21"/>
          <w:highlight w:val="none"/>
        </w:rPr>
      </w:pPr>
      <w:r>
        <w:rPr>
          <w:rFonts w:hint="eastAsia" w:ascii="宋体" w:hAnsi="宋体"/>
          <w:b/>
          <w:bCs/>
          <w:color w:val="auto"/>
          <w:sz w:val="32"/>
          <w:szCs w:val="32"/>
          <w:highlight w:val="none"/>
        </w:rPr>
        <w:t>包    号：</w:t>
      </w:r>
      <w:r>
        <w:rPr>
          <w:rFonts w:hint="eastAsia" w:ascii="宋体" w:hAnsi="宋体"/>
          <w:color w:val="auto"/>
          <w:sz w:val="32"/>
          <w:szCs w:val="32"/>
          <w:highlight w:val="none"/>
          <w:u w:val="single"/>
        </w:rPr>
        <w:t xml:space="preserve">                         </w:t>
      </w:r>
      <w:r>
        <w:rPr>
          <w:rFonts w:hint="eastAsia" w:ascii="宋体" w:hAnsi="宋体"/>
          <w:color w:val="auto"/>
          <w:szCs w:val="21"/>
          <w:highlight w:val="none"/>
          <w:u w:val="single"/>
        </w:rPr>
        <w:t xml:space="preserve">   </w:t>
      </w:r>
    </w:p>
    <w:p w14:paraId="09D714B7">
      <w:pPr>
        <w:spacing w:after="1560" w:afterLines="500" w:line="276" w:lineRule="auto"/>
        <w:ind w:left="1606" w:leftChars="271" w:right="569" w:rightChars="271" w:hanging="1037" w:hangingChars="494"/>
        <w:jc w:val="center"/>
        <w:rPr>
          <w:rFonts w:ascii="宋体" w:hAnsi="宋体"/>
          <w:color w:val="auto"/>
          <w:szCs w:val="21"/>
          <w:highlight w:val="none"/>
        </w:rPr>
      </w:pPr>
    </w:p>
    <w:p w14:paraId="1674333F">
      <w:pPr>
        <w:spacing w:line="276" w:lineRule="auto"/>
        <w:ind w:left="1971" w:leftChars="613" w:right="1287" w:rightChars="613" w:hanging="684" w:hangingChars="214"/>
        <w:rPr>
          <w:rFonts w:ascii="宋体" w:hAnsi="宋体"/>
          <w:b/>
          <w:bCs/>
          <w:color w:val="auto"/>
          <w:sz w:val="32"/>
          <w:szCs w:val="32"/>
          <w:highlight w:val="none"/>
        </w:rPr>
      </w:pPr>
      <w:r>
        <w:rPr>
          <w:rFonts w:hint="eastAsia" w:ascii="宋体" w:hAnsi="宋体"/>
          <w:b/>
          <w:bCs/>
          <w:color w:val="auto"/>
          <w:sz w:val="32"/>
          <w:szCs w:val="32"/>
          <w:highlight w:val="none"/>
        </w:rPr>
        <w:t>投标人（公章）：</w:t>
      </w:r>
      <w:r>
        <w:rPr>
          <w:rFonts w:hint="eastAsia" w:ascii="宋体" w:hAnsi="宋体"/>
          <w:b/>
          <w:bCs/>
          <w:color w:val="auto"/>
          <w:sz w:val="32"/>
          <w:szCs w:val="32"/>
          <w:highlight w:val="none"/>
          <w:u w:val="single"/>
        </w:rPr>
        <w:t xml:space="preserve">                             </w:t>
      </w:r>
    </w:p>
    <w:p w14:paraId="28D5CE50">
      <w:pPr>
        <w:spacing w:line="276" w:lineRule="auto"/>
        <w:ind w:left="1971" w:leftChars="613" w:right="1287" w:rightChars="613" w:hanging="684" w:hangingChars="214"/>
        <w:rPr>
          <w:rFonts w:ascii="宋体" w:hAnsi="宋体"/>
          <w:b/>
          <w:bCs/>
          <w:color w:val="auto"/>
          <w:sz w:val="32"/>
          <w:szCs w:val="32"/>
          <w:highlight w:val="none"/>
        </w:rPr>
      </w:pPr>
    </w:p>
    <w:p w14:paraId="05B47FD6">
      <w:pPr>
        <w:spacing w:before="312" w:beforeLines="100" w:after="312" w:afterLines="100" w:line="276" w:lineRule="auto"/>
        <w:ind w:left="2540" w:leftChars="466" w:right="466" w:hanging="1562" w:hangingChars="355"/>
        <w:jc w:val="center"/>
        <w:rPr>
          <w:rFonts w:ascii="宋体" w:hAnsi="宋体"/>
          <w:b/>
          <w:bCs/>
          <w:color w:val="auto"/>
          <w:sz w:val="44"/>
          <w:szCs w:val="44"/>
          <w:highlight w:val="none"/>
        </w:rPr>
      </w:pPr>
    </w:p>
    <w:p w14:paraId="7F4B029C">
      <w:pPr>
        <w:spacing w:line="276" w:lineRule="auto"/>
        <w:jc w:val="center"/>
        <w:rPr>
          <w:rFonts w:ascii="宋体" w:hAnsi="宋体"/>
          <w:b/>
          <w:color w:val="auto"/>
          <w:sz w:val="44"/>
          <w:szCs w:val="44"/>
          <w:highlight w:val="none"/>
        </w:rPr>
      </w:pPr>
      <w:r>
        <w:rPr>
          <w:rFonts w:hint="eastAsia" w:ascii="宋体" w:hAnsi="宋体"/>
          <w:b/>
          <w:bCs/>
          <w:color w:val="auto"/>
          <w:sz w:val="44"/>
          <w:szCs w:val="44"/>
          <w:highlight w:val="none"/>
        </w:rPr>
        <w:t>年</w:t>
      </w:r>
      <w:r>
        <w:rPr>
          <w:rFonts w:hint="eastAsia" w:ascii="宋体" w:hAnsi="宋体"/>
          <w:b/>
          <w:color w:val="auto"/>
          <w:sz w:val="44"/>
          <w:szCs w:val="44"/>
          <w:highlight w:val="none"/>
        </w:rPr>
        <w:t xml:space="preserve">   月    日</w:t>
      </w:r>
    </w:p>
    <w:p w14:paraId="0E4C3BE0">
      <w:pPr>
        <w:spacing w:line="276" w:lineRule="auto"/>
        <w:jc w:val="center"/>
        <w:outlineLvl w:val="2"/>
        <w:rPr>
          <w:color w:val="auto"/>
          <w:szCs w:val="21"/>
          <w:highlight w:val="none"/>
        </w:rPr>
      </w:pPr>
      <w:r>
        <w:rPr>
          <w:rFonts w:hint="eastAsia" w:ascii="宋体" w:hAnsi="宋体"/>
          <w:b/>
          <w:color w:val="auto"/>
          <w:sz w:val="44"/>
          <w:szCs w:val="44"/>
          <w:highlight w:val="none"/>
        </w:rPr>
        <w:br w:type="page"/>
      </w:r>
      <w:r>
        <w:rPr>
          <w:rFonts w:hint="eastAsia"/>
          <w:color w:val="auto"/>
          <w:szCs w:val="21"/>
          <w:highlight w:val="none"/>
        </w:rPr>
        <w:t>目 录</w:t>
      </w:r>
    </w:p>
    <w:p w14:paraId="4BBCA075">
      <w:pPr>
        <w:tabs>
          <w:tab w:val="left" w:pos="709"/>
        </w:tabs>
        <w:spacing w:line="276" w:lineRule="auto"/>
        <w:ind w:firstLine="420" w:firstLineChars="200"/>
        <w:rPr>
          <w:rFonts w:ascii="宋体" w:hAnsi="宋体" w:cs="Courier New"/>
          <w:color w:val="auto"/>
          <w:szCs w:val="21"/>
          <w:highlight w:val="none"/>
        </w:rPr>
      </w:pPr>
      <w:r>
        <w:rPr>
          <w:rFonts w:hint="eastAsia" w:ascii="宋体" w:hAnsi="宋体" w:cs="Courier New"/>
          <w:color w:val="auto"/>
          <w:szCs w:val="21"/>
          <w:highlight w:val="none"/>
        </w:rPr>
        <w:t>资格审查对照表</w:t>
      </w:r>
    </w:p>
    <w:p w14:paraId="5309BEA0">
      <w:pPr>
        <w:tabs>
          <w:tab w:val="left" w:pos="709"/>
        </w:tabs>
        <w:spacing w:line="276" w:lineRule="auto"/>
        <w:ind w:firstLine="420" w:firstLineChars="200"/>
        <w:rPr>
          <w:rFonts w:ascii="宋体" w:hAnsi="宋体" w:cs="Courier New"/>
          <w:color w:val="auto"/>
          <w:szCs w:val="21"/>
          <w:highlight w:val="none"/>
        </w:rPr>
      </w:pPr>
      <w:r>
        <w:rPr>
          <w:rFonts w:hint="eastAsia" w:ascii="宋体" w:hAnsi="宋体" w:cs="Courier New"/>
          <w:color w:val="auto"/>
          <w:szCs w:val="21"/>
          <w:highlight w:val="none"/>
        </w:rPr>
        <w:t>符合性审查对照表</w:t>
      </w:r>
    </w:p>
    <w:p w14:paraId="55EE8A48">
      <w:pPr>
        <w:tabs>
          <w:tab w:val="left" w:pos="709"/>
        </w:tabs>
        <w:spacing w:line="276" w:lineRule="auto"/>
        <w:ind w:firstLine="420" w:firstLineChars="200"/>
        <w:rPr>
          <w:rFonts w:ascii="宋体" w:hAnsi="宋体" w:cs="Courier New"/>
          <w:color w:val="auto"/>
          <w:szCs w:val="21"/>
          <w:highlight w:val="none"/>
        </w:rPr>
      </w:pPr>
      <w:r>
        <w:rPr>
          <w:rFonts w:hint="eastAsia" w:ascii="宋体" w:hAnsi="宋体" w:cs="Courier New"/>
          <w:color w:val="auto"/>
          <w:szCs w:val="21"/>
          <w:highlight w:val="none"/>
        </w:rPr>
        <w:t>技术、服务及商务评议对照表</w:t>
      </w:r>
    </w:p>
    <w:p w14:paraId="7822B0B0">
      <w:pPr>
        <w:tabs>
          <w:tab w:val="left" w:pos="1134"/>
        </w:tabs>
        <w:spacing w:line="276" w:lineRule="auto"/>
        <w:ind w:firstLine="420" w:firstLineChars="200"/>
        <w:rPr>
          <w:rFonts w:ascii="宋体" w:hAnsi="宋体" w:cs="Courier New"/>
          <w:color w:val="auto"/>
          <w:szCs w:val="21"/>
          <w:highlight w:val="none"/>
        </w:rPr>
      </w:pPr>
      <w:r>
        <w:rPr>
          <w:rFonts w:hint="eastAsia" w:ascii="宋体" w:hAnsi="宋体" w:cs="Courier New"/>
          <w:color w:val="auto"/>
          <w:szCs w:val="21"/>
          <w:highlight w:val="none"/>
        </w:rPr>
        <w:t>技术、服务及商务要求响应、偏离说明表</w:t>
      </w:r>
    </w:p>
    <w:p w14:paraId="2209F50F">
      <w:pPr>
        <w:numPr>
          <w:ilvl w:val="0"/>
          <w:numId w:val="57"/>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投标书</w:t>
      </w:r>
    </w:p>
    <w:p w14:paraId="31B14DA7">
      <w:pPr>
        <w:numPr>
          <w:ilvl w:val="0"/>
          <w:numId w:val="57"/>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报价一览表</w:t>
      </w:r>
    </w:p>
    <w:p w14:paraId="46C211BE">
      <w:pPr>
        <w:numPr>
          <w:ilvl w:val="0"/>
          <w:numId w:val="57"/>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报价明细表</w:t>
      </w:r>
    </w:p>
    <w:p w14:paraId="18973258">
      <w:pPr>
        <w:numPr>
          <w:ilvl w:val="0"/>
          <w:numId w:val="57"/>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报价范围以外的备品备件、耗材</w:t>
      </w:r>
      <w:r>
        <w:rPr>
          <w:rFonts w:ascii="宋体" w:hAnsi="宋体" w:cs="Courier New"/>
          <w:color w:val="auto"/>
          <w:szCs w:val="21"/>
          <w:highlight w:val="none"/>
        </w:rPr>
        <w:t>/服务价格表</w:t>
      </w:r>
      <w:r>
        <w:rPr>
          <w:rFonts w:hint="eastAsia" w:ascii="宋体" w:hAnsi="宋体" w:cs="Courier New"/>
          <w:b/>
          <w:color w:val="auto"/>
          <w:szCs w:val="21"/>
          <w:highlight w:val="none"/>
        </w:rPr>
        <w:t>（如有</w:t>
      </w:r>
      <w:r>
        <w:rPr>
          <w:rFonts w:ascii="宋体" w:hAnsi="宋体" w:cs="Courier New"/>
          <w:b/>
          <w:color w:val="auto"/>
          <w:szCs w:val="21"/>
          <w:highlight w:val="none"/>
        </w:rPr>
        <w:t>）</w:t>
      </w:r>
    </w:p>
    <w:p w14:paraId="0B84BD9C">
      <w:pPr>
        <w:numPr>
          <w:ilvl w:val="0"/>
          <w:numId w:val="57"/>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交纳投标保证金的银行凭证</w:t>
      </w:r>
    </w:p>
    <w:p w14:paraId="5B1DE5EF">
      <w:pPr>
        <w:numPr>
          <w:ilvl w:val="0"/>
          <w:numId w:val="57"/>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法定代表人身份证明书</w:t>
      </w:r>
    </w:p>
    <w:p w14:paraId="36F24F83">
      <w:pPr>
        <w:numPr>
          <w:ilvl w:val="0"/>
          <w:numId w:val="57"/>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法定代表人授权委托书</w:t>
      </w:r>
    </w:p>
    <w:p w14:paraId="3D82531B">
      <w:pPr>
        <w:numPr>
          <w:ilvl w:val="0"/>
          <w:numId w:val="57"/>
        </w:numPr>
        <w:tabs>
          <w:tab w:val="left" w:pos="709"/>
        </w:tabs>
        <w:spacing w:line="276" w:lineRule="auto"/>
        <w:rPr>
          <w:rFonts w:ascii="宋体" w:hAnsi="宋体" w:cs="Courier New"/>
          <w:color w:val="auto"/>
          <w:szCs w:val="21"/>
          <w:highlight w:val="none"/>
        </w:rPr>
      </w:pPr>
      <w:r>
        <w:rPr>
          <w:rFonts w:hint="eastAsia" w:ascii="宋体" w:hAnsi="宋体" w:cs="Courier New"/>
          <w:color w:val="auto"/>
          <w:szCs w:val="21"/>
          <w:highlight w:val="none"/>
        </w:rPr>
        <w:t>资格证明材料</w:t>
      </w:r>
    </w:p>
    <w:p w14:paraId="4D4E3AE9">
      <w:pPr>
        <w:numPr>
          <w:ilvl w:val="0"/>
          <w:numId w:val="57"/>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节能环保产品清单及证明材料</w:t>
      </w:r>
      <w:r>
        <w:rPr>
          <w:rFonts w:hint="eastAsia" w:ascii="宋体" w:hAnsi="宋体" w:cs="Courier New"/>
          <w:b/>
          <w:color w:val="auto"/>
          <w:szCs w:val="21"/>
          <w:highlight w:val="none"/>
        </w:rPr>
        <w:t>（如需</w:t>
      </w:r>
      <w:r>
        <w:rPr>
          <w:rFonts w:ascii="宋体" w:hAnsi="宋体" w:cs="Courier New"/>
          <w:b/>
          <w:color w:val="auto"/>
          <w:szCs w:val="21"/>
          <w:highlight w:val="none"/>
        </w:rPr>
        <w:t>）</w:t>
      </w:r>
    </w:p>
    <w:p w14:paraId="7B2B31C7">
      <w:pPr>
        <w:numPr>
          <w:ilvl w:val="0"/>
          <w:numId w:val="57"/>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制造厂家授权书/售后</w:t>
      </w:r>
      <w:r>
        <w:rPr>
          <w:rFonts w:ascii="宋体" w:hAnsi="宋体" w:cs="Courier New"/>
          <w:color w:val="auto"/>
          <w:szCs w:val="21"/>
          <w:highlight w:val="none"/>
        </w:rPr>
        <w:t>服务承诺函</w:t>
      </w:r>
      <w:r>
        <w:rPr>
          <w:rFonts w:hint="eastAsia" w:ascii="宋体" w:hAnsi="宋体" w:cs="Courier New"/>
          <w:b/>
          <w:color w:val="auto"/>
          <w:szCs w:val="21"/>
          <w:highlight w:val="none"/>
        </w:rPr>
        <w:t>（如需</w:t>
      </w:r>
      <w:r>
        <w:rPr>
          <w:rFonts w:ascii="宋体" w:hAnsi="宋体" w:cs="Courier New"/>
          <w:b/>
          <w:color w:val="auto"/>
          <w:szCs w:val="21"/>
          <w:highlight w:val="none"/>
        </w:rPr>
        <w:t>）</w:t>
      </w:r>
    </w:p>
    <w:p w14:paraId="68D919C8">
      <w:pPr>
        <w:numPr>
          <w:ilvl w:val="0"/>
          <w:numId w:val="57"/>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项目负责人、技术负责人简历表及证明材料</w:t>
      </w:r>
      <w:r>
        <w:rPr>
          <w:rFonts w:hint="eastAsia" w:ascii="宋体" w:hAnsi="宋体" w:cs="Courier New"/>
          <w:b/>
          <w:color w:val="auto"/>
          <w:szCs w:val="21"/>
          <w:highlight w:val="none"/>
        </w:rPr>
        <w:t>（如需</w:t>
      </w:r>
      <w:r>
        <w:rPr>
          <w:rFonts w:ascii="宋体" w:hAnsi="宋体" w:cs="Courier New"/>
          <w:b/>
          <w:color w:val="auto"/>
          <w:szCs w:val="21"/>
          <w:highlight w:val="none"/>
        </w:rPr>
        <w:t>）</w:t>
      </w:r>
    </w:p>
    <w:p w14:paraId="580E2819">
      <w:pPr>
        <w:numPr>
          <w:ilvl w:val="0"/>
          <w:numId w:val="57"/>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项目组成员一览表及证明材料</w:t>
      </w:r>
      <w:r>
        <w:rPr>
          <w:rFonts w:hint="eastAsia" w:ascii="宋体" w:hAnsi="宋体" w:cs="Courier New"/>
          <w:b/>
          <w:color w:val="auto"/>
          <w:szCs w:val="21"/>
          <w:highlight w:val="none"/>
        </w:rPr>
        <w:t>（如需</w:t>
      </w:r>
      <w:r>
        <w:rPr>
          <w:rFonts w:ascii="宋体" w:hAnsi="宋体" w:cs="Courier New"/>
          <w:b/>
          <w:color w:val="auto"/>
          <w:szCs w:val="21"/>
          <w:highlight w:val="none"/>
        </w:rPr>
        <w:t>）</w:t>
      </w:r>
    </w:p>
    <w:p w14:paraId="5428F5D4">
      <w:pPr>
        <w:numPr>
          <w:ilvl w:val="0"/>
          <w:numId w:val="57"/>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类似项目业绩表及证明材料</w:t>
      </w:r>
    </w:p>
    <w:p w14:paraId="748D6B38">
      <w:pPr>
        <w:numPr>
          <w:ilvl w:val="0"/>
          <w:numId w:val="57"/>
        </w:numPr>
        <w:tabs>
          <w:tab w:val="left" w:pos="1134"/>
        </w:tabs>
        <w:spacing w:line="276" w:lineRule="auto"/>
        <w:rPr>
          <w:rFonts w:ascii="宋体" w:hAnsi="宋体" w:cs="Courier New"/>
          <w:color w:val="auto"/>
          <w:szCs w:val="21"/>
          <w:highlight w:val="none"/>
        </w:rPr>
      </w:pPr>
      <w:r>
        <w:rPr>
          <w:rFonts w:ascii="宋体" w:hAnsi="宋体" w:cs="Courier New"/>
          <w:color w:val="auto"/>
          <w:szCs w:val="21"/>
          <w:highlight w:val="none"/>
        </w:rPr>
        <w:t>技术、服务</w:t>
      </w:r>
      <w:r>
        <w:rPr>
          <w:rFonts w:hint="eastAsia" w:ascii="宋体" w:hAnsi="宋体" w:cs="Courier New"/>
          <w:color w:val="auto"/>
          <w:szCs w:val="21"/>
          <w:highlight w:val="none"/>
        </w:rPr>
        <w:t>及</w:t>
      </w:r>
      <w:r>
        <w:rPr>
          <w:rFonts w:ascii="宋体" w:hAnsi="宋体" w:cs="Courier New"/>
          <w:color w:val="auto"/>
          <w:szCs w:val="21"/>
          <w:highlight w:val="none"/>
        </w:rPr>
        <w:t>商务文件</w:t>
      </w:r>
    </w:p>
    <w:p w14:paraId="3B63195C">
      <w:pPr>
        <w:tabs>
          <w:tab w:val="left" w:pos="709"/>
        </w:tabs>
        <w:spacing w:line="276" w:lineRule="auto"/>
        <w:rPr>
          <w:rFonts w:ascii="宋体" w:hAnsi="宋体" w:cs="Courier New"/>
          <w:color w:val="auto"/>
          <w:szCs w:val="21"/>
          <w:highlight w:val="none"/>
        </w:rPr>
      </w:pPr>
    </w:p>
    <w:p w14:paraId="4872B2E9">
      <w:pPr>
        <w:tabs>
          <w:tab w:val="left" w:pos="709"/>
        </w:tabs>
        <w:spacing w:line="276" w:lineRule="auto"/>
        <w:rPr>
          <w:rFonts w:ascii="宋体" w:hAnsi="宋体" w:cs="Courier New"/>
          <w:color w:val="auto"/>
          <w:szCs w:val="21"/>
          <w:highlight w:val="none"/>
        </w:rPr>
      </w:pPr>
    </w:p>
    <w:p w14:paraId="389BA28E">
      <w:pPr>
        <w:tabs>
          <w:tab w:val="left" w:pos="851"/>
        </w:tabs>
        <w:spacing w:line="276" w:lineRule="auto"/>
        <w:rPr>
          <w:rFonts w:ascii="宋体" w:hAnsi="宋体" w:cs="Courier New"/>
          <w:color w:val="auto"/>
          <w:szCs w:val="21"/>
          <w:highlight w:val="none"/>
        </w:rPr>
      </w:pPr>
      <w:r>
        <w:rPr>
          <w:rFonts w:hint="eastAsia" w:ascii="宋体" w:hAnsi="宋体" w:cs="Courier New"/>
          <w:color w:val="auto"/>
          <w:szCs w:val="21"/>
          <w:highlight w:val="none"/>
        </w:rPr>
        <w:t>注：</w:t>
      </w:r>
    </w:p>
    <w:p w14:paraId="3E4C7266">
      <w:pPr>
        <w:tabs>
          <w:tab w:val="left" w:pos="851"/>
        </w:tabs>
        <w:spacing w:line="276" w:lineRule="auto"/>
        <w:ind w:left="210" w:leftChars="100"/>
        <w:rPr>
          <w:rFonts w:ascii="宋体" w:hAnsi="宋体" w:cs="Courier New"/>
          <w:color w:val="auto"/>
          <w:szCs w:val="21"/>
          <w:highlight w:val="none"/>
        </w:rPr>
      </w:pPr>
      <w:r>
        <w:rPr>
          <w:rFonts w:hint="eastAsia" w:ascii="宋体" w:hAnsi="宋体" w:cs="Courier New"/>
          <w:color w:val="auto"/>
          <w:szCs w:val="21"/>
          <w:highlight w:val="none"/>
        </w:rPr>
        <w:t>1、根据参考格式要求自行编写，应目录清晰、内容详尽、易于理解。</w:t>
      </w:r>
    </w:p>
    <w:p w14:paraId="59FE2AA9">
      <w:pPr>
        <w:tabs>
          <w:tab w:val="left" w:pos="851"/>
        </w:tabs>
        <w:spacing w:line="276" w:lineRule="auto"/>
        <w:ind w:left="210" w:leftChars="100"/>
        <w:rPr>
          <w:rFonts w:ascii="宋体" w:hAnsi="宋体" w:cs="Courier New"/>
          <w:color w:val="auto"/>
          <w:szCs w:val="21"/>
          <w:highlight w:val="none"/>
        </w:rPr>
      </w:pPr>
      <w:r>
        <w:rPr>
          <w:rFonts w:hint="eastAsia" w:ascii="宋体" w:hAnsi="宋体" w:cs="Courier New"/>
          <w:color w:val="auto"/>
          <w:szCs w:val="21"/>
          <w:highlight w:val="none"/>
        </w:rPr>
        <w:t>2、未限定格式的由投标人根据实际情况自行编制。</w:t>
      </w:r>
    </w:p>
    <w:p w14:paraId="175C4B4E">
      <w:pPr>
        <w:widowControl/>
        <w:jc w:val="left"/>
        <w:rPr>
          <w:rFonts w:ascii="宋体" w:hAnsi="宋体" w:cs="Courier New"/>
          <w:color w:val="auto"/>
          <w:szCs w:val="21"/>
          <w:highlight w:val="none"/>
        </w:rPr>
      </w:pPr>
      <w:r>
        <w:rPr>
          <w:rFonts w:ascii="宋体" w:hAnsi="宋体" w:cs="Courier New"/>
          <w:color w:val="auto"/>
          <w:szCs w:val="21"/>
          <w:highlight w:val="none"/>
        </w:rPr>
        <w:br w:type="page"/>
      </w:r>
    </w:p>
    <w:p w14:paraId="1844A987">
      <w:pPr>
        <w:spacing w:line="276" w:lineRule="auto"/>
        <w:jc w:val="center"/>
        <w:rPr>
          <w:b/>
          <w:color w:val="auto"/>
          <w:szCs w:val="21"/>
          <w:highlight w:val="none"/>
        </w:rPr>
      </w:pPr>
      <w:r>
        <w:rPr>
          <w:rFonts w:hint="eastAsia"/>
          <w:b/>
          <w:color w:val="auto"/>
          <w:szCs w:val="21"/>
          <w:highlight w:val="none"/>
        </w:rPr>
        <w:t>资格审查对照表</w:t>
      </w:r>
    </w:p>
    <w:p w14:paraId="249B2795">
      <w:pP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1C028922">
      <w:pP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r>
        <w:rPr>
          <w:rFonts w:ascii="宋体" w:hAnsi="宋体"/>
          <w:bCs/>
          <w:color w:val="auto"/>
          <w:szCs w:val="21"/>
          <w:highlight w:val="none"/>
          <w:u w:val="single"/>
          <w:lang w:val="zh-CN"/>
        </w:rPr>
        <w:t xml:space="preserve">             </w:t>
      </w:r>
    </w:p>
    <w:tbl>
      <w:tblPr>
        <w:tblStyle w:val="21"/>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2339"/>
        <w:gridCol w:w="1970"/>
        <w:gridCol w:w="1574"/>
      </w:tblGrid>
      <w:tr w14:paraId="66ED7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2D937DCD">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76EC39B8">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资格</w:t>
            </w:r>
            <w:r>
              <w:rPr>
                <w:rFonts w:hint="eastAsia" w:ascii="宋体" w:hAnsi="宋体" w:cs="Corbel"/>
                <w:color w:val="auto"/>
                <w:szCs w:val="21"/>
                <w:highlight w:val="none"/>
              </w:rPr>
              <w:t>审查条款</w:t>
            </w:r>
          </w:p>
        </w:tc>
        <w:tc>
          <w:tcPr>
            <w:tcW w:w="2339" w:type="dxa"/>
            <w:tcBorders>
              <w:top w:val="single" w:color="auto" w:sz="4" w:space="0"/>
              <w:left w:val="single" w:color="auto" w:sz="4" w:space="0"/>
              <w:bottom w:val="single" w:color="auto" w:sz="4" w:space="0"/>
              <w:right w:val="single" w:color="auto" w:sz="4" w:space="0"/>
            </w:tcBorders>
            <w:shd w:val="clear" w:color="auto" w:fill="F1F1F1"/>
            <w:vAlign w:val="center"/>
          </w:tcPr>
          <w:p w14:paraId="1DFF3C45">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投标内容对应简述</w:t>
            </w:r>
          </w:p>
        </w:tc>
        <w:tc>
          <w:tcPr>
            <w:tcW w:w="1970" w:type="dxa"/>
            <w:tcBorders>
              <w:top w:val="single" w:color="auto" w:sz="4" w:space="0"/>
              <w:left w:val="single" w:color="auto" w:sz="4" w:space="0"/>
              <w:bottom w:val="single" w:color="auto" w:sz="4" w:space="0"/>
              <w:right w:val="single" w:color="auto" w:sz="4" w:space="0"/>
            </w:tcBorders>
            <w:shd w:val="clear" w:color="auto" w:fill="F1F1F1"/>
            <w:vAlign w:val="center"/>
          </w:tcPr>
          <w:p w14:paraId="62E12D6F">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偏离说明</w:t>
            </w:r>
          </w:p>
        </w:tc>
        <w:tc>
          <w:tcPr>
            <w:tcW w:w="1574" w:type="dxa"/>
            <w:tcBorders>
              <w:top w:val="single" w:color="auto" w:sz="4" w:space="0"/>
              <w:left w:val="single" w:color="auto" w:sz="4" w:space="0"/>
              <w:bottom w:val="single" w:color="auto" w:sz="4" w:space="0"/>
              <w:right w:val="single" w:color="auto" w:sz="4" w:space="0"/>
            </w:tcBorders>
            <w:shd w:val="clear" w:color="auto" w:fill="F1F1F1"/>
            <w:vAlign w:val="center"/>
          </w:tcPr>
          <w:p w14:paraId="1070AB3A">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对应</w:t>
            </w:r>
            <w:r>
              <w:rPr>
                <w:rFonts w:ascii="宋体" w:hAnsi="宋体" w:cs="仿宋_GB2312"/>
                <w:color w:val="auto"/>
                <w:szCs w:val="21"/>
                <w:highlight w:val="none"/>
              </w:rPr>
              <w:t>页码</w:t>
            </w:r>
          </w:p>
        </w:tc>
      </w:tr>
      <w:tr w14:paraId="66899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ECDC936">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1</w:t>
            </w:r>
          </w:p>
        </w:tc>
        <w:tc>
          <w:tcPr>
            <w:tcW w:w="3032" w:type="dxa"/>
            <w:tcBorders>
              <w:top w:val="single" w:color="auto" w:sz="4" w:space="0"/>
              <w:left w:val="single" w:color="auto" w:sz="4" w:space="0"/>
              <w:bottom w:val="single" w:color="auto" w:sz="4" w:space="0"/>
              <w:right w:val="single" w:color="auto" w:sz="4" w:space="0"/>
            </w:tcBorders>
            <w:vAlign w:val="center"/>
          </w:tcPr>
          <w:p w14:paraId="3FC42683">
            <w:pPr>
              <w:spacing w:line="276" w:lineRule="auto"/>
              <w:jc w:val="center"/>
              <w:rPr>
                <w:rFonts w:ascii="宋体" w:hAnsi="宋体" w:cs="仿宋_GB2312"/>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72F93E55">
            <w:pPr>
              <w:spacing w:line="276" w:lineRule="auto"/>
              <w:jc w:val="center"/>
              <w:rPr>
                <w:rFonts w:ascii="宋体" w:hAnsi="宋体" w:cs="仿宋_GB2312"/>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7F802405">
            <w:pPr>
              <w:spacing w:line="276" w:lineRule="auto"/>
              <w:jc w:val="center"/>
              <w:rPr>
                <w:rFonts w:ascii="宋体" w:hAnsi="宋体" w:cs="仿宋_GB2312"/>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003553FD">
            <w:pPr>
              <w:spacing w:line="276" w:lineRule="auto"/>
              <w:jc w:val="center"/>
              <w:rPr>
                <w:rFonts w:ascii="宋体" w:hAnsi="宋体" w:cs="仿宋_GB2312"/>
                <w:color w:val="auto"/>
                <w:szCs w:val="21"/>
                <w:highlight w:val="none"/>
              </w:rPr>
            </w:pPr>
          </w:p>
        </w:tc>
      </w:tr>
      <w:tr w14:paraId="2125A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BA425EC">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2</w:t>
            </w:r>
          </w:p>
        </w:tc>
        <w:tc>
          <w:tcPr>
            <w:tcW w:w="3032" w:type="dxa"/>
            <w:tcBorders>
              <w:top w:val="single" w:color="auto" w:sz="4" w:space="0"/>
              <w:left w:val="single" w:color="auto" w:sz="4" w:space="0"/>
              <w:bottom w:val="single" w:color="auto" w:sz="4" w:space="0"/>
              <w:right w:val="single" w:color="auto" w:sz="4" w:space="0"/>
            </w:tcBorders>
            <w:vAlign w:val="center"/>
          </w:tcPr>
          <w:p w14:paraId="390C36EC">
            <w:pPr>
              <w:spacing w:line="276" w:lineRule="auto"/>
              <w:jc w:val="center"/>
              <w:rPr>
                <w:rFonts w:ascii="宋体" w:hAnsi="宋体" w:cs="仿宋_GB2312"/>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6B9CF19E">
            <w:pPr>
              <w:spacing w:line="276" w:lineRule="auto"/>
              <w:jc w:val="center"/>
              <w:rPr>
                <w:rFonts w:ascii="宋体" w:hAnsi="宋体" w:cs="仿宋_GB2312"/>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6F2DDDB4">
            <w:pPr>
              <w:spacing w:line="276" w:lineRule="auto"/>
              <w:jc w:val="center"/>
              <w:rPr>
                <w:rFonts w:ascii="宋体" w:hAnsi="宋体" w:cs="仿宋_GB2312"/>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32B22502">
            <w:pPr>
              <w:spacing w:line="276" w:lineRule="auto"/>
              <w:jc w:val="center"/>
              <w:rPr>
                <w:rFonts w:ascii="宋体" w:hAnsi="宋体" w:cs="仿宋_GB2312"/>
                <w:color w:val="auto"/>
                <w:szCs w:val="21"/>
                <w:highlight w:val="none"/>
              </w:rPr>
            </w:pPr>
          </w:p>
        </w:tc>
      </w:tr>
      <w:tr w14:paraId="47FCD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258F2EFC">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3</w:t>
            </w:r>
          </w:p>
        </w:tc>
        <w:tc>
          <w:tcPr>
            <w:tcW w:w="3032" w:type="dxa"/>
            <w:tcBorders>
              <w:top w:val="single" w:color="auto" w:sz="4" w:space="0"/>
              <w:left w:val="single" w:color="auto" w:sz="4" w:space="0"/>
              <w:bottom w:val="single" w:color="auto" w:sz="4" w:space="0"/>
              <w:right w:val="single" w:color="auto" w:sz="4" w:space="0"/>
            </w:tcBorders>
            <w:vAlign w:val="center"/>
          </w:tcPr>
          <w:p w14:paraId="733A3D20">
            <w:pPr>
              <w:spacing w:line="276" w:lineRule="auto"/>
              <w:jc w:val="center"/>
              <w:rPr>
                <w:rFonts w:ascii="宋体" w:hAnsi="宋体" w:cs="仿宋_GB2312"/>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0B39080E">
            <w:pPr>
              <w:spacing w:line="276" w:lineRule="auto"/>
              <w:jc w:val="center"/>
              <w:rPr>
                <w:rFonts w:ascii="宋体" w:hAnsi="宋体" w:cs="仿宋_GB2312"/>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41147A1F">
            <w:pPr>
              <w:spacing w:line="276" w:lineRule="auto"/>
              <w:jc w:val="center"/>
              <w:rPr>
                <w:rFonts w:ascii="宋体" w:hAnsi="宋体" w:cs="仿宋_GB2312"/>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2990914C">
            <w:pPr>
              <w:spacing w:line="276" w:lineRule="auto"/>
              <w:jc w:val="center"/>
              <w:rPr>
                <w:rFonts w:ascii="宋体" w:hAnsi="宋体" w:cs="仿宋_GB2312"/>
                <w:color w:val="auto"/>
                <w:szCs w:val="21"/>
                <w:highlight w:val="none"/>
              </w:rPr>
            </w:pPr>
          </w:p>
        </w:tc>
      </w:tr>
      <w:tr w14:paraId="7F6AC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C69DE37">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4</w:t>
            </w:r>
          </w:p>
        </w:tc>
        <w:tc>
          <w:tcPr>
            <w:tcW w:w="3032" w:type="dxa"/>
            <w:tcBorders>
              <w:top w:val="single" w:color="auto" w:sz="4" w:space="0"/>
              <w:left w:val="single" w:color="auto" w:sz="4" w:space="0"/>
              <w:bottom w:val="single" w:color="auto" w:sz="4" w:space="0"/>
              <w:right w:val="single" w:color="auto" w:sz="4" w:space="0"/>
            </w:tcBorders>
            <w:vAlign w:val="center"/>
          </w:tcPr>
          <w:p w14:paraId="5EA341FA">
            <w:pPr>
              <w:spacing w:line="276" w:lineRule="auto"/>
              <w:jc w:val="center"/>
              <w:rPr>
                <w:rFonts w:ascii="宋体" w:hAnsi="宋体" w:cs="仿宋_GB2312"/>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3FE5396B">
            <w:pPr>
              <w:spacing w:line="276" w:lineRule="auto"/>
              <w:jc w:val="center"/>
              <w:rPr>
                <w:rFonts w:ascii="宋体" w:hAnsi="宋体" w:cs="仿宋_GB2312"/>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3E14CE53">
            <w:pPr>
              <w:spacing w:line="276" w:lineRule="auto"/>
              <w:jc w:val="center"/>
              <w:rPr>
                <w:rFonts w:ascii="宋体" w:hAnsi="宋体" w:cs="仿宋_GB2312"/>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71F8B24A">
            <w:pPr>
              <w:spacing w:line="276" w:lineRule="auto"/>
              <w:jc w:val="center"/>
              <w:rPr>
                <w:rFonts w:ascii="宋体" w:hAnsi="宋体" w:cs="仿宋_GB2312"/>
                <w:color w:val="auto"/>
                <w:szCs w:val="21"/>
                <w:highlight w:val="none"/>
              </w:rPr>
            </w:pPr>
          </w:p>
        </w:tc>
      </w:tr>
      <w:tr w14:paraId="01F42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E186117">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5</w:t>
            </w:r>
          </w:p>
        </w:tc>
        <w:tc>
          <w:tcPr>
            <w:tcW w:w="3032" w:type="dxa"/>
            <w:tcBorders>
              <w:top w:val="single" w:color="auto" w:sz="4" w:space="0"/>
              <w:left w:val="single" w:color="auto" w:sz="4" w:space="0"/>
              <w:bottom w:val="single" w:color="auto" w:sz="4" w:space="0"/>
              <w:right w:val="single" w:color="auto" w:sz="4" w:space="0"/>
            </w:tcBorders>
            <w:vAlign w:val="center"/>
          </w:tcPr>
          <w:p w14:paraId="41665075">
            <w:pPr>
              <w:spacing w:line="276" w:lineRule="auto"/>
              <w:jc w:val="center"/>
              <w:rPr>
                <w:rFonts w:ascii="宋体" w:hAnsi="宋体" w:cs="仿宋_GB2312"/>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5C5C2CF2">
            <w:pPr>
              <w:spacing w:line="276" w:lineRule="auto"/>
              <w:jc w:val="center"/>
              <w:rPr>
                <w:rFonts w:ascii="宋体" w:hAnsi="宋体" w:cs="仿宋_GB2312"/>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143E4713">
            <w:pPr>
              <w:spacing w:line="276" w:lineRule="auto"/>
              <w:jc w:val="center"/>
              <w:rPr>
                <w:rFonts w:ascii="宋体" w:hAnsi="宋体" w:cs="仿宋_GB2312"/>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2C1287F9">
            <w:pPr>
              <w:spacing w:line="276" w:lineRule="auto"/>
              <w:jc w:val="center"/>
              <w:rPr>
                <w:rFonts w:ascii="宋体" w:hAnsi="宋体" w:cs="仿宋_GB2312"/>
                <w:color w:val="auto"/>
                <w:szCs w:val="21"/>
                <w:highlight w:val="none"/>
              </w:rPr>
            </w:pPr>
          </w:p>
        </w:tc>
      </w:tr>
      <w:tr w14:paraId="5E84C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2A33EEC1">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6</w:t>
            </w:r>
          </w:p>
        </w:tc>
        <w:tc>
          <w:tcPr>
            <w:tcW w:w="3032" w:type="dxa"/>
            <w:tcBorders>
              <w:top w:val="single" w:color="auto" w:sz="4" w:space="0"/>
              <w:left w:val="single" w:color="auto" w:sz="4" w:space="0"/>
              <w:bottom w:val="single" w:color="auto" w:sz="4" w:space="0"/>
              <w:right w:val="single" w:color="auto" w:sz="4" w:space="0"/>
            </w:tcBorders>
            <w:vAlign w:val="center"/>
          </w:tcPr>
          <w:p w14:paraId="7FA72937">
            <w:pPr>
              <w:spacing w:line="276" w:lineRule="auto"/>
              <w:jc w:val="center"/>
              <w:rPr>
                <w:rFonts w:ascii="宋体" w:hAnsi="宋体" w:cs="仿宋_GB2312"/>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28A3B54E">
            <w:pPr>
              <w:spacing w:line="276" w:lineRule="auto"/>
              <w:jc w:val="center"/>
              <w:rPr>
                <w:rFonts w:ascii="宋体" w:hAnsi="宋体" w:cs="仿宋_GB2312"/>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6DF799A1">
            <w:pPr>
              <w:spacing w:line="276" w:lineRule="auto"/>
              <w:jc w:val="center"/>
              <w:rPr>
                <w:rFonts w:ascii="宋体" w:hAnsi="宋体" w:cs="仿宋_GB2312"/>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300B9384">
            <w:pPr>
              <w:spacing w:line="276" w:lineRule="auto"/>
              <w:jc w:val="center"/>
              <w:rPr>
                <w:rFonts w:ascii="宋体" w:hAnsi="宋体" w:cs="仿宋_GB2312"/>
                <w:color w:val="auto"/>
                <w:szCs w:val="21"/>
                <w:highlight w:val="none"/>
              </w:rPr>
            </w:pPr>
          </w:p>
        </w:tc>
      </w:tr>
      <w:tr w14:paraId="76616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210B713F">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w:t>
            </w:r>
          </w:p>
        </w:tc>
        <w:tc>
          <w:tcPr>
            <w:tcW w:w="3032" w:type="dxa"/>
            <w:tcBorders>
              <w:top w:val="single" w:color="auto" w:sz="4" w:space="0"/>
              <w:left w:val="single" w:color="auto" w:sz="4" w:space="0"/>
              <w:bottom w:val="single" w:color="auto" w:sz="4" w:space="0"/>
              <w:right w:val="single" w:color="auto" w:sz="4" w:space="0"/>
            </w:tcBorders>
            <w:vAlign w:val="center"/>
          </w:tcPr>
          <w:p w14:paraId="20E2651E">
            <w:pPr>
              <w:spacing w:line="276" w:lineRule="auto"/>
              <w:jc w:val="center"/>
              <w:rPr>
                <w:rFonts w:ascii="宋体" w:hAnsi="宋体" w:cs="仿宋_GB2312"/>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4E888C90">
            <w:pPr>
              <w:spacing w:line="276" w:lineRule="auto"/>
              <w:jc w:val="center"/>
              <w:rPr>
                <w:rFonts w:ascii="宋体" w:hAnsi="宋体" w:cs="仿宋_GB2312"/>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0A97B972">
            <w:pPr>
              <w:spacing w:line="276" w:lineRule="auto"/>
              <w:jc w:val="center"/>
              <w:rPr>
                <w:rFonts w:ascii="宋体" w:hAnsi="宋体" w:cs="仿宋_GB2312"/>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6BD0DF9F">
            <w:pPr>
              <w:spacing w:line="276" w:lineRule="auto"/>
              <w:jc w:val="center"/>
              <w:rPr>
                <w:rFonts w:ascii="宋体" w:hAnsi="宋体" w:cs="仿宋_GB2312"/>
                <w:color w:val="auto"/>
                <w:szCs w:val="21"/>
                <w:highlight w:val="none"/>
              </w:rPr>
            </w:pPr>
          </w:p>
        </w:tc>
      </w:tr>
    </w:tbl>
    <w:p w14:paraId="61B9DC0F">
      <w:pPr>
        <w:spacing w:line="276" w:lineRule="auto"/>
        <w:ind w:left="955" w:hanging="955" w:hangingChars="455"/>
        <w:jc w:val="left"/>
        <w:rPr>
          <w:rFonts w:ascii="宋体" w:hAnsi="宋体"/>
          <w:b/>
          <w:color w:val="auto"/>
          <w:szCs w:val="21"/>
          <w:highlight w:val="none"/>
        </w:rPr>
      </w:pPr>
      <w:r>
        <w:rPr>
          <w:rFonts w:hint="eastAsia" w:ascii="宋体" w:hAnsi="宋体"/>
          <w:color w:val="auto"/>
          <w:szCs w:val="21"/>
          <w:highlight w:val="none"/>
        </w:rPr>
        <w:t>说明</w:t>
      </w:r>
      <w:r>
        <w:rPr>
          <w:rFonts w:hint="eastAsia" w:ascii="宋体" w:hAnsi="宋体" w:cs="Corbel"/>
          <w:color w:val="auto"/>
          <w:szCs w:val="21"/>
          <w:highlight w:val="none"/>
        </w:rPr>
        <w:t>：1</w:t>
      </w:r>
      <w:r>
        <w:rPr>
          <w:rFonts w:hint="eastAsia" w:ascii="宋体" w:hAnsi="宋体"/>
          <w:color w:val="auto"/>
          <w:szCs w:val="21"/>
          <w:highlight w:val="none"/>
        </w:rPr>
        <w:t>．</w:t>
      </w:r>
      <w:r>
        <w:rPr>
          <w:rFonts w:hint="eastAsia" w:ascii="宋体" w:hAnsi="宋体" w:cs="Corbel"/>
          <w:color w:val="auto"/>
          <w:szCs w:val="21"/>
          <w:highlight w:val="none"/>
        </w:rPr>
        <w:t>投标人应按招标文件第四章中“资格审查表”逐项说明是否满足要求，如有偏离,投标人应详细说明。</w:t>
      </w:r>
    </w:p>
    <w:p w14:paraId="5D76EA72">
      <w:pPr>
        <w:spacing w:line="276" w:lineRule="auto"/>
        <w:ind w:left="216"/>
        <w:jc w:val="left"/>
        <w:rPr>
          <w:rFonts w:ascii="宋体" w:hAnsi="宋体"/>
          <w:color w:val="auto"/>
          <w:szCs w:val="21"/>
          <w:highlight w:val="none"/>
        </w:rPr>
      </w:pPr>
      <w:r>
        <w:rPr>
          <w:rFonts w:hint="eastAsia" w:ascii="宋体" w:hAnsi="宋体"/>
          <w:color w:val="auto"/>
          <w:szCs w:val="21"/>
          <w:highlight w:val="none"/>
        </w:rPr>
        <w:t>2.相关证明材料对应的页码填写到上表“对应页码”中。</w:t>
      </w:r>
    </w:p>
    <w:p w14:paraId="0C3C9617">
      <w:pPr>
        <w:spacing w:line="276" w:lineRule="auto"/>
        <w:ind w:left="216"/>
        <w:jc w:val="left"/>
        <w:rPr>
          <w:rFonts w:ascii="宋体" w:hAnsi="宋体"/>
          <w:color w:val="auto"/>
          <w:szCs w:val="21"/>
          <w:highlight w:val="none"/>
        </w:rPr>
      </w:pPr>
      <w:r>
        <w:rPr>
          <w:rFonts w:hint="eastAsia" w:ascii="宋体" w:hAnsi="宋体"/>
          <w:color w:val="auto"/>
          <w:szCs w:val="21"/>
          <w:highlight w:val="none"/>
        </w:rPr>
        <w:t>3.</w:t>
      </w:r>
      <w:r>
        <w:rPr>
          <w:rFonts w:hint="eastAsia"/>
          <w:color w:val="auto"/>
          <w:highlight w:val="none"/>
        </w:rPr>
        <w:t>未按照要求详细完整填写此表的后果由投标人自行承担</w:t>
      </w:r>
      <w:r>
        <w:rPr>
          <w:rFonts w:hint="eastAsia" w:ascii="宋体" w:hAnsi="宋体"/>
          <w:color w:val="auto"/>
          <w:szCs w:val="21"/>
          <w:highlight w:val="none"/>
        </w:rPr>
        <w:t>。</w:t>
      </w:r>
    </w:p>
    <w:p w14:paraId="4BDB5339">
      <w:pPr>
        <w:spacing w:before="100" w:beforeAutospacing="1" w:after="100" w:afterAutospacing="1" w:line="276" w:lineRule="auto"/>
        <w:ind w:firstLine="3334" w:firstLineChars="1588"/>
        <w:rPr>
          <w:rFonts w:ascii="宋体" w:hAnsi="宋体"/>
          <w:b/>
          <w:bCs/>
          <w:color w:val="auto"/>
          <w:szCs w:val="21"/>
          <w:highlight w:val="none"/>
          <w:lang w:val="zh-CN"/>
        </w:rPr>
      </w:pPr>
    </w:p>
    <w:p w14:paraId="06A9A723">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1E6EFE30">
      <w:pPr>
        <w:spacing w:line="276" w:lineRule="auto"/>
        <w:ind w:firstLine="2940" w:firstLineChars="1400"/>
        <w:rPr>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1B6EBF29">
      <w:pPr>
        <w:widowControl/>
        <w:jc w:val="left"/>
        <w:rPr>
          <w:color w:val="auto"/>
          <w:kern w:val="0"/>
          <w:szCs w:val="21"/>
          <w:highlight w:val="none"/>
        </w:rPr>
      </w:pPr>
      <w:r>
        <w:rPr>
          <w:color w:val="auto"/>
          <w:kern w:val="0"/>
          <w:szCs w:val="21"/>
          <w:highlight w:val="none"/>
        </w:rPr>
        <w:br w:type="page"/>
      </w:r>
    </w:p>
    <w:p w14:paraId="478D6F22">
      <w:pPr>
        <w:spacing w:line="276" w:lineRule="auto"/>
        <w:jc w:val="center"/>
        <w:rPr>
          <w:b/>
          <w:color w:val="auto"/>
          <w:szCs w:val="21"/>
          <w:highlight w:val="none"/>
        </w:rPr>
      </w:pPr>
      <w:r>
        <w:rPr>
          <w:rFonts w:hint="eastAsia"/>
          <w:b/>
          <w:color w:val="auto"/>
          <w:szCs w:val="21"/>
          <w:highlight w:val="none"/>
        </w:rPr>
        <w:t>符合性审查对照表</w:t>
      </w:r>
    </w:p>
    <w:p w14:paraId="1D81BE25">
      <w:pP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1D3FF39E">
      <w:pP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r>
        <w:rPr>
          <w:rFonts w:ascii="宋体" w:hAnsi="宋体"/>
          <w:bCs/>
          <w:color w:val="auto"/>
          <w:szCs w:val="21"/>
          <w:highlight w:val="none"/>
          <w:u w:val="single"/>
          <w:lang w:val="zh-CN"/>
        </w:rPr>
        <w:t xml:space="preserve">        </w:t>
      </w:r>
    </w:p>
    <w:tbl>
      <w:tblPr>
        <w:tblStyle w:val="21"/>
        <w:tblW w:w="89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3190"/>
        <w:gridCol w:w="1984"/>
      </w:tblGrid>
      <w:tr w14:paraId="2EFF9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54BBA49F">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1BABE69C">
            <w:pPr>
              <w:spacing w:line="276" w:lineRule="auto"/>
              <w:jc w:val="center"/>
              <w:rPr>
                <w:rFonts w:ascii="宋体" w:hAnsi="宋体" w:cs="仿宋_GB2312"/>
                <w:color w:val="auto"/>
                <w:szCs w:val="21"/>
                <w:highlight w:val="none"/>
              </w:rPr>
            </w:pPr>
            <w:r>
              <w:rPr>
                <w:rFonts w:hint="eastAsia" w:ascii="宋体" w:hAnsi="宋体" w:cs="Corbel"/>
                <w:color w:val="auto"/>
                <w:szCs w:val="21"/>
                <w:highlight w:val="none"/>
              </w:rPr>
              <w:t>符合性审查条款</w:t>
            </w:r>
          </w:p>
        </w:tc>
        <w:tc>
          <w:tcPr>
            <w:tcW w:w="3190" w:type="dxa"/>
            <w:tcBorders>
              <w:top w:val="single" w:color="auto" w:sz="4" w:space="0"/>
              <w:left w:val="single" w:color="auto" w:sz="4" w:space="0"/>
              <w:bottom w:val="single" w:color="auto" w:sz="4" w:space="0"/>
              <w:right w:val="single" w:color="auto" w:sz="4" w:space="0"/>
            </w:tcBorders>
            <w:shd w:val="clear" w:color="auto" w:fill="F1F1F1"/>
            <w:vAlign w:val="center"/>
          </w:tcPr>
          <w:p w14:paraId="26EF555A">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响应情况</w:t>
            </w:r>
          </w:p>
        </w:tc>
        <w:tc>
          <w:tcPr>
            <w:tcW w:w="1984" w:type="dxa"/>
            <w:tcBorders>
              <w:top w:val="single" w:color="auto" w:sz="4" w:space="0"/>
              <w:left w:val="single" w:color="auto" w:sz="4" w:space="0"/>
              <w:bottom w:val="single" w:color="auto" w:sz="4" w:space="0"/>
              <w:right w:val="single" w:color="auto" w:sz="4" w:space="0"/>
            </w:tcBorders>
            <w:shd w:val="clear" w:color="auto" w:fill="F1F1F1"/>
            <w:vAlign w:val="center"/>
          </w:tcPr>
          <w:p w14:paraId="3F3079A6">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偏离说明</w:t>
            </w:r>
          </w:p>
        </w:tc>
      </w:tr>
      <w:tr w14:paraId="75D13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6C650C4F">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1</w:t>
            </w:r>
          </w:p>
        </w:tc>
        <w:tc>
          <w:tcPr>
            <w:tcW w:w="3032" w:type="dxa"/>
            <w:tcBorders>
              <w:top w:val="single" w:color="auto" w:sz="4" w:space="0"/>
              <w:left w:val="single" w:color="auto" w:sz="4" w:space="0"/>
              <w:bottom w:val="single" w:color="auto" w:sz="4" w:space="0"/>
              <w:right w:val="single" w:color="auto" w:sz="4" w:space="0"/>
            </w:tcBorders>
            <w:vAlign w:val="center"/>
          </w:tcPr>
          <w:p w14:paraId="1A05E920">
            <w:pPr>
              <w:spacing w:line="276" w:lineRule="auto"/>
              <w:jc w:val="center"/>
              <w:rPr>
                <w:rFonts w:ascii="宋体" w:hAnsi="宋体" w:cs="仿宋_GB2312"/>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7C37E655">
            <w:pPr>
              <w:spacing w:line="276" w:lineRule="auto"/>
              <w:jc w:val="center"/>
              <w:rPr>
                <w:rFonts w:ascii="宋体" w:hAnsi="宋体" w:cs="仿宋_GB2312"/>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2C697B80">
            <w:pPr>
              <w:spacing w:line="276" w:lineRule="auto"/>
              <w:jc w:val="center"/>
              <w:rPr>
                <w:rFonts w:ascii="宋体" w:hAnsi="宋体" w:cs="仿宋_GB2312"/>
                <w:color w:val="auto"/>
                <w:szCs w:val="21"/>
                <w:highlight w:val="none"/>
              </w:rPr>
            </w:pPr>
          </w:p>
        </w:tc>
      </w:tr>
      <w:tr w14:paraId="7C2C5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2D608EA6">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2</w:t>
            </w:r>
          </w:p>
        </w:tc>
        <w:tc>
          <w:tcPr>
            <w:tcW w:w="3032" w:type="dxa"/>
            <w:tcBorders>
              <w:top w:val="single" w:color="auto" w:sz="4" w:space="0"/>
              <w:left w:val="single" w:color="auto" w:sz="4" w:space="0"/>
              <w:bottom w:val="single" w:color="auto" w:sz="4" w:space="0"/>
              <w:right w:val="single" w:color="auto" w:sz="4" w:space="0"/>
            </w:tcBorders>
            <w:vAlign w:val="center"/>
          </w:tcPr>
          <w:p w14:paraId="0D9B4961">
            <w:pPr>
              <w:spacing w:line="276" w:lineRule="auto"/>
              <w:jc w:val="center"/>
              <w:rPr>
                <w:rFonts w:ascii="宋体" w:hAnsi="宋体" w:cs="仿宋_GB2312"/>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0A36B71D">
            <w:pPr>
              <w:spacing w:line="276" w:lineRule="auto"/>
              <w:jc w:val="center"/>
              <w:rPr>
                <w:rFonts w:ascii="宋体" w:hAnsi="宋体" w:cs="仿宋_GB2312"/>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38764711">
            <w:pPr>
              <w:spacing w:line="276" w:lineRule="auto"/>
              <w:jc w:val="center"/>
              <w:rPr>
                <w:rFonts w:ascii="宋体" w:hAnsi="宋体" w:cs="仿宋_GB2312"/>
                <w:color w:val="auto"/>
                <w:szCs w:val="21"/>
                <w:highlight w:val="none"/>
              </w:rPr>
            </w:pPr>
          </w:p>
        </w:tc>
      </w:tr>
      <w:tr w14:paraId="0CFEB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84FAE05">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3</w:t>
            </w:r>
          </w:p>
        </w:tc>
        <w:tc>
          <w:tcPr>
            <w:tcW w:w="3032" w:type="dxa"/>
            <w:tcBorders>
              <w:top w:val="single" w:color="auto" w:sz="4" w:space="0"/>
              <w:left w:val="single" w:color="auto" w:sz="4" w:space="0"/>
              <w:bottom w:val="single" w:color="auto" w:sz="4" w:space="0"/>
              <w:right w:val="single" w:color="auto" w:sz="4" w:space="0"/>
            </w:tcBorders>
            <w:vAlign w:val="center"/>
          </w:tcPr>
          <w:p w14:paraId="3C98E9C4">
            <w:pPr>
              <w:spacing w:line="276" w:lineRule="auto"/>
              <w:jc w:val="center"/>
              <w:rPr>
                <w:rFonts w:ascii="宋体" w:hAnsi="宋体" w:cs="仿宋_GB2312"/>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39B79CBE">
            <w:pPr>
              <w:spacing w:line="276" w:lineRule="auto"/>
              <w:jc w:val="center"/>
              <w:rPr>
                <w:rFonts w:ascii="宋体" w:hAnsi="宋体" w:cs="仿宋_GB2312"/>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6E75C105">
            <w:pPr>
              <w:spacing w:line="276" w:lineRule="auto"/>
              <w:jc w:val="center"/>
              <w:rPr>
                <w:rFonts w:ascii="宋体" w:hAnsi="宋体" w:cs="仿宋_GB2312"/>
                <w:color w:val="auto"/>
                <w:szCs w:val="21"/>
                <w:highlight w:val="none"/>
              </w:rPr>
            </w:pPr>
          </w:p>
        </w:tc>
      </w:tr>
      <w:tr w14:paraId="2D85A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5A8E853A">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4</w:t>
            </w:r>
          </w:p>
        </w:tc>
        <w:tc>
          <w:tcPr>
            <w:tcW w:w="3032" w:type="dxa"/>
            <w:tcBorders>
              <w:top w:val="single" w:color="auto" w:sz="4" w:space="0"/>
              <w:left w:val="single" w:color="auto" w:sz="4" w:space="0"/>
              <w:bottom w:val="single" w:color="auto" w:sz="4" w:space="0"/>
              <w:right w:val="single" w:color="auto" w:sz="4" w:space="0"/>
            </w:tcBorders>
            <w:vAlign w:val="center"/>
          </w:tcPr>
          <w:p w14:paraId="39EC4D4E">
            <w:pPr>
              <w:spacing w:line="276" w:lineRule="auto"/>
              <w:jc w:val="center"/>
              <w:rPr>
                <w:rFonts w:ascii="宋体" w:hAnsi="宋体" w:cs="仿宋_GB2312"/>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2D67ACA5">
            <w:pPr>
              <w:spacing w:line="276" w:lineRule="auto"/>
              <w:jc w:val="center"/>
              <w:rPr>
                <w:rFonts w:ascii="宋体" w:hAnsi="宋体" w:cs="仿宋_GB2312"/>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13391B55">
            <w:pPr>
              <w:spacing w:line="276" w:lineRule="auto"/>
              <w:jc w:val="center"/>
              <w:rPr>
                <w:rFonts w:ascii="宋体" w:hAnsi="宋体" w:cs="仿宋_GB2312"/>
                <w:color w:val="auto"/>
                <w:szCs w:val="21"/>
                <w:highlight w:val="none"/>
              </w:rPr>
            </w:pPr>
          </w:p>
        </w:tc>
      </w:tr>
      <w:tr w14:paraId="71E95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29AC4DF5">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5</w:t>
            </w:r>
          </w:p>
        </w:tc>
        <w:tc>
          <w:tcPr>
            <w:tcW w:w="3032" w:type="dxa"/>
            <w:tcBorders>
              <w:top w:val="single" w:color="auto" w:sz="4" w:space="0"/>
              <w:left w:val="single" w:color="auto" w:sz="4" w:space="0"/>
              <w:bottom w:val="single" w:color="auto" w:sz="4" w:space="0"/>
              <w:right w:val="single" w:color="auto" w:sz="4" w:space="0"/>
            </w:tcBorders>
            <w:vAlign w:val="center"/>
          </w:tcPr>
          <w:p w14:paraId="6AA5DD71">
            <w:pPr>
              <w:spacing w:line="276" w:lineRule="auto"/>
              <w:jc w:val="center"/>
              <w:rPr>
                <w:rFonts w:ascii="宋体" w:hAnsi="宋体" w:cs="仿宋_GB2312"/>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16AA369E">
            <w:pPr>
              <w:spacing w:line="276" w:lineRule="auto"/>
              <w:jc w:val="center"/>
              <w:rPr>
                <w:rFonts w:ascii="宋体" w:hAnsi="宋体" w:cs="仿宋_GB2312"/>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3E39A949">
            <w:pPr>
              <w:spacing w:line="276" w:lineRule="auto"/>
              <w:jc w:val="center"/>
              <w:rPr>
                <w:rFonts w:ascii="宋体" w:hAnsi="宋体" w:cs="仿宋_GB2312"/>
                <w:color w:val="auto"/>
                <w:szCs w:val="21"/>
                <w:highlight w:val="none"/>
              </w:rPr>
            </w:pPr>
          </w:p>
        </w:tc>
      </w:tr>
      <w:tr w14:paraId="1C583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540EB181">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6</w:t>
            </w:r>
          </w:p>
        </w:tc>
        <w:tc>
          <w:tcPr>
            <w:tcW w:w="3032" w:type="dxa"/>
            <w:tcBorders>
              <w:top w:val="single" w:color="auto" w:sz="4" w:space="0"/>
              <w:left w:val="single" w:color="auto" w:sz="4" w:space="0"/>
              <w:bottom w:val="single" w:color="auto" w:sz="4" w:space="0"/>
              <w:right w:val="single" w:color="auto" w:sz="4" w:space="0"/>
            </w:tcBorders>
            <w:vAlign w:val="center"/>
          </w:tcPr>
          <w:p w14:paraId="733E22A9">
            <w:pPr>
              <w:spacing w:line="276" w:lineRule="auto"/>
              <w:jc w:val="center"/>
              <w:rPr>
                <w:rFonts w:ascii="宋体" w:hAnsi="宋体" w:cs="仿宋_GB2312"/>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27CC656E">
            <w:pPr>
              <w:spacing w:line="276" w:lineRule="auto"/>
              <w:jc w:val="center"/>
              <w:rPr>
                <w:rFonts w:ascii="宋体" w:hAnsi="宋体" w:cs="仿宋_GB2312"/>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4A678A64">
            <w:pPr>
              <w:spacing w:line="276" w:lineRule="auto"/>
              <w:jc w:val="center"/>
              <w:rPr>
                <w:rFonts w:ascii="宋体" w:hAnsi="宋体" w:cs="仿宋_GB2312"/>
                <w:color w:val="auto"/>
                <w:szCs w:val="21"/>
                <w:highlight w:val="none"/>
              </w:rPr>
            </w:pPr>
          </w:p>
        </w:tc>
      </w:tr>
      <w:tr w14:paraId="236B4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2669C40">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w:t>
            </w:r>
          </w:p>
        </w:tc>
        <w:tc>
          <w:tcPr>
            <w:tcW w:w="3032" w:type="dxa"/>
            <w:tcBorders>
              <w:top w:val="single" w:color="auto" w:sz="4" w:space="0"/>
              <w:left w:val="single" w:color="auto" w:sz="4" w:space="0"/>
              <w:bottom w:val="single" w:color="auto" w:sz="4" w:space="0"/>
              <w:right w:val="single" w:color="auto" w:sz="4" w:space="0"/>
            </w:tcBorders>
            <w:vAlign w:val="center"/>
          </w:tcPr>
          <w:p w14:paraId="318A02A5">
            <w:pPr>
              <w:spacing w:line="276" w:lineRule="auto"/>
              <w:jc w:val="center"/>
              <w:rPr>
                <w:rFonts w:ascii="宋体" w:hAnsi="宋体" w:cs="仿宋_GB2312"/>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1A00EBA5">
            <w:pPr>
              <w:spacing w:line="276" w:lineRule="auto"/>
              <w:jc w:val="center"/>
              <w:rPr>
                <w:rFonts w:ascii="宋体" w:hAnsi="宋体" w:cs="仿宋_GB2312"/>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50B155BB">
            <w:pPr>
              <w:spacing w:line="276" w:lineRule="auto"/>
              <w:jc w:val="center"/>
              <w:rPr>
                <w:rFonts w:ascii="宋体" w:hAnsi="宋体" w:cs="仿宋_GB2312"/>
                <w:color w:val="auto"/>
                <w:szCs w:val="21"/>
                <w:highlight w:val="none"/>
              </w:rPr>
            </w:pPr>
          </w:p>
        </w:tc>
      </w:tr>
    </w:tbl>
    <w:p w14:paraId="18739A0D">
      <w:pPr>
        <w:spacing w:line="276" w:lineRule="auto"/>
        <w:ind w:left="952" w:leftChars="135" w:hanging="669" w:hangingChars="319"/>
        <w:jc w:val="left"/>
        <w:rPr>
          <w:rFonts w:ascii="宋体" w:hAnsi="宋体"/>
          <w:color w:val="auto"/>
          <w:szCs w:val="21"/>
          <w:highlight w:val="none"/>
        </w:rPr>
      </w:pPr>
      <w:r>
        <w:rPr>
          <w:rFonts w:hint="eastAsia" w:ascii="宋体" w:hAnsi="宋体"/>
          <w:color w:val="auto"/>
          <w:szCs w:val="21"/>
          <w:highlight w:val="none"/>
        </w:rPr>
        <w:t>说明</w:t>
      </w:r>
      <w:r>
        <w:rPr>
          <w:rFonts w:hint="eastAsia" w:ascii="宋体" w:hAnsi="宋体" w:cs="Corbel"/>
          <w:color w:val="auto"/>
          <w:szCs w:val="21"/>
          <w:highlight w:val="none"/>
        </w:rPr>
        <w:t>：投标人应按招标文件第五章中“符合性审查表”逐项说明是否满足要求，如有偏离,投标人应详细说明。未按照要求详细完整填写此表</w:t>
      </w:r>
      <w:r>
        <w:rPr>
          <w:rFonts w:hint="eastAsia" w:ascii="宋体" w:hAnsi="宋体"/>
          <w:color w:val="auto"/>
          <w:szCs w:val="21"/>
          <w:highlight w:val="none"/>
        </w:rPr>
        <w:t>的后果由投标人自行承担。</w:t>
      </w:r>
    </w:p>
    <w:p w14:paraId="30528152">
      <w:pPr>
        <w:spacing w:line="276" w:lineRule="auto"/>
        <w:ind w:left="1017" w:leftChars="339" w:hanging="306" w:hangingChars="146"/>
        <w:jc w:val="left"/>
        <w:rPr>
          <w:rFonts w:ascii="宋体" w:hAnsi="宋体"/>
          <w:b/>
          <w:color w:val="auto"/>
          <w:szCs w:val="21"/>
          <w:highlight w:val="none"/>
        </w:rPr>
      </w:pPr>
    </w:p>
    <w:p w14:paraId="2E13480E">
      <w:pPr>
        <w:spacing w:line="276" w:lineRule="auto"/>
        <w:ind w:left="959" w:hanging="955" w:hangingChars="455"/>
        <w:jc w:val="left"/>
        <w:rPr>
          <w:rFonts w:ascii="宋体" w:hAnsi="宋体"/>
          <w:b/>
          <w:color w:val="auto"/>
          <w:szCs w:val="21"/>
          <w:highlight w:val="none"/>
        </w:rPr>
      </w:pPr>
    </w:p>
    <w:p w14:paraId="4386B746">
      <w:pPr>
        <w:spacing w:before="100" w:beforeAutospacing="1" w:after="100" w:afterAutospacing="1" w:line="276" w:lineRule="auto"/>
        <w:ind w:firstLine="3334" w:firstLineChars="1588"/>
        <w:rPr>
          <w:rFonts w:ascii="宋体" w:hAnsi="宋体"/>
          <w:b/>
          <w:bCs/>
          <w:color w:val="auto"/>
          <w:szCs w:val="21"/>
          <w:highlight w:val="none"/>
          <w:lang w:val="zh-CN"/>
        </w:rPr>
      </w:pPr>
    </w:p>
    <w:p w14:paraId="425F75EF">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1F701B1C">
      <w:pPr>
        <w:spacing w:line="276" w:lineRule="auto"/>
        <w:ind w:firstLine="2940" w:firstLineChars="1400"/>
        <w:rPr>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21BB031D">
      <w:pPr>
        <w:ind w:firstLine="420"/>
        <w:rPr>
          <w:color w:val="auto"/>
          <w:kern w:val="0"/>
          <w:szCs w:val="21"/>
          <w:highlight w:val="none"/>
        </w:rPr>
      </w:pPr>
      <w:r>
        <w:rPr>
          <w:color w:val="auto"/>
          <w:kern w:val="0"/>
          <w:szCs w:val="21"/>
          <w:highlight w:val="none"/>
        </w:rPr>
        <w:br w:type="page"/>
      </w:r>
    </w:p>
    <w:p w14:paraId="1D13820B">
      <w:pPr>
        <w:spacing w:line="276" w:lineRule="auto"/>
        <w:jc w:val="center"/>
        <w:rPr>
          <w:b/>
          <w:color w:val="auto"/>
          <w:szCs w:val="21"/>
          <w:highlight w:val="none"/>
        </w:rPr>
      </w:pPr>
      <w:r>
        <w:rPr>
          <w:rFonts w:hint="eastAsia"/>
          <w:b/>
          <w:color w:val="auto"/>
          <w:szCs w:val="21"/>
          <w:highlight w:val="none"/>
        </w:rPr>
        <w:t>技术、服务及商务评议对照表</w:t>
      </w:r>
    </w:p>
    <w:p w14:paraId="34FE4672">
      <w:pP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3336B182">
      <w:pP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r>
        <w:rPr>
          <w:rFonts w:ascii="宋体" w:hAnsi="宋体"/>
          <w:bCs/>
          <w:color w:val="auto"/>
          <w:szCs w:val="21"/>
          <w:highlight w:val="none"/>
          <w:u w:val="single"/>
          <w:lang w:val="zh-CN"/>
        </w:rPr>
        <w:t xml:space="preserve">             </w:t>
      </w:r>
    </w:p>
    <w:tbl>
      <w:tblPr>
        <w:tblStyle w:val="21"/>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2767"/>
        <w:gridCol w:w="3182"/>
        <w:gridCol w:w="1698"/>
        <w:gridCol w:w="1279"/>
      </w:tblGrid>
      <w:tr w14:paraId="4DD62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2" w:type="dxa"/>
            <w:tcBorders>
              <w:top w:val="single" w:color="auto" w:sz="4" w:space="0"/>
              <w:left w:val="single" w:color="auto" w:sz="4" w:space="0"/>
              <w:bottom w:val="single" w:color="auto" w:sz="4" w:space="0"/>
              <w:right w:val="single" w:color="auto" w:sz="4" w:space="0"/>
            </w:tcBorders>
            <w:shd w:val="clear" w:color="auto" w:fill="F1F1F1"/>
            <w:vAlign w:val="center"/>
          </w:tcPr>
          <w:p w14:paraId="31123DAB">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序号</w:t>
            </w:r>
          </w:p>
        </w:tc>
        <w:tc>
          <w:tcPr>
            <w:tcW w:w="2767" w:type="dxa"/>
            <w:tcBorders>
              <w:top w:val="single" w:color="auto" w:sz="4" w:space="0"/>
              <w:left w:val="single" w:color="auto" w:sz="4" w:space="0"/>
              <w:bottom w:val="single" w:color="auto" w:sz="4" w:space="0"/>
              <w:right w:val="single" w:color="auto" w:sz="4" w:space="0"/>
            </w:tcBorders>
            <w:shd w:val="clear" w:color="auto" w:fill="F1F1F1"/>
            <w:vAlign w:val="center"/>
          </w:tcPr>
          <w:p w14:paraId="70AAA106">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评分条款序号及内容</w:t>
            </w:r>
          </w:p>
        </w:tc>
        <w:tc>
          <w:tcPr>
            <w:tcW w:w="3182" w:type="dxa"/>
            <w:tcBorders>
              <w:top w:val="single" w:color="auto" w:sz="4" w:space="0"/>
              <w:left w:val="single" w:color="auto" w:sz="4" w:space="0"/>
              <w:bottom w:val="single" w:color="auto" w:sz="4" w:space="0"/>
              <w:right w:val="single" w:color="auto" w:sz="4" w:space="0"/>
            </w:tcBorders>
            <w:shd w:val="clear" w:color="auto" w:fill="F1F1F1"/>
            <w:vAlign w:val="center"/>
          </w:tcPr>
          <w:p w14:paraId="2D873371">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响应内容对应简述</w:t>
            </w:r>
          </w:p>
        </w:tc>
        <w:tc>
          <w:tcPr>
            <w:tcW w:w="1698" w:type="dxa"/>
            <w:tcBorders>
              <w:top w:val="single" w:color="auto" w:sz="4" w:space="0"/>
              <w:left w:val="single" w:color="auto" w:sz="4" w:space="0"/>
              <w:bottom w:val="single" w:color="auto" w:sz="4" w:space="0"/>
              <w:right w:val="single" w:color="auto" w:sz="4" w:space="0"/>
            </w:tcBorders>
            <w:shd w:val="clear" w:color="auto" w:fill="F1F1F1"/>
            <w:vAlign w:val="center"/>
          </w:tcPr>
          <w:p w14:paraId="4B31E7B4">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偏离说明</w:t>
            </w:r>
          </w:p>
        </w:tc>
        <w:tc>
          <w:tcPr>
            <w:tcW w:w="1279" w:type="dxa"/>
            <w:tcBorders>
              <w:top w:val="single" w:color="auto" w:sz="4" w:space="0"/>
              <w:left w:val="single" w:color="auto" w:sz="4" w:space="0"/>
              <w:bottom w:val="single" w:color="auto" w:sz="4" w:space="0"/>
              <w:right w:val="single" w:color="auto" w:sz="4" w:space="0"/>
            </w:tcBorders>
            <w:shd w:val="clear" w:color="auto" w:fill="F1F1F1"/>
            <w:vAlign w:val="center"/>
          </w:tcPr>
          <w:p w14:paraId="58840949">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对应</w:t>
            </w:r>
            <w:r>
              <w:rPr>
                <w:rFonts w:ascii="宋体" w:hAnsi="宋体" w:cs="仿宋_GB2312"/>
                <w:color w:val="auto"/>
                <w:szCs w:val="21"/>
                <w:highlight w:val="none"/>
              </w:rPr>
              <w:t>页码</w:t>
            </w:r>
          </w:p>
        </w:tc>
      </w:tr>
      <w:tr w14:paraId="37B2C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71B4CEA6">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1</w:t>
            </w:r>
          </w:p>
        </w:tc>
        <w:tc>
          <w:tcPr>
            <w:tcW w:w="2767" w:type="dxa"/>
            <w:tcBorders>
              <w:top w:val="single" w:color="auto" w:sz="4" w:space="0"/>
              <w:left w:val="single" w:color="auto" w:sz="4" w:space="0"/>
              <w:bottom w:val="single" w:color="auto" w:sz="4" w:space="0"/>
              <w:right w:val="single" w:color="auto" w:sz="4" w:space="0"/>
            </w:tcBorders>
            <w:vAlign w:val="center"/>
          </w:tcPr>
          <w:p w14:paraId="6AB54698">
            <w:pPr>
              <w:spacing w:line="276" w:lineRule="auto"/>
              <w:jc w:val="center"/>
              <w:rPr>
                <w:rFonts w:ascii="宋体" w:hAnsi="宋体" w:cs="仿宋_GB2312"/>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414B93EC">
            <w:pPr>
              <w:spacing w:line="276" w:lineRule="auto"/>
              <w:jc w:val="center"/>
              <w:rPr>
                <w:rFonts w:ascii="宋体" w:hAnsi="宋体" w:cs="仿宋_GB2312"/>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66CFD50C">
            <w:pPr>
              <w:spacing w:line="276" w:lineRule="auto"/>
              <w:jc w:val="center"/>
              <w:rPr>
                <w:rFonts w:ascii="宋体" w:hAnsi="宋体" w:cs="仿宋_GB2312"/>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655E592E">
            <w:pPr>
              <w:spacing w:line="276" w:lineRule="auto"/>
              <w:jc w:val="center"/>
              <w:rPr>
                <w:rFonts w:ascii="宋体" w:hAnsi="宋体" w:cs="仿宋_GB2312"/>
                <w:color w:val="auto"/>
                <w:szCs w:val="21"/>
                <w:highlight w:val="none"/>
              </w:rPr>
            </w:pPr>
          </w:p>
        </w:tc>
      </w:tr>
      <w:tr w14:paraId="54A4A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5F41B9A4">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2</w:t>
            </w:r>
          </w:p>
        </w:tc>
        <w:tc>
          <w:tcPr>
            <w:tcW w:w="2767" w:type="dxa"/>
            <w:tcBorders>
              <w:top w:val="single" w:color="auto" w:sz="4" w:space="0"/>
              <w:left w:val="single" w:color="auto" w:sz="4" w:space="0"/>
              <w:bottom w:val="single" w:color="auto" w:sz="4" w:space="0"/>
              <w:right w:val="single" w:color="auto" w:sz="4" w:space="0"/>
            </w:tcBorders>
            <w:vAlign w:val="center"/>
          </w:tcPr>
          <w:p w14:paraId="16C5FB36">
            <w:pPr>
              <w:spacing w:line="276" w:lineRule="auto"/>
              <w:jc w:val="center"/>
              <w:rPr>
                <w:rFonts w:ascii="宋体" w:hAnsi="宋体" w:cs="仿宋_GB2312"/>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593D576D">
            <w:pPr>
              <w:spacing w:line="276" w:lineRule="auto"/>
              <w:jc w:val="center"/>
              <w:rPr>
                <w:rFonts w:ascii="宋体" w:hAnsi="宋体" w:cs="仿宋_GB2312"/>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318F4AC4">
            <w:pPr>
              <w:spacing w:line="276" w:lineRule="auto"/>
              <w:jc w:val="center"/>
              <w:rPr>
                <w:rFonts w:ascii="宋体" w:hAnsi="宋体" w:cs="仿宋_GB2312"/>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3D6BFBC2">
            <w:pPr>
              <w:spacing w:line="276" w:lineRule="auto"/>
              <w:jc w:val="center"/>
              <w:rPr>
                <w:rFonts w:ascii="宋体" w:hAnsi="宋体" w:cs="仿宋_GB2312"/>
                <w:color w:val="auto"/>
                <w:szCs w:val="21"/>
                <w:highlight w:val="none"/>
              </w:rPr>
            </w:pPr>
          </w:p>
        </w:tc>
      </w:tr>
      <w:tr w14:paraId="4CB6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52B15456">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3</w:t>
            </w:r>
          </w:p>
        </w:tc>
        <w:tc>
          <w:tcPr>
            <w:tcW w:w="2767" w:type="dxa"/>
            <w:tcBorders>
              <w:top w:val="single" w:color="auto" w:sz="4" w:space="0"/>
              <w:left w:val="single" w:color="auto" w:sz="4" w:space="0"/>
              <w:bottom w:val="single" w:color="auto" w:sz="4" w:space="0"/>
              <w:right w:val="single" w:color="auto" w:sz="4" w:space="0"/>
            </w:tcBorders>
            <w:vAlign w:val="center"/>
          </w:tcPr>
          <w:p w14:paraId="7BC3B8AB">
            <w:pPr>
              <w:spacing w:line="276" w:lineRule="auto"/>
              <w:jc w:val="center"/>
              <w:rPr>
                <w:rFonts w:ascii="宋体" w:hAnsi="宋体" w:cs="仿宋_GB2312"/>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5D621D9C">
            <w:pPr>
              <w:spacing w:line="276" w:lineRule="auto"/>
              <w:jc w:val="center"/>
              <w:rPr>
                <w:rFonts w:ascii="宋体" w:hAnsi="宋体" w:cs="仿宋_GB2312"/>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7CF3C094">
            <w:pPr>
              <w:spacing w:line="276" w:lineRule="auto"/>
              <w:jc w:val="center"/>
              <w:rPr>
                <w:rFonts w:ascii="宋体" w:hAnsi="宋体" w:cs="仿宋_GB2312"/>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76893A93">
            <w:pPr>
              <w:spacing w:line="276" w:lineRule="auto"/>
              <w:jc w:val="center"/>
              <w:rPr>
                <w:rFonts w:ascii="宋体" w:hAnsi="宋体" w:cs="仿宋_GB2312"/>
                <w:color w:val="auto"/>
                <w:szCs w:val="21"/>
                <w:highlight w:val="none"/>
              </w:rPr>
            </w:pPr>
          </w:p>
        </w:tc>
      </w:tr>
      <w:tr w14:paraId="3034D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2A868AC4">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4</w:t>
            </w:r>
          </w:p>
        </w:tc>
        <w:tc>
          <w:tcPr>
            <w:tcW w:w="2767" w:type="dxa"/>
            <w:tcBorders>
              <w:top w:val="single" w:color="auto" w:sz="4" w:space="0"/>
              <w:left w:val="single" w:color="auto" w:sz="4" w:space="0"/>
              <w:bottom w:val="single" w:color="auto" w:sz="4" w:space="0"/>
              <w:right w:val="single" w:color="auto" w:sz="4" w:space="0"/>
            </w:tcBorders>
            <w:vAlign w:val="center"/>
          </w:tcPr>
          <w:p w14:paraId="636FCD9D">
            <w:pPr>
              <w:spacing w:line="276" w:lineRule="auto"/>
              <w:jc w:val="center"/>
              <w:rPr>
                <w:rFonts w:ascii="宋体" w:hAnsi="宋体" w:cs="仿宋_GB2312"/>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78976298">
            <w:pPr>
              <w:spacing w:line="276" w:lineRule="auto"/>
              <w:jc w:val="center"/>
              <w:rPr>
                <w:rFonts w:ascii="宋体" w:hAnsi="宋体" w:cs="仿宋_GB2312"/>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30ADE0A6">
            <w:pPr>
              <w:spacing w:line="276" w:lineRule="auto"/>
              <w:jc w:val="center"/>
              <w:rPr>
                <w:rFonts w:ascii="宋体" w:hAnsi="宋体" w:cs="仿宋_GB2312"/>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273793A2">
            <w:pPr>
              <w:spacing w:line="276" w:lineRule="auto"/>
              <w:jc w:val="center"/>
              <w:rPr>
                <w:rFonts w:ascii="宋体" w:hAnsi="宋体" w:cs="仿宋_GB2312"/>
                <w:color w:val="auto"/>
                <w:szCs w:val="21"/>
                <w:highlight w:val="none"/>
              </w:rPr>
            </w:pPr>
          </w:p>
        </w:tc>
      </w:tr>
      <w:tr w14:paraId="79543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0C57D1B0">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5</w:t>
            </w:r>
          </w:p>
        </w:tc>
        <w:tc>
          <w:tcPr>
            <w:tcW w:w="2767" w:type="dxa"/>
            <w:tcBorders>
              <w:top w:val="single" w:color="auto" w:sz="4" w:space="0"/>
              <w:left w:val="single" w:color="auto" w:sz="4" w:space="0"/>
              <w:bottom w:val="single" w:color="auto" w:sz="4" w:space="0"/>
              <w:right w:val="single" w:color="auto" w:sz="4" w:space="0"/>
            </w:tcBorders>
            <w:vAlign w:val="center"/>
          </w:tcPr>
          <w:p w14:paraId="175E73AF">
            <w:pPr>
              <w:spacing w:line="276" w:lineRule="auto"/>
              <w:jc w:val="center"/>
              <w:rPr>
                <w:rFonts w:ascii="宋体" w:hAnsi="宋体" w:cs="仿宋_GB2312"/>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18646865">
            <w:pPr>
              <w:spacing w:line="276" w:lineRule="auto"/>
              <w:jc w:val="center"/>
              <w:rPr>
                <w:rFonts w:ascii="宋体" w:hAnsi="宋体" w:cs="仿宋_GB2312"/>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236E6F0C">
            <w:pPr>
              <w:spacing w:line="276" w:lineRule="auto"/>
              <w:jc w:val="center"/>
              <w:rPr>
                <w:rFonts w:ascii="宋体" w:hAnsi="宋体" w:cs="仿宋_GB2312"/>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473339A9">
            <w:pPr>
              <w:spacing w:line="276" w:lineRule="auto"/>
              <w:jc w:val="center"/>
              <w:rPr>
                <w:rFonts w:ascii="宋体" w:hAnsi="宋体" w:cs="仿宋_GB2312"/>
                <w:color w:val="auto"/>
                <w:szCs w:val="21"/>
                <w:highlight w:val="none"/>
              </w:rPr>
            </w:pPr>
          </w:p>
        </w:tc>
      </w:tr>
      <w:tr w14:paraId="117FC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5D41363B">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6</w:t>
            </w:r>
          </w:p>
        </w:tc>
        <w:tc>
          <w:tcPr>
            <w:tcW w:w="2767" w:type="dxa"/>
            <w:tcBorders>
              <w:top w:val="single" w:color="auto" w:sz="4" w:space="0"/>
              <w:left w:val="single" w:color="auto" w:sz="4" w:space="0"/>
              <w:bottom w:val="single" w:color="auto" w:sz="4" w:space="0"/>
              <w:right w:val="single" w:color="auto" w:sz="4" w:space="0"/>
            </w:tcBorders>
            <w:vAlign w:val="center"/>
          </w:tcPr>
          <w:p w14:paraId="52759D09">
            <w:pPr>
              <w:spacing w:line="276" w:lineRule="auto"/>
              <w:jc w:val="center"/>
              <w:rPr>
                <w:rFonts w:ascii="宋体" w:hAnsi="宋体" w:cs="仿宋_GB2312"/>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1A77A7C4">
            <w:pPr>
              <w:spacing w:line="276" w:lineRule="auto"/>
              <w:jc w:val="center"/>
              <w:rPr>
                <w:rFonts w:ascii="宋体" w:hAnsi="宋体" w:cs="仿宋_GB2312"/>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6D1D5846">
            <w:pPr>
              <w:spacing w:line="276" w:lineRule="auto"/>
              <w:jc w:val="center"/>
              <w:rPr>
                <w:rFonts w:ascii="宋体" w:hAnsi="宋体" w:cs="仿宋_GB2312"/>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25A36C4B">
            <w:pPr>
              <w:spacing w:line="276" w:lineRule="auto"/>
              <w:jc w:val="center"/>
              <w:rPr>
                <w:rFonts w:ascii="宋体" w:hAnsi="宋体" w:cs="仿宋_GB2312"/>
                <w:color w:val="auto"/>
                <w:szCs w:val="21"/>
                <w:highlight w:val="none"/>
              </w:rPr>
            </w:pPr>
          </w:p>
        </w:tc>
      </w:tr>
      <w:tr w14:paraId="1DF48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7EF94C26">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w:t>
            </w:r>
          </w:p>
        </w:tc>
        <w:tc>
          <w:tcPr>
            <w:tcW w:w="2767" w:type="dxa"/>
            <w:tcBorders>
              <w:top w:val="single" w:color="auto" w:sz="4" w:space="0"/>
              <w:left w:val="single" w:color="auto" w:sz="4" w:space="0"/>
              <w:bottom w:val="single" w:color="auto" w:sz="4" w:space="0"/>
              <w:right w:val="single" w:color="auto" w:sz="4" w:space="0"/>
            </w:tcBorders>
            <w:vAlign w:val="center"/>
          </w:tcPr>
          <w:p w14:paraId="1322BCF0">
            <w:pPr>
              <w:spacing w:line="276" w:lineRule="auto"/>
              <w:jc w:val="center"/>
              <w:rPr>
                <w:rFonts w:ascii="宋体" w:hAnsi="宋体" w:cs="仿宋_GB2312"/>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601A413E">
            <w:pPr>
              <w:spacing w:line="276" w:lineRule="auto"/>
              <w:jc w:val="center"/>
              <w:rPr>
                <w:rFonts w:ascii="宋体" w:hAnsi="宋体" w:cs="仿宋_GB2312"/>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13C48379">
            <w:pPr>
              <w:spacing w:line="276" w:lineRule="auto"/>
              <w:jc w:val="center"/>
              <w:rPr>
                <w:rFonts w:ascii="宋体" w:hAnsi="宋体" w:cs="仿宋_GB2312"/>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2D4B2007">
            <w:pPr>
              <w:spacing w:line="276" w:lineRule="auto"/>
              <w:jc w:val="center"/>
              <w:rPr>
                <w:rFonts w:ascii="宋体" w:hAnsi="宋体" w:cs="仿宋_GB2312"/>
                <w:color w:val="auto"/>
                <w:szCs w:val="21"/>
                <w:highlight w:val="none"/>
              </w:rPr>
            </w:pPr>
          </w:p>
        </w:tc>
      </w:tr>
    </w:tbl>
    <w:p w14:paraId="71BF7749">
      <w:pPr>
        <w:spacing w:line="276" w:lineRule="auto"/>
        <w:ind w:left="955" w:hanging="955" w:hangingChars="455"/>
        <w:jc w:val="left"/>
        <w:rPr>
          <w:rFonts w:ascii="宋体" w:hAnsi="宋体"/>
          <w:color w:val="auto"/>
          <w:szCs w:val="21"/>
          <w:highlight w:val="none"/>
        </w:rPr>
      </w:pPr>
      <w:r>
        <w:rPr>
          <w:rFonts w:hint="eastAsia" w:ascii="宋体" w:hAnsi="宋体"/>
          <w:color w:val="auto"/>
          <w:szCs w:val="21"/>
          <w:highlight w:val="none"/>
        </w:rPr>
        <w:t>说明</w:t>
      </w:r>
      <w:r>
        <w:rPr>
          <w:rFonts w:hint="eastAsia" w:ascii="宋体" w:hAnsi="宋体" w:cs="Corbel"/>
          <w:color w:val="auto"/>
          <w:szCs w:val="21"/>
          <w:highlight w:val="none"/>
        </w:rPr>
        <w:t>：1．投标人应按招标文件第五章中“评审因素及评分标准”条款逐项说明是否满足要求，如有偏离,投标人应详细说明。未按照要求填写此表或仅注明“符合”、“满足”的，</w:t>
      </w:r>
      <w:r>
        <w:rPr>
          <w:rFonts w:hint="eastAsia" w:ascii="宋体" w:hAnsi="宋体"/>
          <w:color w:val="auto"/>
          <w:szCs w:val="21"/>
          <w:highlight w:val="none"/>
        </w:rPr>
        <w:t>导致的后果由投标人自行承担。</w:t>
      </w:r>
    </w:p>
    <w:p w14:paraId="05983D1C">
      <w:pPr>
        <w:spacing w:line="276" w:lineRule="auto"/>
        <w:jc w:val="left"/>
        <w:rPr>
          <w:rFonts w:ascii="宋体" w:hAnsi="宋体"/>
          <w:color w:val="auto"/>
          <w:szCs w:val="21"/>
          <w:highlight w:val="none"/>
        </w:rPr>
      </w:pPr>
      <w:r>
        <w:rPr>
          <w:rFonts w:hint="eastAsia" w:ascii="宋体" w:hAnsi="宋体"/>
          <w:color w:val="auto"/>
          <w:szCs w:val="21"/>
          <w:highlight w:val="none"/>
        </w:rPr>
        <w:t xml:space="preserve">      2. 相关证明材料对应的页码填写到上表“对应页码”中。</w:t>
      </w:r>
    </w:p>
    <w:p w14:paraId="5DB6252D">
      <w:pPr>
        <w:adjustRightInd w:val="0"/>
        <w:snapToGrid w:val="0"/>
        <w:spacing w:line="276" w:lineRule="auto"/>
        <w:ind w:left="751" w:leftChars="258" w:hanging="210" w:hangingChars="100"/>
        <w:rPr>
          <w:rFonts w:ascii="宋体" w:hAnsi="宋体" w:cs="Corbel"/>
          <w:color w:val="auto"/>
          <w:szCs w:val="21"/>
          <w:highlight w:val="none"/>
        </w:rPr>
      </w:pPr>
    </w:p>
    <w:p w14:paraId="29955A6E">
      <w:pPr>
        <w:adjustRightInd w:val="0"/>
        <w:snapToGrid w:val="0"/>
        <w:spacing w:line="276" w:lineRule="auto"/>
        <w:ind w:left="751" w:leftChars="258" w:hanging="210" w:hangingChars="100"/>
        <w:rPr>
          <w:rFonts w:ascii="宋体" w:hAnsi="宋体" w:cs="Corbel"/>
          <w:color w:val="auto"/>
          <w:szCs w:val="21"/>
          <w:highlight w:val="none"/>
        </w:rPr>
      </w:pPr>
    </w:p>
    <w:p w14:paraId="34FD9B96">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5957DC2C">
      <w:pPr>
        <w:spacing w:before="100" w:beforeAutospacing="1" w:after="100" w:afterAutospacing="1" w:line="276" w:lineRule="auto"/>
        <w:ind w:firstLine="2902" w:firstLineChars="1382"/>
        <w:rPr>
          <w:rFonts w:ascii="宋体" w:hAnsi="宋体"/>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日</w:t>
      </w:r>
    </w:p>
    <w:p w14:paraId="4FF84A54">
      <w:pPr>
        <w:rPr>
          <w:rFonts w:ascii="宋体" w:hAnsi="宋体"/>
          <w:color w:val="auto"/>
          <w:szCs w:val="21"/>
          <w:highlight w:val="none"/>
        </w:rPr>
      </w:pPr>
    </w:p>
    <w:p w14:paraId="0FC3EF09">
      <w:pPr>
        <w:widowControl/>
        <w:jc w:val="left"/>
        <w:rPr>
          <w:rFonts w:ascii="宋体" w:hAnsi="宋体" w:cs="Courier New"/>
          <w:color w:val="auto"/>
          <w:szCs w:val="21"/>
          <w:highlight w:val="none"/>
        </w:rPr>
      </w:pPr>
    </w:p>
    <w:p w14:paraId="457C0A85">
      <w:pPr>
        <w:widowControl/>
        <w:jc w:val="left"/>
        <w:rPr>
          <w:rFonts w:ascii="宋体" w:hAnsi="宋体" w:cs="Courier New"/>
          <w:color w:val="auto"/>
          <w:szCs w:val="21"/>
          <w:highlight w:val="none"/>
        </w:rPr>
      </w:pPr>
    </w:p>
    <w:p w14:paraId="67D10A3C">
      <w:pPr>
        <w:widowControl/>
        <w:jc w:val="left"/>
        <w:rPr>
          <w:rFonts w:ascii="宋体" w:hAnsi="宋体" w:cs="Courier New"/>
          <w:color w:val="auto"/>
          <w:szCs w:val="21"/>
          <w:highlight w:val="none"/>
        </w:rPr>
      </w:pPr>
      <w:r>
        <w:rPr>
          <w:rFonts w:ascii="宋体" w:hAnsi="宋体" w:cs="Courier New"/>
          <w:color w:val="auto"/>
          <w:szCs w:val="21"/>
          <w:highlight w:val="none"/>
        </w:rPr>
        <w:br w:type="page"/>
      </w:r>
    </w:p>
    <w:p w14:paraId="1FEB2BBE">
      <w:pPr>
        <w:widowControl/>
        <w:jc w:val="center"/>
        <w:rPr>
          <w:rFonts w:ascii="宋体" w:hAnsi="宋体"/>
          <w:b/>
          <w:color w:val="auto"/>
          <w:szCs w:val="21"/>
          <w:highlight w:val="none"/>
        </w:rPr>
      </w:pPr>
      <w:r>
        <w:rPr>
          <w:rFonts w:hint="eastAsia" w:ascii="宋体" w:hAnsi="宋体" w:cs="Courier New"/>
          <w:b/>
          <w:color w:val="auto"/>
          <w:szCs w:val="21"/>
          <w:highlight w:val="none"/>
        </w:rPr>
        <w:t>技术、</w:t>
      </w:r>
      <w:r>
        <w:rPr>
          <w:rFonts w:hint="eastAsia" w:ascii="宋体" w:hAnsi="宋体"/>
          <w:b/>
          <w:color w:val="auto"/>
          <w:szCs w:val="21"/>
          <w:highlight w:val="none"/>
        </w:rPr>
        <w:t>服务及商务要求响应、偏离说明表</w:t>
      </w:r>
    </w:p>
    <w:p w14:paraId="6EE0FBD9">
      <w:pPr>
        <w:widowControl/>
        <w:jc w:val="center"/>
        <w:rPr>
          <w:rFonts w:ascii="宋体" w:hAnsi="宋体"/>
          <w:b/>
          <w:color w:val="auto"/>
          <w:szCs w:val="21"/>
          <w:highlight w:val="none"/>
        </w:rPr>
      </w:pPr>
    </w:p>
    <w:p w14:paraId="020741A8">
      <w:pPr>
        <w:spacing w:line="276" w:lineRule="auto"/>
        <w:ind w:left="420"/>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2209FE87">
      <w:pPr>
        <w:spacing w:line="276" w:lineRule="auto"/>
        <w:ind w:left="420"/>
        <w:jc w:val="left"/>
        <w:rPr>
          <w:rFonts w:hAnsi="宋体"/>
          <w:b/>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r>
        <w:rPr>
          <w:rFonts w:ascii="宋体" w:hAnsi="宋体"/>
          <w:bCs/>
          <w:color w:val="auto"/>
          <w:szCs w:val="21"/>
          <w:highlight w:val="none"/>
          <w:u w:val="single"/>
          <w:lang w:val="zh-CN"/>
        </w:rPr>
        <w:t xml:space="preserve">                </w:t>
      </w:r>
    </w:p>
    <w:tbl>
      <w:tblPr>
        <w:tblStyle w:val="21"/>
        <w:tblW w:w="95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3031"/>
        <w:gridCol w:w="2755"/>
        <w:gridCol w:w="1364"/>
        <w:gridCol w:w="1619"/>
      </w:tblGrid>
      <w:tr w14:paraId="00749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5" w:type="dxa"/>
            <w:tcBorders>
              <w:top w:val="single" w:color="auto" w:sz="4" w:space="0"/>
              <w:left w:val="single" w:color="auto" w:sz="4" w:space="0"/>
              <w:bottom w:val="single" w:color="auto" w:sz="4" w:space="0"/>
              <w:right w:val="single" w:color="auto" w:sz="4" w:space="0"/>
            </w:tcBorders>
            <w:shd w:val="clear" w:color="auto" w:fill="F1F1F1"/>
            <w:vAlign w:val="center"/>
          </w:tcPr>
          <w:p w14:paraId="207DE373">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序号</w:t>
            </w:r>
          </w:p>
        </w:tc>
        <w:tc>
          <w:tcPr>
            <w:tcW w:w="3031" w:type="dxa"/>
            <w:tcBorders>
              <w:top w:val="single" w:color="auto" w:sz="4" w:space="0"/>
              <w:left w:val="single" w:color="auto" w:sz="4" w:space="0"/>
              <w:bottom w:val="single" w:color="auto" w:sz="4" w:space="0"/>
              <w:right w:val="single" w:color="auto" w:sz="4" w:space="0"/>
            </w:tcBorders>
            <w:shd w:val="clear" w:color="auto" w:fill="F1F1F1"/>
            <w:vAlign w:val="center"/>
          </w:tcPr>
          <w:p w14:paraId="6476DC17">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技术、服务及商务要求条款</w:t>
            </w:r>
          </w:p>
        </w:tc>
        <w:tc>
          <w:tcPr>
            <w:tcW w:w="2755" w:type="dxa"/>
            <w:tcBorders>
              <w:top w:val="single" w:color="auto" w:sz="4" w:space="0"/>
              <w:left w:val="single" w:color="auto" w:sz="4" w:space="0"/>
              <w:bottom w:val="single" w:color="auto" w:sz="4" w:space="0"/>
              <w:right w:val="single" w:color="auto" w:sz="4" w:space="0"/>
            </w:tcBorders>
            <w:shd w:val="clear" w:color="auto" w:fill="F1F1F1"/>
            <w:vAlign w:val="center"/>
          </w:tcPr>
          <w:p w14:paraId="7931673A">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响应内容对应简述</w:t>
            </w:r>
          </w:p>
        </w:tc>
        <w:tc>
          <w:tcPr>
            <w:tcW w:w="1364" w:type="dxa"/>
            <w:tcBorders>
              <w:top w:val="single" w:color="auto" w:sz="4" w:space="0"/>
              <w:left w:val="single" w:color="auto" w:sz="4" w:space="0"/>
              <w:bottom w:val="single" w:color="auto" w:sz="4" w:space="0"/>
              <w:right w:val="single" w:color="auto" w:sz="4" w:space="0"/>
            </w:tcBorders>
            <w:shd w:val="clear" w:color="auto" w:fill="F1F1F1"/>
            <w:vAlign w:val="center"/>
          </w:tcPr>
          <w:p w14:paraId="4AE6E088">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偏离说明</w:t>
            </w:r>
          </w:p>
        </w:tc>
        <w:tc>
          <w:tcPr>
            <w:tcW w:w="1619" w:type="dxa"/>
            <w:tcBorders>
              <w:top w:val="single" w:color="auto" w:sz="4" w:space="0"/>
              <w:left w:val="single" w:color="auto" w:sz="4" w:space="0"/>
              <w:bottom w:val="single" w:color="auto" w:sz="4" w:space="0"/>
              <w:right w:val="single" w:color="auto" w:sz="4" w:space="0"/>
            </w:tcBorders>
            <w:shd w:val="clear" w:color="auto" w:fill="F1F1F1"/>
            <w:vAlign w:val="center"/>
          </w:tcPr>
          <w:p w14:paraId="6D2C991B">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对应页码</w:t>
            </w:r>
          </w:p>
        </w:tc>
      </w:tr>
      <w:tr w14:paraId="5A2B7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138BD3CE">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1</w:t>
            </w:r>
          </w:p>
        </w:tc>
        <w:tc>
          <w:tcPr>
            <w:tcW w:w="3031" w:type="dxa"/>
            <w:tcBorders>
              <w:top w:val="single" w:color="auto" w:sz="4" w:space="0"/>
              <w:left w:val="single" w:color="auto" w:sz="4" w:space="0"/>
              <w:bottom w:val="single" w:color="auto" w:sz="4" w:space="0"/>
              <w:right w:val="single" w:color="auto" w:sz="4" w:space="0"/>
            </w:tcBorders>
            <w:vAlign w:val="center"/>
          </w:tcPr>
          <w:p w14:paraId="505BAECB">
            <w:pPr>
              <w:spacing w:line="276" w:lineRule="auto"/>
              <w:jc w:val="center"/>
              <w:rPr>
                <w:rFonts w:ascii="宋体" w:hAnsi="宋体" w:cs="仿宋_GB2312"/>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1C24F428">
            <w:pPr>
              <w:spacing w:line="276" w:lineRule="auto"/>
              <w:jc w:val="center"/>
              <w:rPr>
                <w:rFonts w:ascii="宋体" w:hAnsi="宋体" w:cs="仿宋_GB2312"/>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15FECF4A">
            <w:pPr>
              <w:spacing w:line="276" w:lineRule="auto"/>
              <w:jc w:val="center"/>
              <w:rPr>
                <w:rFonts w:ascii="宋体" w:hAnsi="宋体" w:cs="仿宋_GB2312"/>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05106C81">
            <w:pPr>
              <w:spacing w:line="276" w:lineRule="auto"/>
              <w:jc w:val="center"/>
              <w:rPr>
                <w:rFonts w:ascii="宋体" w:hAnsi="宋体" w:cs="仿宋_GB2312"/>
                <w:color w:val="auto"/>
                <w:szCs w:val="21"/>
                <w:highlight w:val="none"/>
              </w:rPr>
            </w:pPr>
          </w:p>
        </w:tc>
      </w:tr>
      <w:tr w14:paraId="38DCE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250EDDB5">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2</w:t>
            </w:r>
          </w:p>
        </w:tc>
        <w:tc>
          <w:tcPr>
            <w:tcW w:w="3031" w:type="dxa"/>
            <w:tcBorders>
              <w:top w:val="single" w:color="auto" w:sz="4" w:space="0"/>
              <w:left w:val="single" w:color="auto" w:sz="4" w:space="0"/>
              <w:bottom w:val="single" w:color="auto" w:sz="4" w:space="0"/>
              <w:right w:val="single" w:color="auto" w:sz="4" w:space="0"/>
            </w:tcBorders>
            <w:vAlign w:val="center"/>
          </w:tcPr>
          <w:p w14:paraId="7BA7F42B">
            <w:pPr>
              <w:spacing w:line="276" w:lineRule="auto"/>
              <w:jc w:val="center"/>
              <w:rPr>
                <w:rFonts w:ascii="宋体" w:hAnsi="宋体" w:cs="仿宋_GB2312"/>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2EF61EAC">
            <w:pPr>
              <w:spacing w:line="276" w:lineRule="auto"/>
              <w:jc w:val="center"/>
              <w:rPr>
                <w:rFonts w:ascii="宋体" w:hAnsi="宋体" w:cs="仿宋_GB2312"/>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44959ED1">
            <w:pPr>
              <w:spacing w:line="276" w:lineRule="auto"/>
              <w:jc w:val="center"/>
              <w:rPr>
                <w:rFonts w:ascii="宋体" w:hAnsi="宋体" w:cs="仿宋_GB2312"/>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039FEE86">
            <w:pPr>
              <w:spacing w:line="276" w:lineRule="auto"/>
              <w:jc w:val="center"/>
              <w:rPr>
                <w:rFonts w:ascii="宋体" w:hAnsi="宋体" w:cs="仿宋_GB2312"/>
                <w:color w:val="auto"/>
                <w:szCs w:val="21"/>
                <w:highlight w:val="none"/>
              </w:rPr>
            </w:pPr>
          </w:p>
        </w:tc>
      </w:tr>
      <w:tr w14:paraId="048F4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7BB0AE6A">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3</w:t>
            </w:r>
          </w:p>
        </w:tc>
        <w:tc>
          <w:tcPr>
            <w:tcW w:w="3031" w:type="dxa"/>
            <w:tcBorders>
              <w:top w:val="single" w:color="auto" w:sz="4" w:space="0"/>
              <w:left w:val="single" w:color="auto" w:sz="4" w:space="0"/>
              <w:bottom w:val="single" w:color="auto" w:sz="4" w:space="0"/>
              <w:right w:val="single" w:color="auto" w:sz="4" w:space="0"/>
            </w:tcBorders>
            <w:vAlign w:val="center"/>
          </w:tcPr>
          <w:p w14:paraId="374161FE">
            <w:pPr>
              <w:spacing w:line="276" w:lineRule="auto"/>
              <w:jc w:val="center"/>
              <w:rPr>
                <w:rFonts w:ascii="宋体" w:hAnsi="宋体" w:cs="仿宋_GB2312"/>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3CCEA0FA">
            <w:pPr>
              <w:spacing w:line="276" w:lineRule="auto"/>
              <w:jc w:val="center"/>
              <w:rPr>
                <w:rFonts w:ascii="宋体" w:hAnsi="宋体" w:cs="仿宋_GB2312"/>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1DB8D5B8">
            <w:pPr>
              <w:spacing w:line="276" w:lineRule="auto"/>
              <w:jc w:val="center"/>
              <w:rPr>
                <w:rFonts w:ascii="宋体" w:hAnsi="宋体" w:cs="仿宋_GB2312"/>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0A909DB1">
            <w:pPr>
              <w:spacing w:line="276" w:lineRule="auto"/>
              <w:jc w:val="center"/>
              <w:rPr>
                <w:rFonts w:ascii="宋体" w:hAnsi="宋体" w:cs="仿宋_GB2312"/>
                <w:color w:val="auto"/>
                <w:szCs w:val="21"/>
                <w:highlight w:val="none"/>
              </w:rPr>
            </w:pPr>
          </w:p>
        </w:tc>
      </w:tr>
      <w:tr w14:paraId="02E4C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0E91E17A">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4</w:t>
            </w:r>
          </w:p>
        </w:tc>
        <w:tc>
          <w:tcPr>
            <w:tcW w:w="3031" w:type="dxa"/>
            <w:tcBorders>
              <w:top w:val="single" w:color="auto" w:sz="4" w:space="0"/>
              <w:left w:val="single" w:color="auto" w:sz="4" w:space="0"/>
              <w:bottom w:val="single" w:color="auto" w:sz="4" w:space="0"/>
              <w:right w:val="single" w:color="auto" w:sz="4" w:space="0"/>
            </w:tcBorders>
            <w:vAlign w:val="center"/>
          </w:tcPr>
          <w:p w14:paraId="53F09DF6">
            <w:pPr>
              <w:spacing w:line="276" w:lineRule="auto"/>
              <w:jc w:val="center"/>
              <w:rPr>
                <w:rFonts w:ascii="宋体" w:hAnsi="宋体" w:cs="仿宋_GB2312"/>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465E831E">
            <w:pPr>
              <w:spacing w:line="276" w:lineRule="auto"/>
              <w:jc w:val="center"/>
              <w:rPr>
                <w:rFonts w:ascii="宋体" w:hAnsi="宋体" w:cs="仿宋_GB2312"/>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09936985">
            <w:pPr>
              <w:spacing w:line="276" w:lineRule="auto"/>
              <w:jc w:val="center"/>
              <w:rPr>
                <w:rFonts w:ascii="宋体" w:hAnsi="宋体" w:cs="仿宋_GB2312"/>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5DE4B5C7">
            <w:pPr>
              <w:spacing w:line="276" w:lineRule="auto"/>
              <w:jc w:val="center"/>
              <w:rPr>
                <w:rFonts w:ascii="宋体" w:hAnsi="宋体" w:cs="仿宋_GB2312"/>
                <w:color w:val="auto"/>
                <w:szCs w:val="21"/>
                <w:highlight w:val="none"/>
              </w:rPr>
            </w:pPr>
          </w:p>
        </w:tc>
      </w:tr>
      <w:tr w14:paraId="0A62F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2EE2B08D">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5</w:t>
            </w:r>
          </w:p>
        </w:tc>
        <w:tc>
          <w:tcPr>
            <w:tcW w:w="3031" w:type="dxa"/>
            <w:tcBorders>
              <w:top w:val="single" w:color="auto" w:sz="4" w:space="0"/>
              <w:left w:val="single" w:color="auto" w:sz="4" w:space="0"/>
              <w:bottom w:val="single" w:color="auto" w:sz="4" w:space="0"/>
              <w:right w:val="single" w:color="auto" w:sz="4" w:space="0"/>
            </w:tcBorders>
            <w:vAlign w:val="center"/>
          </w:tcPr>
          <w:p w14:paraId="5D0DE632">
            <w:pPr>
              <w:spacing w:line="276" w:lineRule="auto"/>
              <w:jc w:val="center"/>
              <w:rPr>
                <w:rFonts w:ascii="宋体" w:hAnsi="宋体" w:cs="仿宋_GB2312"/>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66464008">
            <w:pPr>
              <w:spacing w:line="276" w:lineRule="auto"/>
              <w:jc w:val="center"/>
              <w:rPr>
                <w:rFonts w:ascii="宋体" w:hAnsi="宋体" w:cs="仿宋_GB2312"/>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49FEC870">
            <w:pPr>
              <w:spacing w:line="276" w:lineRule="auto"/>
              <w:jc w:val="center"/>
              <w:rPr>
                <w:rFonts w:ascii="宋体" w:hAnsi="宋体" w:cs="仿宋_GB2312"/>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36A24C3B">
            <w:pPr>
              <w:spacing w:line="276" w:lineRule="auto"/>
              <w:jc w:val="center"/>
              <w:rPr>
                <w:rFonts w:ascii="宋体" w:hAnsi="宋体" w:cs="仿宋_GB2312"/>
                <w:color w:val="auto"/>
                <w:szCs w:val="21"/>
                <w:highlight w:val="none"/>
              </w:rPr>
            </w:pPr>
          </w:p>
        </w:tc>
      </w:tr>
      <w:tr w14:paraId="3AAC2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530E9D90">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6</w:t>
            </w:r>
          </w:p>
        </w:tc>
        <w:tc>
          <w:tcPr>
            <w:tcW w:w="3031" w:type="dxa"/>
            <w:tcBorders>
              <w:top w:val="single" w:color="auto" w:sz="4" w:space="0"/>
              <w:left w:val="single" w:color="auto" w:sz="4" w:space="0"/>
              <w:bottom w:val="single" w:color="auto" w:sz="4" w:space="0"/>
              <w:right w:val="single" w:color="auto" w:sz="4" w:space="0"/>
            </w:tcBorders>
            <w:vAlign w:val="center"/>
          </w:tcPr>
          <w:p w14:paraId="396E6EBF">
            <w:pPr>
              <w:spacing w:line="276" w:lineRule="auto"/>
              <w:jc w:val="center"/>
              <w:rPr>
                <w:rFonts w:ascii="宋体" w:hAnsi="宋体" w:cs="仿宋_GB2312"/>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2D2D48A7">
            <w:pPr>
              <w:spacing w:line="276" w:lineRule="auto"/>
              <w:jc w:val="center"/>
              <w:rPr>
                <w:rFonts w:ascii="宋体" w:hAnsi="宋体" w:cs="仿宋_GB2312"/>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3E0CE688">
            <w:pPr>
              <w:spacing w:line="276" w:lineRule="auto"/>
              <w:jc w:val="center"/>
              <w:rPr>
                <w:rFonts w:ascii="宋体" w:hAnsi="宋体" w:cs="仿宋_GB2312"/>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1FED5DB0">
            <w:pPr>
              <w:spacing w:line="276" w:lineRule="auto"/>
              <w:jc w:val="center"/>
              <w:rPr>
                <w:rFonts w:ascii="宋体" w:hAnsi="宋体" w:cs="仿宋_GB2312"/>
                <w:color w:val="auto"/>
                <w:szCs w:val="21"/>
                <w:highlight w:val="none"/>
              </w:rPr>
            </w:pPr>
          </w:p>
        </w:tc>
      </w:tr>
      <w:tr w14:paraId="7A452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7495DAA5">
            <w:pPr>
              <w:spacing w:line="276" w:lineRule="auto"/>
              <w:jc w:val="center"/>
              <w:rPr>
                <w:rFonts w:ascii="宋体" w:hAnsi="宋体" w:cs="仿宋_GB2312"/>
                <w:color w:val="auto"/>
                <w:szCs w:val="21"/>
                <w:highlight w:val="none"/>
              </w:rPr>
            </w:pPr>
            <w:r>
              <w:rPr>
                <w:rFonts w:hint="eastAsia" w:ascii="宋体" w:hAnsi="宋体" w:cs="仿宋_GB2312"/>
                <w:color w:val="auto"/>
                <w:szCs w:val="21"/>
                <w:highlight w:val="none"/>
              </w:rPr>
              <w:t>…</w:t>
            </w:r>
          </w:p>
        </w:tc>
        <w:tc>
          <w:tcPr>
            <w:tcW w:w="3031" w:type="dxa"/>
            <w:tcBorders>
              <w:top w:val="single" w:color="auto" w:sz="4" w:space="0"/>
              <w:left w:val="single" w:color="auto" w:sz="4" w:space="0"/>
              <w:bottom w:val="single" w:color="auto" w:sz="4" w:space="0"/>
              <w:right w:val="single" w:color="auto" w:sz="4" w:space="0"/>
            </w:tcBorders>
            <w:vAlign w:val="center"/>
          </w:tcPr>
          <w:p w14:paraId="7664B14F">
            <w:pPr>
              <w:spacing w:line="276" w:lineRule="auto"/>
              <w:jc w:val="center"/>
              <w:rPr>
                <w:rFonts w:ascii="宋体" w:hAnsi="宋体" w:cs="仿宋_GB2312"/>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7E40D972">
            <w:pPr>
              <w:spacing w:line="276" w:lineRule="auto"/>
              <w:jc w:val="center"/>
              <w:rPr>
                <w:rFonts w:ascii="宋体" w:hAnsi="宋体" w:cs="仿宋_GB2312"/>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3EA45285">
            <w:pPr>
              <w:spacing w:line="276" w:lineRule="auto"/>
              <w:jc w:val="center"/>
              <w:rPr>
                <w:rFonts w:ascii="宋体" w:hAnsi="宋体" w:cs="仿宋_GB2312"/>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08C70F92">
            <w:pPr>
              <w:spacing w:line="276" w:lineRule="auto"/>
              <w:jc w:val="center"/>
              <w:rPr>
                <w:rFonts w:ascii="宋体" w:hAnsi="宋体" w:cs="仿宋_GB2312"/>
                <w:color w:val="auto"/>
                <w:szCs w:val="21"/>
                <w:highlight w:val="none"/>
              </w:rPr>
            </w:pPr>
          </w:p>
        </w:tc>
      </w:tr>
    </w:tbl>
    <w:p w14:paraId="0958262A">
      <w:pPr>
        <w:spacing w:line="276" w:lineRule="auto"/>
        <w:ind w:left="1016" w:leftChars="203" w:hanging="590" w:hangingChars="281"/>
        <w:jc w:val="left"/>
        <w:rPr>
          <w:rFonts w:ascii="宋体" w:hAnsi="宋体"/>
          <w:color w:val="auto"/>
          <w:szCs w:val="21"/>
          <w:highlight w:val="none"/>
        </w:rPr>
      </w:pPr>
      <w:r>
        <w:rPr>
          <w:rFonts w:hint="eastAsia" w:ascii="宋体" w:hAnsi="宋体" w:cs="Corbel"/>
          <w:color w:val="auto"/>
          <w:szCs w:val="21"/>
          <w:highlight w:val="none"/>
        </w:rPr>
        <w:t>说明：投标人应对照招标文件第三章项目技术、服务及商务要求中条款逐项说明是否满足，并</w:t>
      </w:r>
      <w:r>
        <w:rPr>
          <w:rFonts w:ascii="宋体" w:hAnsi="宋体" w:cs="Corbel"/>
          <w:color w:val="auto"/>
          <w:szCs w:val="21"/>
          <w:highlight w:val="none"/>
        </w:rPr>
        <w:t>注明证明材料对应页码。</w:t>
      </w:r>
      <w:r>
        <w:rPr>
          <w:rFonts w:hint="eastAsia" w:ascii="宋体" w:hAnsi="宋体" w:cs="Corbel"/>
          <w:color w:val="auto"/>
          <w:szCs w:val="21"/>
          <w:highlight w:val="none"/>
        </w:rPr>
        <w:t>如有偏离应详细说明。特别对有具体参数要求的指标，投标人必须提供相应具体数值，未按照要求填写此表或仅注明“符合”、“满足”的，</w:t>
      </w:r>
      <w:r>
        <w:rPr>
          <w:rFonts w:hint="eastAsia" w:ascii="宋体" w:hAnsi="宋体"/>
          <w:color w:val="auto"/>
          <w:szCs w:val="21"/>
          <w:highlight w:val="none"/>
        </w:rPr>
        <w:t>导致的后果由投标人自行承担。</w:t>
      </w:r>
    </w:p>
    <w:p w14:paraId="08AEBD07">
      <w:pPr>
        <w:spacing w:line="276" w:lineRule="auto"/>
        <w:ind w:left="955" w:hanging="955" w:hangingChars="455"/>
        <w:jc w:val="left"/>
        <w:rPr>
          <w:rFonts w:ascii="宋体" w:hAnsi="宋体"/>
          <w:color w:val="auto"/>
          <w:szCs w:val="21"/>
          <w:highlight w:val="none"/>
        </w:rPr>
      </w:pPr>
    </w:p>
    <w:p w14:paraId="4694D2F8">
      <w:pPr>
        <w:spacing w:before="100" w:beforeAutospacing="1" w:after="100" w:afterAutospacing="1" w:line="276" w:lineRule="auto"/>
        <w:ind w:firstLine="2902" w:firstLineChars="1382"/>
        <w:rPr>
          <w:rFonts w:hAnsi="宋体"/>
          <w:bCs/>
          <w:color w:val="auto"/>
          <w:szCs w:val="21"/>
          <w:highlight w:val="none"/>
        </w:rPr>
      </w:pPr>
    </w:p>
    <w:p w14:paraId="69186646">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2AD04F4D">
      <w:pPr>
        <w:spacing w:before="100" w:beforeAutospacing="1" w:after="100" w:afterAutospacing="1" w:line="276" w:lineRule="auto"/>
        <w:ind w:firstLine="2902" w:firstLineChars="1382"/>
        <w:rPr>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37595EB1">
      <w:pPr>
        <w:widowControl/>
        <w:jc w:val="left"/>
        <w:rPr>
          <w:rFonts w:ascii="宋体" w:hAnsi="宋体" w:cs="Courier New"/>
          <w:color w:val="auto"/>
          <w:szCs w:val="21"/>
          <w:highlight w:val="none"/>
        </w:rPr>
      </w:pPr>
    </w:p>
    <w:p w14:paraId="23C5EF29">
      <w:pPr>
        <w:widowControl/>
        <w:jc w:val="left"/>
        <w:rPr>
          <w:rFonts w:ascii="宋体" w:hAnsi="宋体" w:cs="Courier New"/>
          <w:color w:val="auto"/>
          <w:szCs w:val="21"/>
          <w:highlight w:val="none"/>
        </w:rPr>
      </w:pPr>
      <w:r>
        <w:rPr>
          <w:rFonts w:ascii="宋体" w:hAnsi="宋体" w:cs="Courier New"/>
          <w:color w:val="auto"/>
          <w:szCs w:val="21"/>
          <w:highlight w:val="none"/>
        </w:rPr>
        <w:br w:type="page"/>
      </w:r>
    </w:p>
    <w:p w14:paraId="42EA942D">
      <w:pPr>
        <w:pStyle w:val="30"/>
        <w:numPr>
          <w:ilvl w:val="0"/>
          <w:numId w:val="58"/>
        </w:numPr>
        <w:spacing w:line="276" w:lineRule="auto"/>
        <w:ind w:firstLineChars="0"/>
        <w:outlineLvl w:val="2"/>
        <w:rPr>
          <w:color w:val="auto"/>
          <w:szCs w:val="21"/>
          <w:highlight w:val="none"/>
        </w:rPr>
      </w:pPr>
      <w:r>
        <w:rPr>
          <w:rFonts w:hint="eastAsia"/>
          <w:color w:val="auto"/>
          <w:szCs w:val="21"/>
          <w:highlight w:val="none"/>
        </w:rPr>
        <w:t>投标书</w:t>
      </w:r>
    </w:p>
    <w:p w14:paraId="252E58C2">
      <w:pPr>
        <w:spacing w:line="276" w:lineRule="auto"/>
        <w:jc w:val="center"/>
        <w:rPr>
          <w:rFonts w:ascii="宋体" w:hAnsi="宋体"/>
          <w:b/>
          <w:color w:val="auto"/>
          <w:szCs w:val="21"/>
          <w:highlight w:val="none"/>
        </w:rPr>
      </w:pPr>
      <w:r>
        <w:rPr>
          <w:rFonts w:hint="eastAsia" w:ascii="宋体" w:hAnsi="宋体"/>
          <w:b/>
          <w:color w:val="auto"/>
          <w:szCs w:val="21"/>
          <w:highlight w:val="none"/>
        </w:rPr>
        <w:t>投标书</w:t>
      </w:r>
    </w:p>
    <w:p w14:paraId="24D06E71">
      <w:pPr>
        <w:spacing w:line="276" w:lineRule="auto"/>
        <w:rPr>
          <w:color w:val="auto"/>
          <w:szCs w:val="21"/>
          <w:highlight w:val="none"/>
        </w:rPr>
      </w:pPr>
      <w:r>
        <w:rPr>
          <w:rFonts w:hint="eastAsia"/>
          <w:color w:val="auto"/>
          <w:szCs w:val="21"/>
          <w:highlight w:val="none"/>
        </w:rPr>
        <w:t>武汉理工大学</w:t>
      </w:r>
      <w:r>
        <w:rPr>
          <w:color w:val="auto"/>
          <w:szCs w:val="21"/>
          <w:highlight w:val="none"/>
        </w:rPr>
        <w:t>、</w:t>
      </w:r>
      <w:r>
        <w:rPr>
          <w:color w:val="auto"/>
          <w:szCs w:val="21"/>
          <w:highlight w:val="none"/>
        </w:rPr>
        <w:fldChar w:fldCharType="begin"/>
      </w:r>
      <w:r>
        <w:rPr>
          <w:color w:val="auto"/>
          <w:szCs w:val="21"/>
          <w:highlight w:val="none"/>
        </w:rPr>
        <w:instrText xml:space="preserve"> DOCVARIABLE </w:instrText>
      </w:r>
      <w:r>
        <w:rPr>
          <w:rFonts w:hint="eastAsia"/>
          <w:color w:val="auto"/>
          <w:szCs w:val="21"/>
          <w:highlight w:val="none"/>
        </w:rPr>
        <w:instrText xml:space="preserve">招标机构名称</w:instrText>
      </w:r>
      <w:r>
        <w:rPr>
          <w:color w:val="auto"/>
          <w:szCs w:val="21"/>
          <w:highlight w:val="none"/>
        </w:rPr>
        <w:instrText xml:space="preserve"> </w:instrText>
      </w:r>
      <w:r>
        <w:rPr>
          <w:color w:val="auto"/>
          <w:szCs w:val="21"/>
          <w:highlight w:val="none"/>
        </w:rPr>
        <w:fldChar w:fldCharType="separate"/>
      </w:r>
      <w:r>
        <w:rPr>
          <w:color w:val="auto"/>
          <w:szCs w:val="21"/>
          <w:highlight w:val="none"/>
        </w:rPr>
        <w:t>${</w:t>
      </w:r>
      <w:r>
        <w:rPr>
          <w:rFonts w:hint="eastAsia"/>
          <w:color w:val="auto"/>
          <w:szCs w:val="21"/>
          <w:highlight w:val="none"/>
        </w:rPr>
        <w:t>招标机构名称</w:t>
      </w:r>
      <w:r>
        <w:rPr>
          <w:color w:val="auto"/>
          <w:szCs w:val="21"/>
          <w:highlight w:val="none"/>
        </w:rPr>
        <w:t>}</w:t>
      </w:r>
      <w:r>
        <w:rPr>
          <w:color w:val="auto"/>
          <w:szCs w:val="21"/>
          <w:highlight w:val="none"/>
        </w:rPr>
        <w:fldChar w:fldCharType="end"/>
      </w:r>
      <w:r>
        <w:rPr>
          <w:rFonts w:hint="eastAsia"/>
          <w:color w:val="auto"/>
          <w:szCs w:val="21"/>
          <w:highlight w:val="none"/>
        </w:rPr>
        <w:t>：</w:t>
      </w:r>
    </w:p>
    <w:p w14:paraId="7B8A4A98">
      <w:pPr>
        <w:spacing w:line="360" w:lineRule="auto"/>
        <w:ind w:firstLine="420"/>
        <w:rPr>
          <w:rFonts w:ascii="宋体" w:hAnsi="宋体"/>
          <w:color w:val="auto"/>
          <w:szCs w:val="21"/>
          <w:highlight w:val="none"/>
        </w:rPr>
      </w:pPr>
      <w:r>
        <w:rPr>
          <w:rFonts w:hint="eastAsia" w:ascii="宋体" w:hAnsi="宋体"/>
          <w:color w:val="auto"/>
          <w:szCs w:val="21"/>
          <w:highlight w:val="none"/>
        </w:rPr>
        <w:t>依据贵方</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项目（</w:t>
      </w:r>
      <w:r>
        <w:rPr>
          <w:rFonts w:hint="eastAsia" w:ascii="宋体" w:hAnsi="宋体"/>
          <w:color w:val="auto"/>
          <w:szCs w:val="21"/>
          <w:highlight w:val="none"/>
          <w:u w:val="single"/>
        </w:rPr>
        <w:t>项目编号/包号</w:t>
      </w:r>
      <w:r>
        <w:rPr>
          <w:rFonts w:hint="eastAsia" w:ascii="宋体" w:hAnsi="宋体"/>
          <w:color w:val="auto"/>
          <w:szCs w:val="21"/>
          <w:highlight w:val="none"/>
        </w:rPr>
        <w:t>）招标的投标邀请，我方代表</w:t>
      </w:r>
      <w:r>
        <w:rPr>
          <w:rFonts w:hint="eastAsia" w:ascii="宋体" w:hAnsi="宋体"/>
          <w:color w:val="auto"/>
          <w:szCs w:val="21"/>
          <w:highlight w:val="none"/>
          <w:u w:val="single"/>
        </w:rPr>
        <w:t xml:space="preserve">         </w:t>
      </w:r>
      <w:r>
        <w:rPr>
          <w:rFonts w:hint="eastAsia" w:ascii="宋体" w:hAnsi="宋体"/>
          <w:color w:val="auto"/>
          <w:szCs w:val="21"/>
          <w:highlight w:val="none"/>
        </w:rPr>
        <w:t>（姓名、职务）经正式授权并代表投标人</w:t>
      </w:r>
      <w:r>
        <w:rPr>
          <w:rFonts w:hint="eastAsia" w:ascii="宋体" w:hAnsi="宋体"/>
          <w:color w:val="auto"/>
          <w:szCs w:val="21"/>
          <w:highlight w:val="none"/>
          <w:u w:val="single"/>
        </w:rPr>
        <w:t xml:space="preserve">         </w:t>
      </w:r>
      <w:r>
        <w:rPr>
          <w:rFonts w:hint="eastAsia" w:ascii="宋体" w:hAnsi="宋体"/>
          <w:color w:val="auto"/>
          <w:szCs w:val="21"/>
          <w:highlight w:val="none"/>
        </w:rPr>
        <w:t>（投标人名称）提交本投标文件。</w:t>
      </w:r>
    </w:p>
    <w:p w14:paraId="66DB0DCF">
      <w:pPr>
        <w:spacing w:line="360" w:lineRule="auto"/>
        <w:ind w:firstLine="422"/>
        <w:rPr>
          <w:rFonts w:ascii="宋体" w:hAnsi="宋体"/>
          <w:b/>
          <w:color w:val="auto"/>
          <w:kern w:val="0"/>
          <w:szCs w:val="21"/>
          <w:highlight w:val="none"/>
        </w:rPr>
      </w:pPr>
      <w:r>
        <w:rPr>
          <w:rFonts w:hint="eastAsia" w:ascii="宋体" w:hAnsi="宋体"/>
          <w:b/>
          <w:color w:val="auto"/>
          <w:kern w:val="0"/>
          <w:szCs w:val="21"/>
          <w:highlight w:val="none"/>
        </w:rPr>
        <w:t>在此，我方宣布同意如下：</w:t>
      </w:r>
    </w:p>
    <w:p w14:paraId="7E5FD69D">
      <w:pP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1．《报价一览表》中规定的应提交和交付的</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（项目名称、项目编号/包号）货物（工程或服务）投标报价为</w:t>
      </w:r>
      <w:r>
        <w:rPr>
          <w:rFonts w:hint="eastAsia" w:ascii="宋体" w:hAnsi="宋体"/>
          <w:color w:val="auto"/>
          <w:szCs w:val="21"/>
          <w:highlight w:val="none"/>
          <w:u w:val="single"/>
        </w:rPr>
        <w:t xml:space="preserve">            </w:t>
      </w:r>
      <w:r>
        <w:rPr>
          <w:rFonts w:hint="eastAsia" w:ascii="宋体" w:hAnsi="宋体"/>
          <w:color w:val="auto"/>
          <w:szCs w:val="21"/>
          <w:highlight w:val="none"/>
        </w:rPr>
        <w:t>（注明币种，并用大写和小写表述投标总价）；</w:t>
      </w:r>
    </w:p>
    <w:p w14:paraId="223331A3">
      <w:pP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2．按招标文件的约定履行合同责任和义务；</w:t>
      </w:r>
    </w:p>
    <w:p w14:paraId="674B4D4E">
      <w:pP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3．已详细审查全部招标文件，包括修正或补充文件（如有）；</w:t>
      </w:r>
    </w:p>
    <w:p w14:paraId="37964BDC">
      <w:pP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4．投标有效期为自</w:t>
      </w:r>
      <w:r>
        <w:rPr>
          <w:rFonts w:hint="eastAsia" w:ascii="宋体" w:hAnsi="宋体"/>
          <w:color w:val="auto"/>
          <w:kern w:val="0"/>
          <w:szCs w:val="21"/>
          <w:highlight w:val="none"/>
        </w:rPr>
        <w:t>递交投标文件截止之日起</w:t>
      </w:r>
      <w:r>
        <w:rPr>
          <w:rFonts w:hint="eastAsia" w:ascii="宋体" w:hAnsi="宋体"/>
          <w:color w:val="auto"/>
          <w:szCs w:val="21"/>
          <w:highlight w:val="none"/>
        </w:rPr>
        <w:t>，共</w:t>
      </w:r>
      <w:r>
        <w:rPr>
          <w:rFonts w:hint="eastAsia" w:ascii="宋体" w:hAnsi="宋体"/>
          <w:color w:val="auto"/>
          <w:szCs w:val="21"/>
          <w:highlight w:val="none"/>
          <w:u w:val="single"/>
        </w:rPr>
        <w:t xml:space="preserve">    </w:t>
      </w:r>
      <w:r>
        <w:rPr>
          <w:rFonts w:hint="eastAsia" w:ascii="宋体" w:hAnsi="宋体"/>
          <w:color w:val="auto"/>
          <w:szCs w:val="21"/>
          <w:highlight w:val="none"/>
        </w:rPr>
        <w:t>个日历日；</w:t>
      </w:r>
    </w:p>
    <w:p w14:paraId="45D97B60">
      <w:pP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5．接受招标文件关于不予退还投标保证金的约定；</w:t>
      </w:r>
    </w:p>
    <w:p w14:paraId="2107F6AF">
      <w:pP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6．提供按照贵方可能要求的与投标有关的一切数据或资料；</w:t>
      </w:r>
    </w:p>
    <w:p w14:paraId="75FB6DDE">
      <w:pP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7.承诺：我单位不存在单位负责人为同一人或者存在直接控股、管理关系的不同</w:t>
      </w:r>
      <w:r>
        <w:rPr>
          <w:rFonts w:hint="eastAsia"/>
          <w:color w:val="auto"/>
          <w:szCs w:val="21"/>
          <w:highlight w:val="none"/>
        </w:rPr>
        <w:t>投标人</w:t>
      </w:r>
      <w:r>
        <w:rPr>
          <w:rFonts w:hint="eastAsia" w:ascii="宋体" w:hAnsi="宋体"/>
          <w:color w:val="auto"/>
          <w:szCs w:val="21"/>
          <w:highlight w:val="none"/>
        </w:rPr>
        <w:t>，参加本项目同一合同项下的政府采购活动情况。我单位不存在为本采购项目提供整体设计、规范编制或者项目管理、监理、检测等服务的，再参加本项目的其他招标采购活动情况。</w:t>
      </w:r>
    </w:p>
    <w:p w14:paraId="2919BB41">
      <w:pP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8．与投标有关的一切正式往来信函请寄：</w:t>
      </w:r>
    </w:p>
    <w:p w14:paraId="3CC6D910">
      <w:pPr>
        <w:spacing w:line="360" w:lineRule="auto"/>
        <w:ind w:left="222" w:leftChars="106" w:firstLine="413" w:firstLineChars="197"/>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p>
    <w:p w14:paraId="5CE103DE">
      <w:pPr>
        <w:spacing w:line="360" w:lineRule="auto"/>
        <w:ind w:left="222" w:leftChars="106" w:firstLine="413" w:firstLineChars="197"/>
        <w:rPr>
          <w:rFonts w:ascii="宋体" w:hAnsi="宋体"/>
          <w:color w:val="auto"/>
          <w:szCs w:val="21"/>
          <w:highlight w:val="none"/>
        </w:rPr>
      </w:pPr>
      <w:r>
        <w:rPr>
          <w:rFonts w:hint="eastAsia" w:ascii="宋体" w:hAnsi="宋体"/>
          <w:color w:val="auto"/>
          <w:szCs w:val="21"/>
          <w:highlight w:val="none"/>
        </w:rPr>
        <w:t>地 址：</w:t>
      </w:r>
      <w:r>
        <w:rPr>
          <w:rFonts w:hint="eastAsia" w:ascii="宋体" w:hAnsi="宋体"/>
          <w:color w:val="auto"/>
          <w:szCs w:val="21"/>
          <w:highlight w:val="none"/>
          <w:u w:val="single"/>
        </w:rPr>
        <w:t xml:space="preserve">                               </w:t>
      </w:r>
    </w:p>
    <w:p w14:paraId="0956F394">
      <w:pPr>
        <w:spacing w:line="360" w:lineRule="auto"/>
        <w:ind w:left="222" w:leftChars="106" w:firstLine="413" w:firstLineChars="197"/>
        <w:rPr>
          <w:rFonts w:ascii="宋体" w:hAnsi="宋体"/>
          <w:color w:val="auto"/>
          <w:szCs w:val="21"/>
          <w:highlight w:val="none"/>
        </w:rPr>
      </w:pPr>
      <w:r>
        <w:rPr>
          <w:rFonts w:hint="eastAsia" w:ascii="宋体" w:hAnsi="宋体"/>
          <w:color w:val="auto"/>
          <w:szCs w:val="21"/>
          <w:highlight w:val="none"/>
        </w:rPr>
        <w:t>电话/传真：</w:t>
      </w:r>
      <w:r>
        <w:rPr>
          <w:rFonts w:hint="eastAsia" w:ascii="宋体" w:hAnsi="宋体"/>
          <w:color w:val="auto"/>
          <w:szCs w:val="21"/>
          <w:highlight w:val="none"/>
          <w:u w:val="single"/>
        </w:rPr>
        <w:t xml:space="preserve">                            </w:t>
      </w:r>
    </w:p>
    <w:p w14:paraId="5134EBF4">
      <w:pPr>
        <w:spacing w:line="360" w:lineRule="auto"/>
        <w:ind w:left="222" w:leftChars="106" w:firstLine="413" w:firstLineChars="197"/>
        <w:rPr>
          <w:rFonts w:ascii="宋体" w:hAnsi="宋体"/>
          <w:color w:val="auto"/>
          <w:szCs w:val="21"/>
          <w:highlight w:val="none"/>
        </w:rPr>
      </w:pPr>
      <w:r>
        <w:rPr>
          <w:rFonts w:hint="eastAsia" w:ascii="宋体" w:hAnsi="宋体"/>
          <w:color w:val="auto"/>
          <w:szCs w:val="21"/>
          <w:highlight w:val="none"/>
        </w:rPr>
        <w:t>电子邮件：</w:t>
      </w:r>
      <w:r>
        <w:rPr>
          <w:rFonts w:hint="eastAsia" w:ascii="宋体" w:hAnsi="宋体"/>
          <w:color w:val="auto"/>
          <w:szCs w:val="21"/>
          <w:highlight w:val="none"/>
          <w:u w:val="single"/>
        </w:rPr>
        <w:t xml:space="preserve">                             </w:t>
      </w:r>
    </w:p>
    <w:p w14:paraId="0F125DD2">
      <w:pPr>
        <w:spacing w:line="360" w:lineRule="auto"/>
        <w:ind w:left="222" w:leftChars="106" w:firstLine="413" w:firstLineChars="197"/>
        <w:rPr>
          <w:rFonts w:ascii="宋体" w:hAnsi="宋体"/>
          <w:color w:val="auto"/>
          <w:szCs w:val="21"/>
          <w:highlight w:val="none"/>
        </w:rPr>
      </w:pPr>
      <w:r>
        <w:rPr>
          <w:rFonts w:hint="eastAsia" w:ascii="宋体" w:hAnsi="宋体"/>
          <w:color w:val="auto"/>
          <w:szCs w:val="21"/>
          <w:highlight w:val="none"/>
        </w:rPr>
        <w:t>开户银行：</w:t>
      </w:r>
      <w:r>
        <w:rPr>
          <w:rFonts w:hint="eastAsia" w:ascii="宋体" w:hAnsi="宋体"/>
          <w:color w:val="auto"/>
          <w:szCs w:val="21"/>
          <w:highlight w:val="none"/>
          <w:u w:val="single"/>
        </w:rPr>
        <w:t xml:space="preserve">                             </w:t>
      </w:r>
    </w:p>
    <w:p w14:paraId="08104919">
      <w:pPr>
        <w:spacing w:line="360" w:lineRule="auto"/>
        <w:ind w:left="222" w:leftChars="106" w:firstLine="413" w:firstLineChars="197"/>
        <w:rPr>
          <w:rFonts w:ascii="宋体" w:hAnsi="宋体"/>
          <w:color w:val="auto"/>
          <w:szCs w:val="21"/>
          <w:highlight w:val="none"/>
          <w:u w:val="single"/>
        </w:rPr>
      </w:pPr>
      <w:r>
        <w:rPr>
          <w:rFonts w:hint="eastAsia" w:ascii="宋体" w:hAnsi="宋体"/>
          <w:color w:val="auto"/>
          <w:szCs w:val="21"/>
          <w:highlight w:val="none"/>
        </w:rPr>
        <w:t>账号/行号：</w:t>
      </w:r>
      <w:r>
        <w:rPr>
          <w:rFonts w:hint="eastAsia" w:ascii="宋体" w:hAnsi="宋体"/>
          <w:color w:val="auto"/>
          <w:szCs w:val="21"/>
          <w:highlight w:val="none"/>
          <w:u w:val="single"/>
        </w:rPr>
        <w:t xml:space="preserve">                            </w:t>
      </w:r>
    </w:p>
    <w:p w14:paraId="358C0771">
      <w:pPr>
        <w:spacing w:line="360" w:lineRule="auto"/>
        <w:ind w:left="2532" w:leftChars="1206" w:firstLine="413" w:firstLineChars="197"/>
        <w:rPr>
          <w:rFonts w:ascii="宋体" w:hAnsi="宋体"/>
          <w:color w:val="auto"/>
          <w:szCs w:val="21"/>
          <w:highlight w:val="none"/>
        </w:rPr>
      </w:pPr>
    </w:p>
    <w:p w14:paraId="06A90827">
      <w:pPr>
        <w:spacing w:line="276" w:lineRule="auto"/>
        <w:ind w:left="2532" w:leftChars="1206" w:firstLine="413" w:firstLineChars="197"/>
        <w:rPr>
          <w:rFonts w:ascii="宋体" w:hAnsi="宋体"/>
          <w:color w:val="auto"/>
          <w:szCs w:val="21"/>
          <w:highlight w:val="none"/>
        </w:rPr>
      </w:pPr>
    </w:p>
    <w:p w14:paraId="1775E0F8">
      <w:pPr>
        <w:spacing w:before="100" w:beforeAutospacing="1" w:after="100" w:afterAutospacing="1" w:line="276" w:lineRule="auto"/>
        <w:ind w:firstLine="2902" w:firstLineChars="1382"/>
        <w:rPr>
          <w:rFonts w:ascii="宋体" w:hAnsi="宋体"/>
          <w:bCs/>
          <w:color w:val="auto"/>
          <w:szCs w:val="21"/>
          <w:highlight w:val="none"/>
          <w:u w:val="single"/>
          <w:lang w:val="zh-CN"/>
        </w:rPr>
      </w:pPr>
      <w:r>
        <w:rPr>
          <w:rFonts w:hint="eastAsia" w:ascii="宋体" w:hAnsi="宋体"/>
          <w:bCs/>
          <w:color w:val="auto"/>
          <w:szCs w:val="21"/>
          <w:highlight w:val="none"/>
          <w:lang w:val="zh-CN"/>
        </w:rPr>
        <w:t>投标人名称（公章）：</w:t>
      </w:r>
      <w:r>
        <w:rPr>
          <w:rFonts w:hint="eastAsia" w:ascii="宋体" w:hAnsi="宋体"/>
          <w:bCs/>
          <w:color w:val="auto"/>
          <w:szCs w:val="21"/>
          <w:highlight w:val="none"/>
          <w:u w:val="single"/>
          <w:lang w:val="zh-CN"/>
        </w:rPr>
        <w:t xml:space="preserve">                         </w:t>
      </w:r>
    </w:p>
    <w:p w14:paraId="7AC029BF">
      <w:pPr>
        <w:spacing w:before="100" w:beforeAutospacing="1" w:after="100" w:afterAutospacing="1" w:line="276" w:lineRule="auto"/>
        <w:ind w:firstLine="2902" w:firstLineChars="1382"/>
        <w:rPr>
          <w:rFonts w:ascii="宋体" w:hAnsi="宋体"/>
          <w:b/>
          <w:bCs/>
          <w:color w:val="auto"/>
          <w:szCs w:val="21"/>
          <w:highlight w:val="none"/>
          <w:u w:val="single"/>
          <w:lang w:val="zh-CN"/>
        </w:rPr>
      </w:pPr>
      <w:r>
        <w:rPr>
          <w:rFonts w:hint="eastAsia" w:ascii="宋体" w:hAnsi="宋体"/>
          <w:color w:val="auto"/>
          <w:kern w:val="0"/>
          <w:szCs w:val="21"/>
          <w:highlight w:val="none"/>
          <w:shd w:val="clear" w:color="auto" w:fill="FFFFFF"/>
        </w:rPr>
        <w:t>法定代表人或其</w:t>
      </w:r>
      <w:r>
        <w:rPr>
          <w:rFonts w:hint="eastAsia" w:ascii="宋体" w:hAnsi="宋体"/>
          <w:bCs/>
          <w:color w:val="auto"/>
          <w:szCs w:val="21"/>
          <w:highlight w:val="none"/>
          <w:lang w:val="zh-CN"/>
        </w:rPr>
        <w:t>授权代表（签字或盖章）：</w:t>
      </w:r>
      <w:r>
        <w:rPr>
          <w:rFonts w:hint="eastAsia" w:ascii="宋体" w:hAnsi="宋体"/>
          <w:bCs/>
          <w:color w:val="auto"/>
          <w:szCs w:val="21"/>
          <w:highlight w:val="none"/>
          <w:u w:val="single"/>
          <w:lang w:val="zh-CN"/>
        </w:rPr>
        <w:t xml:space="preserve">                  </w:t>
      </w:r>
    </w:p>
    <w:p w14:paraId="44DA228A">
      <w:pPr>
        <w:spacing w:line="276" w:lineRule="auto"/>
        <w:ind w:firstLine="2940" w:firstLineChars="1400"/>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4AC6A086">
      <w:pPr>
        <w:spacing w:line="276" w:lineRule="auto"/>
        <w:ind w:left="2532" w:leftChars="1206" w:firstLine="413" w:firstLineChars="197"/>
        <w:rPr>
          <w:rFonts w:ascii="宋体" w:hAnsi="宋体"/>
          <w:color w:val="auto"/>
          <w:szCs w:val="21"/>
          <w:highlight w:val="none"/>
        </w:rPr>
      </w:pPr>
    </w:p>
    <w:p w14:paraId="163C4956">
      <w:pPr>
        <w:pStyle w:val="30"/>
        <w:numPr>
          <w:ilvl w:val="0"/>
          <w:numId w:val="58"/>
        </w:numPr>
        <w:spacing w:line="276" w:lineRule="auto"/>
        <w:ind w:firstLineChars="0"/>
        <w:outlineLvl w:val="2"/>
        <w:rPr>
          <w:color w:val="auto"/>
          <w:szCs w:val="21"/>
          <w:highlight w:val="none"/>
        </w:rPr>
      </w:pPr>
      <w:r>
        <w:rPr>
          <w:color w:val="auto"/>
          <w:kern w:val="0"/>
          <w:szCs w:val="21"/>
          <w:highlight w:val="none"/>
        </w:rPr>
        <w:br w:type="page"/>
      </w:r>
      <w:r>
        <w:rPr>
          <w:rFonts w:hint="eastAsia"/>
          <w:color w:val="auto"/>
          <w:szCs w:val="21"/>
          <w:highlight w:val="none"/>
        </w:rPr>
        <w:t>报价一览表</w:t>
      </w:r>
    </w:p>
    <w:p w14:paraId="59A5D882">
      <w:pPr>
        <w:spacing w:line="276" w:lineRule="auto"/>
        <w:jc w:val="center"/>
        <w:rPr>
          <w:rFonts w:ascii="宋体" w:hAnsi="宋体"/>
          <w:b/>
          <w:color w:val="auto"/>
          <w:szCs w:val="21"/>
          <w:highlight w:val="none"/>
        </w:rPr>
      </w:pPr>
      <w:r>
        <w:rPr>
          <w:rFonts w:hint="eastAsia" w:ascii="宋体" w:hAnsi="宋体"/>
          <w:b/>
          <w:color w:val="auto"/>
          <w:szCs w:val="21"/>
          <w:highlight w:val="none"/>
        </w:rPr>
        <w:t>报价一览表</w:t>
      </w:r>
      <w:r>
        <w:rPr>
          <w:rFonts w:hint="eastAsia" w:ascii="宋体" w:hAnsi="宋体" w:cs="宋体"/>
          <w:color w:val="auto"/>
          <w:kern w:val="0"/>
          <w:szCs w:val="21"/>
          <w:highlight w:val="none"/>
        </w:rPr>
        <w:t>（服务）</w:t>
      </w:r>
    </w:p>
    <w:p w14:paraId="5879B69A">
      <w:pPr>
        <w:adjustRightInd w:val="0"/>
        <w:snapToGrid w:val="0"/>
        <w:spacing w:line="276" w:lineRule="auto"/>
        <w:ind w:left="-268" w:leftChars="-128" w:firstLine="399" w:firstLineChars="150"/>
        <w:jc w:val="left"/>
        <w:rPr>
          <w:rFonts w:ascii="宋体" w:hAnsi="宋体"/>
          <w:color w:val="auto"/>
          <w:spacing w:val="28"/>
          <w:szCs w:val="21"/>
          <w:highlight w:val="none"/>
        </w:rPr>
      </w:pPr>
    </w:p>
    <w:p w14:paraId="7C8D5B97">
      <w:pPr>
        <w:adjustRightInd w:val="0"/>
        <w:snapToGrid w:val="0"/>
        <w:spacing w:line="276" w:lineRule="auto"/>
        <w:ind w:left="-268" w:leftChars="-128" w:firstLine="399" w:firstLineChars="150"/>
        <w:jc w:val="left"/>
        <w:rPr>
          <w:rFonts w:ascii="宋体" w:hAnsi="宋体"/>
          <w:color w:val="auto"/>
          <w:szCs w:val="21"/>
          <w:highlight w:val="none"/>
        </w:rPr>
      </w:pPr>
      <w:r>
        <w:rPr>
          <w:rFonts w:hint="eastAsia" w:ascii="宋体" w:hAnsi="宋体"/>
          <w:color w:val="auto"/>
          <w:spacing w:val="28"/>
          <w:szCs w:val="21"/>
          <w:highlight w:val="none"/>
        </w:rPr>
        <w:t>投标人</w:t>
      </w:r>
      <w:r>
        <w:rPr>
          <w:rFonts w:hint="eastAsia" w:ascii="宋体" w:hAnsi="宋体"/>
          <w:color w:val="auto"/>
          <w:szCs w:val="21"/>
          <w:highlight w:val="none"/>
        </w:rPr>
        <w:t>名称:</w:t>
      </w:r>
      <w:r>
        <w:rPr>
          <w:rFonts w:hint="eastAsia" w:ascii="宋体" w:hAnsi="宋体"/>
          <w:color w:val="auto"/>
          <w:szCs w:val="21"/>
          <w:highlight w:val="none"/>
          <w:u w:val="single"/>
        </w:rPr>
        <w:t xml:space="preserve">                           </w:t>
      </w:r>
    </w:p>
    <w:p w14:paraId="2B9728E3">
      <w:pPr>
        <w:adjustRightInd w:val="0"/>
        <w:snapToGrid w:val="0"/>
        <w:spacing w:line="276" w:lineRule="auto"/>
        <w:ind w:left="-268" w:leftChars="-128" w:firstLine="399" w:firstLineChars="150"/>
        <w:jc w:val="left"/>
        <w:rPr>
          <w:rFonts w:ascii="宋体" w:hAnsi="宋体"/>
          <w:color w:val="auto"/>
          <w:szCs w:val="21"/>
          <w:highlight w:val="none"/>
        </w:rPr>
      </w:pPr>
      <w:r>
        <w:rPr>
          <w:rFonts w:hint="eastAsia" w:ascii="宋体" w:hAnsi="宋体"/>
          <w:color w:val="auto"/>
          <w:spacing w:val="28"/>
          <w:szCs w:val="21"/>
          <w:highlight w:val="none"/>
        </w:rPr>
        <w:t>项目编号/包号</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zh-CN"/>
        </w:rPr>
        <w:t>项目名称：</w:t>
      </w:r>
      <w:r>
        <w:rPr>
          <w:rFonts w:hint="eastAsia" w:ascii="宋体" w:hAnsi="宋体"/>
          <w:color w:val="auto"/>
          <w:szCs w:val="21"/>
          <w:highlight w:val="none"/>
          <w:u w:val="single"/>
          <w:lang w:val="zh-CN"/>
        </w:rPr>
        <w:t xml:space="preserve">                        </w:t>
      </w:r>
      <w:r>
        <w:rPr>
          <w:rFonts w:hAnsi="宋体"/>
          <w:color w:val="auto"/>
          <w:szCs w:val="21"/>
          <w:highlight w:val="none"/>
          <w:u w:val="single"/>
        </w:rPr>
        <w:t xml:space="preserve">  </w:t>
      </w:r>
    </w:p>
    <w:tbl>
      <w:tblPr>
        <w:tblStyle w:val="21"/>
        <w:tblW w:w="9238" w:type="dxa"/>
        <w:tblInd w:w="0" w:type="dxa"/>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4823"/>
        <w:gridCol w:w="3215"/>
      </w:tblGrid>
      <w:tr w14:paraId="5EE6D4F0">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200" w:type="dxa"/>
            <w:tcBorders>
              <w:top w:val="single" w:color="auto" w:sz="4" w:space="0"/>
              <w:left w:val="single" w:color="auto" w:sz="4" w:space="0"/>
              <w:bottom w:val="single" w:color="auto" w:sz="4" w:space="0"/>
              <w:right w:val="single" w:color="auto" w:sz="4" w:space="0"/>
            </w:tcBorders>
            <w:shd w:val="pct10" w:color="auto" w:fill="auto"/>
            <w:vAlign w:val="center"/>
          </w:tcPr>
          <w:p w14:paraId="1349D583">
            <w:pPr>
              <w:spacing w:line="276" w:lineRule="auto"/>
              <w:jc w:val="center"/>
              <w:rPr>
                <w:rFonts w:ascii="宋体" w:hAnsi="宋体"/>
                <w:color w:val="auto"/>
                <w:szCs w:val="21"/>
                <w:highlight w:val="none"/>
              </w:rPr>
            </w:pPr>
            <w:r>
              <w:rPr>
                <w:rFonts w:hint="eastAsia" w:ascii="宋体" w:hAnsi="宋体"/>
                <w:color w:val="auto"/>
                <w:szCs w:val="21"/>
                <w:highlight w:val="none"/>
              </w:rPr>
              <w:t>序号</w:t>
            </w:r>
          </w:p>
        </w:tc>
        <w:tc>
          <w:tcPr>
            <w:tcW w:w="4823" w:type="dxa"/>
            <w:tcBorders>
              <w:top w:val="single" w:color="auto" w:sz="4" w:space="0"/>
              <w:left w:val="single" w:color="auto" w:sz="4" w:space="0"/>
              <w:bottom w:val="single" w:color="auto" w:sz="4" w:space="0"/>
              <w:right w:val="single" w:color="auto" w:sz="4" w:space="0"/>
            </w:tcBorders>
            <w:shd w:val="pct10" w:color="auto" w:fill="auto"/>
            <w:vAlign w:val="center"/>
          </w:tcPr>
          <w:p w14:paraId="77C5DADE">
            <w:pPr>
              <w:spacing w:line="276" w:lineRule="auto"/>
              <w:jc w:val="center"/>
              <w:rPr>
                <w:rFonts w:ascii="宋体" w:hAnsi="宋体"/>
                <w:color w:val="auto"/>
                <w:szCs w:val="21"/>
                <w:highlight w:val="none"/>
              </w:rPr>
            </w:pPr>
            <w:r>
              <w:rPr>
                <w:rFonts w:hint="eastAsia" w:ascii="宋体" w:hAnsi="宋体"/>
                <w:color w:val="auto"/>
                <w:szCs w:val="21"/>
                <w:highlight w:val="none"/>
              </w:rPr>
              <w:t>项目</w:t>
            </w:r>
          </w:p>
        </w:tc>
        <w:tc>
          <w:tcPr>
            <w:tcW w:w="3215" w:type="dxa"/>
            <w:tcBorders>
              <w:top w:val="single" w:color="auto" w:sz="4" w:space="0"/>
              <w:left w:val="single" w:color="auto" w:sz="4" w:space="0"/>
              <w:bottom w:val="single" w:color="auto" w:sz="4" w:space="0"/>
              <w:right w:val="single" w:color="auto" w:sz="4" w:space="0"/>
            </w:tcBorders>
            <w:shd w:val="pct10" w:color="auto" w:fill="auto"/>
            <w:vAlign w:val="center"/>
          </w:tcPr>
          <w:p w14:paraId="075DD8F3">
            <w:pPr>
              <w:spacing w:line="276" w:lineRule="auto"/>
              <w:jc w:val="center"/>
              <w:rPr>
                <w:rFonts w:ascii="宋体" w:hAnsi="宋体"/>
                <w:color w:val="auto"/>
                <w:szCs w:val="21"/>
                <w:highlight w:val="none"/>
              </w:rPr>
            </w:pPr>
            <w:r>
              <w:rPr>
                <w:rFonts w:hint="eastAsia" w:ascii="宋体" w:hAnsi="宋体"/>
                <w:color w:val="auto"/>
                <w:szCs w:val="21"/>
                <w:highlight w:val="none"/>
              </w:rPr>
              <w:t>内容</w:t>
            </w:r>
          </w:p>
        </w:tc>
      </w:tr>
      <w:tr w14:paraId="1AC4049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3C3CE645">
            <w:pPr>
              <w:spacing w:line="276" w:lineRule="auto"/>
              <w:jc w:val="center"/>
              <w:rPr>
                <w:rFonts w:ascii="宋体" w:hAnsi="宋体"/>
                <w:color w:val="auto"/>
                <w:szCs w:val="21"/>
                <w:highlight w:val="none"/>
              </w:rPr>
            </w:pPr>
            <w:r>
              <w:rPr>
                <w:rFonts w:hint="eastAsia" w:ascii="宋体" w:hAnsi="宋体"/>
                <w:color w:val="auto"/>
                <w:szCs w:val="21"/>
                <w:highlight w:val="none"/>
              </w:rPr>
              <w:t>1</w:t>
            </w:r>
          </w:p>
        </w:tc>
        <w:tc>
          <w:tcPr>
            <w:tcW w:w="4823" w:type="dxa"/>
            <w:tcBorders>
              <w:top w:val="single" w:color="auto" w:sz="4" w:space="0"/>
              <w:left w:val="single" w:color="auto" w:sz="4" w:space="0"/>
              <w:bottom w:val="single" w:color="auto" w:sz="4" w:space="0"/>
              <w:right w:val="single" w:color="auto" w:sz="4" w:space="0"/>
            </w:tcBorders>
            <w:vAlign w:val="center"/>
          </w:tcPr>
          <w:p w14:paraId="6F09735C">
            <w:pPr>
              <w:spacing w:line="276" w:lineRule="auto"/>
              <w:jc w:val="center"/>
              <w:rPr>
                <w:rFonts w:ascii="宋体" w:hAnsi="宋体"/>
                <w:color w:val="auto"/>
                <w:szCs w:val="21"/>
                <w:highlight w:val="none"/>
              </w:rPr>
            </w:pPr>
            <w:r>
              <w:rPr>
                <w:rFonts w:hint="eastAsia" w:ascii="宋体" w:hAnsi="宋体"/>
                <w:color w:val="auto"/>
                <w:szCs w:val="21"/>
                <w:highlight w:val="none"/>
              </w:rPr>
              <w:t>投标报价（小写）</w:t>
            </w:r>
          </w:p>
        </w:tc>
        <w:tc>
          <w:tcPr>
            <w:tcW w:w="3215" w:type="dxa"/>
            <w:tcBorders>
              <w:top w:val="single" w:color="auto" w:sz="4" w:space="0"/>
              <w:left w:val="single" w:color="auto" w:sz="4" w:space="0"/>
              <w:bottom w:val="single" w:color="auto" w:sz="4" w:space="0"/>
              <w:right w:val="single" w:color="auto" w:sz="4" w:space="0"/>
            </w:tcBorders>
            <w:vAlign w:val="center"/>
          </w:tcPr>
          <w:p w14:paraId="028DBAFA">
            <w:pPr>
              <w:spacing w:line="276" w:lineRule="auto"/>
              <w:ind w:left="-38"/>
              <w:jc w:val="center"/>
              <w:rPr>
                <w:rFonts w:ascii="宋体" w:hAnsi="宋体"/>
                <w:color w:val="auto"/>
                <w:szCs w:val="21"/>
                <w:highlight w:val="none"/>
              </w:rPr>
            </w:pPr>
          </w:p>
        </w:tc>
      </w:tr>
      <w:tr w14:paraId="49CF723E">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4B91A93C">
            <w:pPr>
              <w:spacing w:line="276" w:lineRule="auto"/>
              <w:jc w:val="center"/>
              <w:rPr>
                <w:rFonts w:ascii="宋体" w:hAnsi="宋体"/>
                <w:color w:val="auto"/>
                <w:szCs w:val="21"/>
                <w:highlight w:val="none"/>
              </w:rPr>
            </w:pPr>
            <w:r>
              <w:rPr>
                <w:rFonts w:hint="eastAsia" w:ascii="宋体" w:hAnsi="宋体"/>
                <w:color w:val="auto"/>
                <w:szCs w:val="21"/>
                <w:highlight w:val="none"/>
              </w:rPr>
              <w:t>2</w:t>
            </w:r>
          </w:p>
        </w:tc>
        <w:tc>
          <w:tcPr>
            <w:tcW w:w="4823" w:type="dxa"/>
            <w:tcBorders>
              <w:top w:val="single" w:color="auto" w:sz="4" w:space="0"/>
              <w:left w:val="single" w:color="auto" w:sz="4" w:space="0"/>
              <w:bottom w:val="single" w:color="auto" w:sz="4" w:space="0"/>
              <w:right w:val="single" w:color="auto" w:sz="4" w:space="0"/>
            </w:tcBorders>
            <w:vAlign w:val="center"/>
          </w:tcPr>
          <w:p w14:paraId="030E6909">
            <w:pPr>
              <w:spacing w:line="276" w:lineRule="auto"/>
              <w:jc w:val="center"/>
              <w:rPr>
                <w:rFonts w:ascii="宋体" w:hAnsi="宋体"/>
                <w:color w:val="auto"/>
                <w:szCs w:val="21"/>
                <w:highlight w:val="none"/>
              </w:rPr>
            </w:pPr>
            <w:r>
              <w:rPr>
                <w:rFonts w:hint="eastAsia" w:ascii="宋体" w:hAnsi="宋体"/>
                <w:color w:val="auto"/>
                <w:szCs w:val="21"/>
                <w:highlight w:val="none"/>
              </w:rPr>
              <w:t>投标报价（大写）</w:t>
            </w:r>
          </w:p>
        </w:tc>
        <w:tc>
          <w:tcPr>
            <w:tcW w:w="3215" w:type="dxa"/>
            <w:tcBorders>
              <w:top w:val="single" w:color="auto" w:sz="4" w:space="0"/>
              <w:left w:val="single" w:color="auto" w:sz="4" w:space="0"/>
              <w:bottom w:val="single" w:color="auto" w:sz="4" w:space="0"/>
              <w:right w:val="single" w:color="auto" w:sz="4" w:space="0"/>
            </w:tcBorders>
            <w:vAlign w:val="center"/>
          </w:tcPr>
          <w:p w14:paraId="3CACB1FA">
            <w:pPr>
              <w:spacing w:line="276" w:lineRule="auto"/>
              <w:ind w:left="-38"/>
              <w:jc w:val="center"/>
              <w:rPr>
                <w:rFonts w:ascii="宋体" w:hAnsi="宋体"/>
                <w:color w:val="auto"/>
                <w:szCs w:val="21"/>
                <w:highlight w:val="none"/>
              </w:rPr>
            </w:pPr>
          </w:p>
        </w:tc>
      </w:tr>
      <w:tr w14:paraId="19370477">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507E6B2F">
            <w:pPr>
              <w:spacing w:line="276" w:lineRule="auto"/>
              <w:jc w:val="center"/>
              <w:rPr>
                <w:rFonts w:ascii="宋体" w:hAnsi="宋体"/>
                <w:color w:val="auto"/>
                <w:szCs w:val="21"/>
                <w:highlight w:val="none"/>
              </w:rPr>
            </w:pPr>
            <w:r>
              <w:rPr>
                <w:rFonts w:hint="eastAsia" w:ascii="宋体" w:hAnsi="宋体"/>
                <w:color w:val="auto"/>
                <w:szCs w:val="21"/>
                <w:highlight w:val="none"/>
              </w:rPr>
              <w:t>3</w:t>
            </w:r>
          </w:p>
        </w:tc>
        <w:tc>
          <w:tcPr>
            <w:tcW w:w="4823" w:type="dxa"/>
            <w:tcBorders>
              <w:top w:val="single" w:color="auto" w:sz="4" w:space="0"/>
              <w:left w:val="single" w:color="auto" w:sz="4" w:space="0"/>
              <w:bottom w:val="single" w:color="auto" w:sz="4" w:space="0"/>
              <w:right w:val="single" w:color="auto" w:sz="4" w:space="0"/>
            </w:tcBorders>
            <w:vAlign w:val="center"/>
          </w:tcPr>
          <w:p w14:paraId="75410988">
            <w:pPr>
              <w:spacing w:line="276" w:lineRule="auto"/>
              <w:jc w:val="center"/>
              <w:rPr>
                <w:rFonts w:ascii="宋体" w:hAnsi="宋体"/>
                <w:color w:val="auto"/>
                <w:szCs w:val="21"/>
                <w:highlight w:val="none"/>
              </w:rPr>
            </w:pPr>
            <w:r>
              <w:rPr>
                <w:rFonts w:hint="eastAsia" w:ascii="宋体" w:hAnsi="宋体"/>
                <w:color w:val="auto"/>
                <w:szCs w:val="21"/>
                <w:highlight w:val="none"/>
              </w:rPr>
              <w:t>服务期/交付期</w:t>
            </w:r>
          </w:p>
        </w:tc>
        <w:tc>
          <w:tcPr>
            <w:tcW w:w="3215" w:type="dxa"/>
            <w:tcBorders>
              <w:top w:val="single" w:color="auto" w:sz="4" w:space="0"/>
              <w:left w:val="single" w:color="auto" w:sz="4" w:space="0"/>
              <w:bottom w:val="single" w:color="auto" w:sz="4" w:space="0"/>
              <w:right w:val="single" w:color="auto" w:sz="4" w:space="0"/>
            </w:tcBorders>
            <w:vAlign w:val="center"/>
          </w:tcPr>
          <w:p w14:paraId="35A9E61F">
            <w:pPr>
              <w:spacing w:line="276" w:lineRule="auto"/>
              <w:ind w:left="-38"/>
              <w:jc w:val="center"/>
              <w:rPr>
                <w:rFonts w:ascii="宋体" w:hAnsi="宋体"/>
                <w:color w:val="auto"/>
                <w:szCs w:val="21"/>
                <w:highlight w:val="none"/>
              </w:rPr>
            </w:pPr>
          </w:p>
        </w:tc>
      </w:tr>
      <w:tr w14:paraId="252B234B">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616E53B3">
            <w:pPr>
              <w:spacing w:line="276" w:lineRule="auto"/>
              <w:jc w:val="center"/>
              <w:rPr>
                <w:rFonts w:ascii="宋体" w:hAnsi="宋体"/>
                <w:color w:val="auto"/>
                <w:szCs w:val="21"/>
                <w:highlight w:val="none"/>
              </w:rPr>
            </w:pPr>
            <w:r>
              <w:rPr>
                <w:rFonts w:hint="eastAsia" w:ascii="宋体" w:hAnsi="宋体"/>
                <w:color w:val="auto"/>
                <w:szCs w:val="21"/>
                <w:highlight w:val="none"/>
              </w:rPr>
              <w:t>4</w:t>
            </w:r>
          </w:p>
        </w:tc>
        <w:tc>
          <w:tcPr>
            <w:tcW w:w="4823" w:type="dxa"/>
            <w:tcBorders>
              <w:top w:val="single" w:color="auto" w:sz="4" w:space="0"/>
              <w:left w:val="single" w:color="auto" w:sz="4" w:space="0"/>
              <w:bottom w:val="single" w:color="auto" w:sz="4" w:space="0"/>
              <w:right w:val="single" w:color="auto" w:sz="4" w:space="0"/>
            </w:tcBorders>
            <w:vAlign w:val="center"/>
          </w:tcPr>
          <w:p w14:paraId="49C2A986">
            <w:pPr>
              <w:spacing w:line="276" w:lineRule="auto"/>
              <w:jc w:val="center"/>
              <w:rPr>
                <w:rFonts w:ascii="宋体" w:hAnsi="宋体"/>
                <w:color w:val="auto"/>
                <w:szCs w:val="21"/>
                <w:highlight w:val="none"/>
              </w:rPr>
            </w:pPr>
            <w:r>
              <w:rPr>
                <w:rFonts w:hint="eastAsia" w:ascii="宋体" w:hAnsi="宋体"/>
                <w:color w:val="auto"/>
                <w:szCs w:val="21"/>
                <w:highlight w:val="none"/>
              </w:rPr>
              <w:t>其他期限描述（如有）</w:t>
            </w:r>
          </w:p>
        </w:tc>
        <w:tc>
          <w:tcPr>
            <w:tcW w:w="3215" w:type="dxa"/>
            <w:tcBorders>
              <w:top w:val="single" w:color="auto" w:sz="4" w:space="0"/>
              <w:left w:val="single" w:color="auto" w:sz="4" w:space="0"/>
              <w:bottom w:val="single" w:color="auto" w:sz="4" w:space="0"/>
              <w:right w:val="single" w:color="auto" w:sz="4" w:space="0"/>
            </w:tcBorders>
            <w:vAlign w:val="center"/>
          </w:tcPr>
          <w:p w14:paraId="7DC7EE17">
            <w:pPr>
              <w:spacing w:line="276" w:lineRule="auto"/>
              <w:ind w:left="-38"/>
              <w:jc w:val="center"/>
              <w:rPr>
                <w:rFonts w:ascii="宋体" w:hAnsi="宋体"/>
                <w:color w:val="auto"/>
                <w:szCs w:val="21"/>
                <w:highlight w:val="none"/>
              </w:rPr>
            </w:pPr>
          </w:p>
        </w:tc>
      </w:tr>
      <w:tr w14:paraId="40BB16A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5889BF87">
            <w:pPr>
              <w:spacing w:line="276" w:lineRule="auto"/>
              <w:jc w:val="center"/>
              <w:rPr>
                <w:rFonts w:ascii="宋体" w:hAnsi="宋体"/>
                <w:color w:val="auto"/>
                <w:szCs w:val="21"/>
                <w:highlight w:val="none"/>
              </w:rPr>
            </w:pPr>
            <w:r>
              <w:rPr>
                <w:rFonts w:hint="eastAsia" w:ascii="宋体" w:hAnsi="宋体"/>
                <w:color w:val="auto"/>
                <w:szCs w:val="21"/>
                <w:highlight w:val="none"/>
              </w:rPr>
              <w:t>5</w:t>
            </w:r>
          </w:p>
        </w:tc>
        <w:tc>
          <w:tcPr>
            <w:tcW w:w="4823" w:type="dxa"/>
            <w:tcBorders>
              <w:top w:val="single" w:color="auto" w:sz="4" w:space="0"/>
              <w:left w:val="single" w:color="auto" w:sz="4" w:space="0"/>
              <w:bottom w:val="single" w:color="auto" w:sz="4" w:space="0"/>
              <w:right w:val="single" w:color="auto" w:sz="4" w:space="0"/>
            </w:tcBorders>
            <w:vAlign w:val="center"/>
          </w:tcPr>
          <w:p w14:paraId="6D640E50">
            <w:pPr>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投标保证金</w:t>
            </w:r>
          </w:p>
        </w:tc>
        <w:tc>
          <w:tcPr>
            <w:tcW w:w="3215" w:type="dxa"/>
            <w:tcBorders>
              <w:top w:val="single" w:color="auto" w:sz="4" w:space="0"/>
              <w:left w:val="single" w:color="auto" w:sz="4" w:space="0"/>
              <w:bottom w:val="single" w:color="auto" w:sz="4" w:space="0"/>
              <w:right w:val="single" w:color="auto" w:sz="4" w:space="0"/>
            </w:tcBorders>
            <w:vAlign w:val="center"/>
          </w:tcPr>
          <w:p w14:paraId="2BBFE1B0">
            <w:pPr>
              <w:spacing w:line="276" w:lineRule="auto"/>
              <w:ind w:left="-38"/>
              <w:jc w:val="center"/>
              <w:rPr>
                <w:rFonts w:ascii="宋体" w:hAnsi="宋体"/>
                <w:color w:val="auto"/>
                <w:szCs w:val="21"/>
                <w:highlight w:val="none"/>
              </w:rPr>
            </w:pPr>
          </w:p>
        </w:tc>
      </w:tr>
      <w:tr w14:paraId="63C80360">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11375BF7">
            <w:pPr>
              <w:spacing w:line="276" w:lineRule="auto"/>
              <w:jc w:val="center"/>
              <w:rPr>
                <w:rFonts w:ascii="宋体" w:hAnsi="宋体"/>
                <w:color w:val="auto"/>
                <w:szCs w:val="21"/>
                <w:highlight w:val="none"/>
              </w:rPr>
            </w:pPr>
            <w:r>
              <w:rPr>
                <w:rFonts w:hint="eastAsia" w:ascii="宋体" w:hAnsi="宋体"/>
                <w:color w:val="auto"/>
                <w:szCs w:val="21"/>
                <w:highlight w:val="none"/>
              </w:rPr>
              <w:t>6</w:t>
            </w:r>
          </w:p>
        </w:tc>
        <w:tc>
          <w:tcPr>
            <w:tcW w:w="4823" w:type="dxa"/>
            <w:tcBorders>
              <w:top w:val="single" w:color="auto" w:sz="4" w:space="0"/>
              <w:left w:val="single" w:color="auto" w:sz="4" w:space="0"/>
              <w:bottom w:val="single" w:color="auto" w:sz="4" w:space="0"/>
              <w:right w:val="single" w:color="auto" w:sz="4" w:space="0"/>
            </w:tcBorders>
            <w:vAlign w:val="center"/>
          </w:tcPr>
          <w:p w14:paraId="439F8915">
            <w:pPr>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提供服务的承接商企业规模</w:t>
            </w:r>
          </w:p>
        </w:tc>
        <w:tc>
          <w:tcPr>
            <w:tcW w:w="3215" w:type="dxa"/>
            <w:tcBorders>
              <w:top w:val="single" w:color="auto" w:sz="4" w:space="0"/>
              <w:left w:val="single" w:color="auto" w:sz="4" w:space="0"/>
              <w:bottom w:val="single" w:color="auto" w:sz="4" w:space="0"/>
              <w:right w:val="single" w:color="auto" w:sz="4" w:space="0"/>
            </w:tcBorders>
            <w:vAlign w:val="center"/>
          </w:tcPr>
          <w:p w14:paraId="73234A2E">
            <w:pPr>
              <w:spacing w:line="276" w:lineRule="auto"/>
              <w:ind w:left="-38"/>
              <w:rPr>
                <w:rFonts w:ascii="Wingdings 2" w:hAnsi="Wingdings 2"/>
                <w:color w:val="auto"/>
                <w:szCs w:val="21"/>
                <w:highlight w:val="none"/>
              </w:rPr>
            </w:pPr>
            <w:r>
              <w:rPr>
                <w:rFonts w:ascii="Wingdings 2" w:hAnsi="Wingdings 2"/>
                <w:color w:val="auto"/>
                <w:szCs w:val="21"/>
                <w:highlight w:val="none"/>
              </w:rPr>
              <w:t></w:t>
            </w:r>
            <w:r>
              <w:rPr>
                <w:rFonts w:hint="eastAsia" w:ascii="Wingdings 2" w:hAnsi="Wingdings 2"/>
                <w:color w:val="auto"/>
                <w:szCs w:val="21"/>
                <w:highlight w:val="none"/>
              </w:rPr>
              <w:t>大型企业</w:t>
            </w:r>
            <w:r>
              <w:rPr>
                <w:rFonts w:ascii="Wingdings 2" w:hAnsi="Wingdings 2"/>
                <w:color w:val="auto"/>
                <w:szCs w:val="21"/>
                <w:highlight w:val="none"/>
              </w:rPr>
              <w:t></w:t>
            </w:r>
            <w:r>
              <w:rPr>
                <w:rFonts w:hint="eastAsia" w:ascii="Wingdings 2" w:hAnsi="Wingdings 2"/>
                <w:color w:val="auto"/>
                <w:szCs w:val="21"/>
                <w:highlight w:val="none"/>
              </w:rPr>
              <w:t>中型企业</w:t>
            </w:r>
          </w:p>
          <w:p w14:paraId="0460F8ED">
            <w:pPr>
              <w:spacing w:line="276" w:lineRule="auto"/>
              <w:ind w:left="-38"/>
              <w:rPr>
                <w:color w:val="auto"/>
                <w:highlight w:val="none"/>
              </w:rPr>
            </w:pPr>
            <w:r>
              <w:rPr>
                <w:rFonts w:ascii="Wingdings 2" w:hAnsi="Wingdings 2"/>
                <w:color w:val="auto"/>
                <w:szCs w:val="21"/>
                <w:highlight w:val="none"/>
              </w:rPr>
              <w:sym w:font="Wingdings 2" w:char="00A3"/>
            </w:r>
            <w:r>
              <w:rPr>
                <w:rFonts w:hint="eastAsia" w:ascii="Wingdings 2" w:hAnsi="Wingdings 2"/>
                <w:color w:val="auto"/>
                <w:szCs w:val="21"/>
                <w:highlight w:val="none"/>
              </w:rPr>
              <w:t>小型企业</w:t>
            </w:r>
            <w:r>
              <w:rPr>
                <w:rFonts w:ascii="Wingdings 2" w:hAnsi="Wingdings 2"/>
                <w:color w:val="auto"/>
                <w:szCs w:val="21"/>
                <w:highlight w:val="none"/>
              </w:rPr>
              <w:t></w:t>
            </w:r>
            <w:r>
              <w:rPr>
                <w:rFonts w:hint="eastAsia" w:ascii="Wingdings 2" w:hAnsi="Wingdings 2"/>
                <w:color w:val="auto"/>
                <w:szCs w:val="21"/>
                <w:highlight w:val="none"/>
              </w:rPr>
              <w:t>微型企业</w:t>
            </w:r>
          </w:p>
        </w:tc>
      </w:tr>
      <w:tr w14:paraId="1914456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2CEA00D2">
            <w:pPr>
              <w:spacing w:line="276" w:lineRule="auto"/>
              <w:jc w:val="center"/>
              <w:rPr>
                <w:rFonts w:ascii="宋体" w:hAnsi="宋体"/>
                <w:color w:val="auto"/>
                <w:szCs w:val="21"/>
                <w:highlight w:val="none"/>
              </w:rPr>
            </w:pPr>
            <w:r>
              <w:rPr>
                <w:rFonts w:hint="eastAsia" w:ascii="宋体" w:hAnsi="宋体"/>
                <w:color w:val="auto"/>
                <w:szCs w:val="21"/>
                <w:highlight w:val="none"/>
              </w:rPr>
              <w:t>7</w:t>
            </w:r>
          </w:p>
        </w:tc>
        <w:tc>
          <w:tcPr>
            <w:tcW w:w="4823" w:type="dxa"/>
            <w:tcBorders>
              <w:top w:val="single" w:color="auto" w:sz="4" w:space="0"/>
              <w:left w:val="single" w:color="auto" w:sz="4" w:space="0"/>
              <w:bottom w:val="single" w:color="auto" w:sz="4" w:space="0"/>
              <w:right w:val="single" w:color="auto" w:sz="4" w:space="0"/>
            </w:tcBorders>
            <w:vAlign w:val="center"/>
          </w:tcPr>
          <w:p w14:paraId="17E95E8C">
            <w:pPr>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备注</w:t>
            </w:r>
          </w:p>
        </w:tc>
        <w:tc>
          <w:tcPr>
            <w:tcW w:w="3215" w:type="dxa"/>
            <w:tcBorders>
              <w:top w:val="single" w:color="auto" w:sz="4" w:space="0"/>
              <w:left w:val="single" w:color="auto" w:sz="4" w:space="0"/>
              <w:bottom w:val="single" w:color="auto" w:sz="4" w:space="0"/>
              <w:right w:val="single" w:color="auto" w:sz="4" w:space="0"/>
            </w:tcBorders>
            <w:vAlign w:val="center"/>
          </w:tcPr>
          <w:p w14:paraId="060BC56B">
            <w:pPr>
              <w:spacing w:line="276" w:lineRule="auto"/>
              <w:ind w:left="-38"/>
              <w:jc w:val="center"/>
              <w:rPr>
                <w:rFonts w:ascii="宋体" w:hAnsi="宋体"/>
                <w:color w:val="auto"/>
                <w:szCs w:val="21"/>
                <w:highlight w:val="none"/>
              </w:rPr>
            </w:pPr>
          </w:p>
        </w:tc>
      </w:tr>
    </w:tbl>
    <w:p w14:paraId="44C22047">
      <w:pPr>
        <w:spacing w:line="276" w:lineRule="auto"/>
        <w:ind w:left="918" w:hanging="917" w:hangingChars="437"/>
        <w:jc w:val="left"/>
        <w:rPr>
          <w:rFonts w:ascii="宋体" w:hAnsi="宋体"/>
          <w:color w:val="auto"/>
          <w:szCs w:val="21"/>
          <w:highlight w:val="none"/>
        </w:rPr>
      </w:pPr>
      <w:r>
        <w:rPr>
          <w:rFonts w:hint="eastAsia" w:ascii="宋体" w:hAnsi="宋体"/>
          <w:color w:val="auto"/>
          <w:szCs w:val="21"/>
          <w:highlight w:val="none"/>
        </w:rPr>
        <w:t xml:space="preserve">说明： 1．报价用人民币表示，单位为“ 元”。 </w:t>
      </w:r>
    </w:p>
    <w:p w14:paraId="57391AAB">
      <w:pP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2．价格应按照招标文件第二章“投标人须知”中第12条的要求进行报价。</w:t>
      </w:r>
    </w:p>
    <w:p w14:paraId="6DB543D9">
      <w:pP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 xml:space="preserve"> </w:t>
      </w:r>
      <w:r>
        <w:rPr>
          <w:rFonts w:hint="eastAsia" w:ascii="宋体" w:hAnsi="宋体"/>
          <w:color w:val="auto"/>
          <w:szCs w:val="21"/>
          <w:highlight w:val="none"/>
        </w:rPr>
        <w:t>如果以文字表示的数值与以数字表示的数值不一致，以文字为准修正数字。</w:t>
      </w:r>
    </w:p>
    <w:p w14:paraId="5C9F45B5">
      <w:pPr>
        <w:spacing w:before="100" w:beforeAutospacing="1" w:after="100" w:afterAutospacing="1" w:line="276" w:lineRule="auto"/>
        <w:ind w:firstLine="2902" w:firstLineChars="1382"/>
        <w:rPr>
          <w:rFonts w:ascii="宋体" w:hAnsi="宋体"/>
          <w:bCs/>
          <w:color w:val="auto"/>
          <w:szCs w:val="21"/>
          <w:highlight w:val="none"/>
          <w:lang w:val="zh-CN"/>
        </w:rPr>
      </w:pPr>
    </w:p>
    <w:p w14:paraId="52BB9AAF">
      <w:pPr>
        <w:spacing w:before="100" w:beforeAutospacing="1" w:after="100" w:afterAutospacing="1" w:line="276" w:lineRule="auto"/>
        <w:ind w:firstLine="2902" w:firstLineChars="1382"/>
        <w:rPr>
          <w:rFonts w:ascii="宋体" w:hAnsi="宋体"/>
          <w:bCs/>
          <w:color w:val="auto"/>
          <w:szCs w:val="21"/>
          <w:highlight w:val="none"/>
          <w:u w:val="single"/>
          <w:lang w:val="zh-CN"/>
        </w:rPr>
      </w:pPr>
      <w:r>
        <w:rPr>
          <w:rFonts w:hint="eastAsia" w:ascii="宋体" w:hAnsi="宋体"/>
          <w:bCs/>
          <w:color w:val="auto"/>
          <w:szCs w:val="21"/>
          <w:highlight w:val="none"/>
          <w:lang w:val="zh-CN"/>
        </w:rPr>
        <w:t>投标人名称（公章）：</w:t>
      </w:r>
      <w:r>
        <w:rPr>
          <w:rFonts w:hint="eastAsia" w:ascii="宋体" w:hAnsi="宋体"/>
          <w:bCs/>
          <w:color w:val="auto"/>
          <w:szCs w:val="21"/>
          <w:highlight w:val="none"/>
          <w:u w:val="single"/>
          <w:lang w:val="zh-CN"/>
        </w:rPr>
        <w:t xml:space="preserve">                         </w:t>
      </w:r>
    </w:p>
    <w:p w14:paraId="387087AA">
      <w:pPr>
        <w:spacing w:before="100" w:beforeAutospacing="1" w:after="100" w:afterAutospacing="1" w:line="276" w:lineRule="auto"/>
        <w:ind w:firstLine="2902" w:firstLineChars="1382"/>
        <w:rPr>
          <w:rFonts w:ascii="宋体" w:hAnsi="宋体"/>
          <w:b/>
          <w:bCs/>
          <w:color w:val="auto"/>
          <w:szCs w:val="21"/>
          <w:highlight w:val="none"/>
          <w:u w:val="single"/>
          <w:lang w:val="zh-CN"/>
        </w:rPr>
      </w:pPr>
      <w:r>
        <w:rPr>
          <w:rFonts w:hint="eastAsia" w:ascii="宋体" w:hAnsi="宋体"/>
          <w:color w:val="auto"/>
          <w:kern w:val="0"/>
          <w:szCs w:val="21"/>
          <w:highlight w:val="none"/>
          <w:shd w:val="clear" w:color="auto" w:fill="FFFFFF"/>
        </w:rPr>
        <w:t>法定代表人或其</w:t>
      </w:r>
      <w:r>
        <w:rPr>
          <w:rFonts w:hint="eastAsia" w:ascii="宋体" w:hAnsi="宋体"/>
          <w:bCs/>
          <w:color w:val="auto"/>
          <w:szCs w:val="21"/>
          <w:highlight w:val="none"/>
          <w:lang w:val="zh-CN"/>
        </w:rPr>
        <w:t>授权代表（签字或盖章）：</w:t>
      </w:r>
      <w:r>
        <w:rPr>
          <w:rFonts w:hint="eastAsia" w:ascii="宋体" w:hAnsi="宋体"/>
          <w:bCs/>
          <w:color w:val="auto"/>
          <w:szCs w:val="21"/>
          <w:highlight w:val="none"/>
          <w:u w:val="single"/>
          <w:lang w:val="zh-CN"/>
        </w:rPr>
        <w:t xml:space="preserve">                  </w:t>
      </w:r>
    </w:p>
    <w:p w14:paraId="24B65B3D">
      <w:pPr>
        <w:spacing w:line="276" w:lineRule="auto"/>
        <w:ind w:firstLine="2902" w:firstLineChars="1382"/>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5CFFC27A">
      <w:pPr>
        <w:widowControl/>
        <w:jc w:val="left"/>
        <w:rPr>
          <w:color w:val="auto"/>
          <w:highlight w:val="none"/>
        </w:rPr>
      </w:pPr>
      <w:r>
        <w:rPr>
          <w:color w:val="auto"/>
          <w:highlight w:val="none"/>
        </w:rPr>
        <w:br w:type="page"/>
      </w:r>
    </w:p>
    <w:p w14:paraId="1127E423">
      <w:pPr>
        <w:pStyle w:val="30"/>
        <w:numPr>
          <w:ilvl w:val="0"/>
          <w:numId w:val="58"/>
        </w:numPr>
        <w:spacing w:line="276" w:lineRule="auto"/>
        <w:ind w:firstLineChars="0"/>
        <w:outlineLvl w:val="2"/>
        <w:rPr>
          <w:color w:val="auto"/>
          <w:szCs w:val="21"/>
          <w:highlight w:val="none"/>
        </w:rPr>
      </w:pPr>
      <w:r>
        <w:rPr>
          <w:rFonts w:hint="eastAsia"/>
          <w:color w:val="auto"/>
          <w:szCs w:val="21"/>
          <w:highlight w:val="none"/>
        </w:rPr>
        <w:t>报价明细表</w:t>
      </w:r>
    </w:p>
    <w:p w14:paraId="44C8F8CD">
      <w:pPr>
        <w:spacing w:line="276" w:lineRule="auto"/>
        <w:jc w:val="center"/>
        <w:rPr>
          <w:b/>
          <w:color w:val="auto"/>
          <w:szCs w:val="21"/>
          <w:highlight w:val="none"/>
        </w:rPr>
      </w:pPr>
      <w:r>
        <w:rPr>
          <w:rFonts w:hint="eastAsia"/>
          <w:b/>
          <w:color w:val="auto"/>
          <w:szCs w:val="21"/>
          <w:highlight w:val="none"/>
        </w:rPr>
        <w:t>报价明细表</w:t>
      </w:r>
    </w:p>
    <w:p w14:paraId="09BF59A3">
      <w:pPr>
        <w:spacing w:line="276" w:lineRule="auto"/>
        <w:jc w:val="left"/>
        <w:rPr>
          <w:rFonts w:ascii="宋体" w:hAnsi="宋体"/>
          <w:color w:val="auto"/>
          <w:szCs w:val="21"/>
          <w:highlight w:val="none"/>
          <w:u w:val="single"/>
          <w:lang w:val="zh-CN"/>
        </w:rPr>
      </w:pPr>
      <w:r>
        <w:rPr>
          <w:rFonts w:hint="eastAsia" w:ascii="宋体" w:hAnsi="宋体"/>
          <w:color w:val="auto"/>
          <w:szCs w:val="21"/>
          <w:highlight w:val="none"/>
          <w:lang w:val="zh-CN"/>
        </w:rPr>
        <w:t>投 标 人：</w:t>
      </w:r>
      <w:r>
        <w:rPr>
          <w:rFonts w:hint="eastAsia" w:ascii="宋体" w:hAnsi="宋体"/>
          <w:color w:val="auto"/>
          <w:szCs w:val="21"/>
          <w:highlight w:val="none"/>
          <w:u w:val="single"/>
          <w:lang w:val="zh-CN"/>
        </w:rPr>
        <w:t xml:space="preserve">                     </w:t>
      </w:r>
    </w:p>
    <w:p w14:paraId="1951B4EF">
      <w:pPr>
        <w:spacing w:line="276" w:lineRule="auto"/>
        <w:jc w:val="left"/>
        <w:rPr>
          <w:rFonts w:ascii="宋体" w:hAnsi="宋体"/>
          <w:color w:val="auto"/>
          <w:szCs w:val="21"/>
          <w:highlight w:val="none"/>
          <w:u w:val="single"/>
          <w:lang w:val="zh-CN"/>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w:t>
      </w:r>
      <w:r>
        <w:rPr>
          <w:rFonts w:hint="eastAsia" w:ascii="宋体" w:hAnsi="宋体"/>
          <w:color w:val="auto"/>
          <w:szCs w:val="21"/>
          <w:highlight w:val="none"/>
          <w:lang w:val="zh-CN"/>
        </w:rPr>
        <w:t>项目名称</w:t>
      </w:r>
      <w:r>
        <w:rPr>
          <w:rFonts w:hint="eastAsia" w:ascii="宋体" w:hAnsi="宋体"/>
          <w:bCs/>
          <w:color w:val="auto"/>
          <w:szCs w:val="21"/>
          <w:highlight w:val="none"/>
          <w:lang w:val="zh-CN"/>
        </w:rPr>
        <w:t>：</w:t>
      </w:r>
      <w:r>
        <w:rPr>
          <w:rFonts w:hint="eastAsia" w:ascii="宋体" w:hAnsi="宋体"/>
          <w:bCs/>
          <w:color w:val="auto"/>
          <w:szCs w:val="21"/>
          <w:highlight w:val="none"/>
          <w:u w:val="single"/>
          <w:lang w:val="zh-CN"/>
        </w:rPr>
        <w:t xml:space="preserve">           </w:t>
      </w:r>
    </w:p>
    <w:tbl>
      <w:tblPr>
        <w:tblStyle w:val="22"/>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3"/>
        <w:gridCol w:w="4801"/>
        <w:gridCol w:w="1770"/>
        <w:gridCol w:w="2373"/>
      </w:tblGrid>
      <w:tr w14:paraId="5D72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388" w:type="pct"/>
          </w:tcPr>
          <w:p w14:paraId="5D131FC1">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序号</w:t>
            </w:r>
          </w:p>
        </w:tc>
        <w:tc>
          <w:tcPr>
            <w:tcW w:w="2474" w:type="pct"/>
          </w:tcPr>
          <w:p w14:paraId="374EDFA8">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子项</w:t>
            </w:r>
          </w:p>
        </w:tc>
        <w:tc>
          <w:tcPr>
            <w:tcW w:w="912" w:type="pct"/>
          </w:tcPr>
          <w:p w14:paraId="3850F9AE">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报价金额（元）</w:t>
            </w:r>
          </w:p>
        </w:tc>
        <w:tc>
          <w:tcPr>
            <w:tcW w:w="1223" w:type="pct"/>
          </w:tcPr>
          <w:p w14:paraId="5F449B21">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14:paraId="1F039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388" w:type="pct"/>
            <w:vAlign w:val="center"/>
          </w:tcPr>
          <w:p w14:paraId="23A71CB0">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 1</w:t>
            </w:r>
          </w:p>
        </w:tc>
        <w:tc>
          <w:tcPr>
            <w:tcW w:w="2474" w:type="pct"/>
            <w:vAlign w:val="center"/>
          </w:tcPr>
          <w:p w14:paraId="38CBC4F4">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值班电工经费（含工资福利、加班、保险、劳保、服装等所有相关费用、含税）</w:t>
            </w:r>
          </w:p>
        </w:tc>
        <w:tc>
          <w:tcPr>
            <w:tcW w:w="912" w:type="pct"/>
            <w:vAlign w:val="center"/>
          </w:tcPr>
          <w:p w14:paraId="1DDA3A69">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p>
        </w:tc>
        <w:tc>
          <w:tcPr>
            <w:tcW w:w="1223" w:type="pct"/>
            <w:vAlign w:val="center"/>
          </w:tcPr>
          <w:p w14:paraId="53600B43">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p>
        </w:tc>
      </w:tr>
      <w:tr w14:paraId="091AA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388" w:type="pct"/>
            <w:vAlign w:val="center"/>
          </w:tcPr>
          <w:p w14:paraId="1D22DA59">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p>
        </w:tc>
        <w:tc>
          <w:tcPr>
            <w:tcW w:w="2474" w:type="pct"/>
            <w:vAlign w:val="center"/>
          </w:tcPr>
          <w:p w14:paraId="461C26DA">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管理及技术人员经费（含工资福利、加班、保险、劳保、服装等所有相关费用、含税）</w:t>
            </w:r>
          </w:p>
        </w:tc>
        <w:tc>
          <w:tcPr>
            <w:tcW w:w="912" w:type="pct"/>
            <w:vAlign w:val="center"/>
          </w:tcPr>
          <w:p w14:paraId="3C250B82">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p>
        </w:tc>
        <w:tc>
          <w:tcPr>
            <w:tcW w:w="1223" w:type="pct"/>
            <w:vAlign w:val="center"/>
          </w:tcPr>
          <w:p w14:paraId="2E7A9CC9">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p>
        </w:tc>
      </w:tr>
      <w:tr w14:paraId="08C3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388" w:type="pct"/>
            <w:vAlign w:val="center"/>
          </w:tcPr>
          <w:p w14:paraId="3B5F2505">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w:t>
            </w:r>
          </w:p>
        </w:tc>
        <w:tc>
          <w:tcPr>
            <w:tcW w:w="2474" w:type="pct"/>
            <w:vAlign w:val="center"/>
          </w:tcPr>
          <w:p w14:paraId="7185567F">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专职技术人员经费（含工资福利、加班、保险、劳保、服装等所有相关费用、含税）</w:t>
            </w:r>
          </w:p>
          <w:p w14:paraId="2509CD0F">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cs="宋体"/>
                <w:b/>
                <w:bCs/>
                <w:color w:val="auto"/>
                <w:sz w:val="24"/>
                <w:szCs w:val="24"/>
                <w:highlight w:val="none"/>
                <w:vertAlign w:val="baseline"/>
                <w:lang w:val="en-US" w:eastAsia="zh-CN"/>
              </w:rPr>
              <w:t>此费用为包干价</w:t>
            </w:r>
          </w:p>
        </w:tc>
        <w:tc>
          <w:tcPr>
            <w:tcW w:w="912" w:type="pct"/>
            <w:vAlign w:val="center"/>
          </w:tcPr>
          <w:p w14:paraId="2090F3FD">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100000.00</w:t>
            </w:r>
          </w:p>
        </w:tc>
        <w:tc>
          <w:tcPr>
            <w:tcW w:w="1223" w:type="pct"/>
            <w:vAlign w:val="center"/>
          </w:tcPr>
          <w:p w14:paraId="28DFADB5">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此项为不可竞争费用</w:t>
            </w:r>
          </w:p>
        </w:tc>
      </w:tr>
      <w:tr w14:paraId="1FDA7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388" w:type="pct"/>
            <w:vAlign w:val="center"/>
          </w:tcPr>
          <w:p w14:paraId="703F9F07">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p>
        </w:tc>
        <w:tc>
          <w:tcPr>
            <w:tcW w:w="2474" w:type="pct"/>
            <w:vAlign w:val="center"/>
          </w:tcPr>
          <w:p w14:paraId="79EB3083">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小额维修费（单项维修材料费1000元以下、含税）</w:t>
            </w:r>
          </w:p>
        </w:tc>
        <w:tc>
          <w:tcPr>
            <w:tcW w:w="912" w:type="pct"/>
            <w:vAlign w:val="center"/>
          </w:tcPr>
          <w:p w14:paraId="7A756005">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p>
        </w:tc>
        <w:tc>
          <w:tcPr>
            <w:tcW w:w="1223" w:type="pct"/>
            <w:vAlign w:val="center"/>
          </w:tcPr>
          <w:p w14:paraId="07A1EBDE">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p>
        </w:tc>
      </w:tr>
      <w:tr w14:paraId="4C41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388" w:type="pct"/>
            <w:vAlign w:val="center"/>
          </w:tcPr>
          <w:p w14:paraId="3F01723C">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w:t>
            </w:r>
          </w:p>
        </w:tc>
        <w:tc>
          <w:tcPr>
            <w:tcW w:w="2474" w:type="pct"/>
            <w:vAlign w:val="center"/>
          </w:tcPr>
          <w:p w14:paraId="41D44908">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预防性试验费（2年1次、含税）</w:t>
            </w:r>
          </w:p>
        </w:tc>
        <w:tc>
          <w:tcPr>
            <w:tcW w:w="912" w:type="pct"/>
            <w:vAlign w:val="center"/>
          </w:tcPr>
          <w:p w14:paraId="1EC58AF6">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p>
        </w:tc>
        <w:tc>
          <w:tcPr>
            <w:tcW w:w="1223" w:type="pct"/>
            <w:vAlign w:val="center"/>
          </w:tcPr>
          <w:p w14:paraId="1B7C135E">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年报价按50%的比例</w:t>
            </w:r>
          </w:p>
        </w:tc>
      </w:tr>
      <w:tr w14:paraId="462AF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388" w:type="pct"/>
            <w:vAlign w:val="center"/>
          </w:tcPr>
          <w:p w14:paraId="6E5BEE98">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6</w:t>
            </w:r>
          </w:p>
        </w:tc>
        <w:tc>
          <w:tcPr>
            <w:tcW w:w="2474" w:type="pct"/>
            <w:vAlign w:val="center"/>
          </w:tcPr>
          <w:p w14:paraId="021DAF54">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工具费（含定期检测费、含税）</w:t>
            </w:r>
          </w:p>
        </w:tc>
        <w:tc>
          <w:tcPr>
            <w:tcW w:w="912" w:type="pct"/>
            <w:vAlign w:val="center"/>
          </w:tcPr>
          <w:p w14:paraId="12BBBBA4">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p>
        </w:tc>
        <w:tc>
          <w:tcPr>
            <w:tcW w:w="1223" w:type="pct"/>
            <w:vAlign w:val="center"/>
          </w:tcPr>
          <w:p w14:paraId="593D710F">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p>
        </w:tc>
      </w:tr>
      <w:tr w14:paraId="05F94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388" w:type="pct"/>
            <w:vAlign w:val="center"/>
          </w:tcPr>
          <w:p w14:paraId="3806B9F4">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7</w:t>
            </w:r>
          </w:p>
        </w:tc>
        <w:tc>
          <w:tcPr>
            <w:tcW w:w="2474" w:type="pct"/>
            <w:vAlign w:val="center"/>
          </w:tcPr>
          <w:p w14:paraId="52606DE8">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办公费（含税）</w:t>
            </w:r>
          </w:p>
        </w:tc>
        <w:tc>
          <w:tcPr>
            <w:tcW w:w="912" w:type="pct"/>
            <w:vAlign w:val="center"/>
          </w:tcPr>
          <w:p w14:paraId="0BF88E65">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p>
        </w:tc>
        <w:tc>
          <w:tcPr>
            <w:tcW w:w="1223" w:type="pct"/>
            <w:vAlign w:val="center"/>
          </w:tcPr>
          <w:p w14:paraId="671E467B">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p>
        </w:tc>
      </w:tr>
      <w:tr w14:paraId="386AE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388" w:type="pct"/>
            <w:vAlign w:val="center"/>
          </w:tcPr>
          <w:p w14:paraId="09F2A20D">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2474" w:type="pct"/>
            <w:vAlign w:val="center"/>
          </w:tcPr>
          <w:p w14:paraId="2CC33473">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其他（含税）</w:t>
            </w:r>
          </w:p>
        </w:tc>
        <w:tc>
          <w:tcPr>
            <w:tcW w:w="912" w:type="pct"/>
            <w:vAlign w:val="center"/>
          </w:tcPr>
          <w:p w14:paraId="1911D5AC">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p>
        </w:tc>
        <w:tc>
          <w:tcPr>
            <w:tcW w:w="1223" w:type="pct"/>
            <w:vAlign w:val="center"/>
          </w:tcPr>
          <w:p w14:paraId="4D55CF3D">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p>
        </w:tc>
      </w:tr>
      <w:tr w14:paraId="2C986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388" w:type="pct"/>
          </w:tcPr>
          <w:p w14:paraId="5CD9F5C3">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p>
        </w:tc>
        <w:tc>
          <w:tcPr>
            <w:tcW w:w="2474" w:type="pct"/>
          </w:tcPr>
          <w:p w14:paraId="218A46FE">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合    计</w:t>
            </w:r>
          </w:p>
        </w:tc>
        <w:tc>
          <w:tcPr>
            <w:tcW w:w="912" w:type="pct"/>
          </w:tcPr>
          <w:p w14:paraId="7AA2A72D">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p>
        </w:tc>
        <w:tc>
          <w:tcPr>
            <w:tcW w:w="1223" w:type="pct"/>
          </w:tcPr>
          <w:p w14:paraId="47C6BC08">
            <w:pPr>
              <w:numPr>
                <w:ilvl w:val="0"/>
                <w:numId w:val="0"/>
              </w:numPr>
              <w:spacing w:line="276" w:lineRule="auto"/>
              <w:jc w:val="center"/>
              <w:rPr>
                <w:rFonts w:hint="eastAsia" w:ascii="宋体" w:hAnsi="宋体" w:eastAsia="宋体" w:cs="宋体"/>
                <w:color w:val="auto"/>
                <w:sz w:val="21"/>
                <w:szCs w:val="21"/>
                <w:highlight w:val="none"/>
                <w:vertAlign w:val="baseline"/>
                <w:lang w:val="en-US" w:eastAsia="zh-CN"/>
              </w:rPr>
            </w:pPr>
          </w:p>
        </w:tc>
      </w:tr>
    </w:tbl>
    <w:p w14:paraId="2D30B628">
      <w:pPr>
        <w:spacing w:line="276" w:lineRule="auto"/>
        <w:ind w:left="918" w:hanging="917" w:hangingChars="437"/>
        <w:jc w:val="left"/>
        <w:rPr>
          <w:rFonts w:ascii="宋体" w:hAnsi="宋体"/>
          <w:color w:val="auto"/>
          <w:szCs w:val="21"/>
          <w:highlight w:val="none"/>
        </w:rPr>
      </w:pPr>
      <w:r>
        <w:rPr>
          <w:rFonts w:hint="eastAsia" w:ascii="宋体" w:hAnsi="宋体"/>
          <w:color w:val="auto"/>
          <w:szCs w:val="21"/>
          <w:highlight w:val="none"/>
        </w:rPr>
        <w:t>说明： 1．币种</w:t>
      </w:r>
      <w:r>
        <w:rPr>
          <w:rFonts w:ascii="宋体" w:hAnsi="宋体"/>
          <w:color w:val="auto"/>
          <w:szCs w:val="21"/>
          <w:highlight w:val="none"/>
        </w:rPr>
        <w:t>单位与《</w:t>
      </w:r>
      <w:r>
        <w:rPr>
          <w:rFonts w:hint="eastAsia" w:ascii="宋体" w:hAnsi="宋体"/>
          <w:color w:val="auto"/>
          <w:szCs w:val="21"/>
          <w:highlight w:val="none"/>
        </w:rPr>
        <w:t>报价一览表》一致，单位为“元”。</w:t>
      </w:r>
    </w:p>
    <w:p w14:paraId="5C5FC5B1">
      <w:pP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2．应根据采购需求进行分项报价，报价范围应包含全部采购内容。报价明细表合计应与《报价一览表》中的投标总报价一致。</w:t>
      </w:r>
    </w:p>
    <w:p w14:paraId="74321151">
      <w:pP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3．未提供详细的分项报价表</w:t>
      </w:r>
      <w:r>
        <w:rPr>
          <w:rFonts w:hint="eastAsia" w:ascii="宋体" w:hAnsi="宋体" w:cs="Corbel"/>
          <w:color w:val="auto"/>
          <w:szCs w:val="21"/>
          <w:highlight w:val="none"/>
        </w:rPr>
        <w:t>，</w:t>
      </w:r>
      <w:r>
        <w:rPr>
          <w:rFonts w:hint="eastAsia" w:ascii="宋体" w:hAnsi="宋体"/>
          <w:color w:val="auto"/>
          <w:szCs w:val="21"/>
          <w:highlight w:val="none"/>
        </w:rPr>
        <w:t>导致的后果由投标人自行承担。</w:t>
      </w:r>
    </w:p>
    <w:p w14:paraId="626CBE9C">
      <w:pPr>
        <w:spacing w:line="276" w:lineRule="auto"/>
        <w:ind w:left="832" w:hanging="831" w:hangingChars="396"/>
        <w:jc w:val="left"/>
        <w:rPr>
          <w:rFonts w:ascii="宋体" w:hAnsi="宋体"/>
          <w:color w:val="auto"/>
          <w:szCs w:val="21"/>
          <w:highlight w:val="none"/>
        </w:rPr>
      </w:pPr>
    </w:p>
    <w:p w14:paraId="345D5B54">
      <w:pPr>
        <w:spacing w:line="276" w:lineRule="auto"/>
        <w:ind w:left="832" w:hanging="831" w:hangingChars="396"/>
        <w:jc w:val="left"/>
        <w:rPr>
          <w:rFonts w:ascii="宋体" w:hAnsi="宋体"/>
          <w:color w:val="auto"/>
          <w:szCs w:val="21"/>
          <w:highlight w:val="none"/>
        </w:rPr>
      </w:pPr>
    </w:p>
    <w:p w14:paraId="581D0AD3">
      <w:pPr>
        <w:spacing w:line="276" w:lineRule="auto"/>
        <w:ind w:left="832" w:hanging="831" w:hangingChars="396"/>
        <w:jc w:val="left"/>
        <w:rPr>
          <w:rFonts w:ascii="宋体" w:hAnsi="宋体"/>
          <w:color w:val="auto"/>
          <w:szCs w:val="21"/>
          <w:highlight w:val="none"/>
        </w:rPr>
      </w:pPr>
    </w:p>
    <w:p w14:paraId="18A4BA16">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5960B092">
      <w:pPr>
        <w:spacing w:before="100" w:beforeAutospacing="1" w:after="100" w:afterAutospacing="1" w:line="276" w:lineRule="auto"/>
        <w:ind w:firstLine="2902" w:firstLineChars="1382"/>
        <w:rPr>
          <w:rFonts w:hAnsi="宋体"/>
          <w:bCs/>
          <w:color w:val="auto"/>
          <w:szCs w:val="21"/>
          <w:highlight w:val="none"/>
          <w:u w:val="single"/>
        </w:rPr>
      </w:pPr>
      <w:r>
        <w:rPr>
          <w:rFonts w:hint="eastAsia" w:ascii="宋体" w:hAnsi="宋体"/>
          <w:color w:val="auto"/>
          <w:kern w:val="0"/>
          <w:szCs w:val="21"/>
          <w:highlight w:val="none"/>
          <w:shd w:val="clear" w:color="auto" w:fill="FFFFFF"/>
        </w:rPr>
        <w:t>法定代表人或其</w:t>
      </w:r>
      <w:r>
        <w:rPr>
          <w:rFonts w:hint="eastAsia" w:ascii="宋体" w:hAnsi="宋体"/>
          <w:bCs/>
          <w:color w:val="auto"/>
          <w:szCs w:val="21"/>
          <w:highlight w:val="none"/>
          <w:lang w:val="zh-CN"/>
        </w:rPr>
        <w:t>授权代表（签字或盖章）：</w:t>
      </w:r>
      <w:r>
        <w:rPr>
          <w:rFonts w:hAnsi="宋体"/>
          <w:bCs/>
          <w:color w:val="auto"/>
          <w:szCs w:val="21"/>
          <w:highlight w:val="none"/>
          <w:u w:val="single"/>
        </w:rPr>
        <w:t xml:space="preserve">                  </w:t>
      </w:r>
    </w:p>
    <w:p w14:paraId="7FB1FF6E">
      <w:pPr>
        <w:spacing w:before="100" w:beforeAutospacing="1" w:after="100" w:afterAutospacing="1" w:line="276" w:lineRule="auto"/>
        <w:ind w:firstLine="2902" w:firstLineChars="1382"/>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1A7EEEC6">
      <w:pPr>
        <w:rPr>
          <w:color w:val="auto"/>
          <w:highlight w:val="none"/>
        </w:rPr>
      </w:pPr>
    </w:p>
    <w:p w14:paraId="35E6F9F1">
      <w:pPr>
        <w:rPr>
          <w:color w:val="auto"/>
          <w:highlight w:val="none"/>
        </w:rPr>
      </w:pPr>
    </w:p>
    <w:p w14:paraId="74EC4CDA">
      <w:pPr>
        <w:rPr>
          <w:color w:val="auto"/>
          <w:highlight w:val="none"/>
        </w:rPr>
      </w:pPr>
    </w:p>
    <w:p w14:paraId="3D8B7DBE">
      <w:pPr>
        <w:spacing w:before="100" w:beforeAutospacing="1" w:after="100" w:afterAutospacing="1" w:line="276" w:lineRule="auto"/>
        <w:jc w:val="center"/>
        <w:rPr>
          <w:rFonts w:ascii="宋体" w:hAnsi="宋体"/>
          <w:color w:val="auto"/>
          <w:kern w:val="0"/>
          <w:szCs w:val="21"/>
          <w:highlight w:val="none"/>
        </w:rPr>
      </w:pPr>
      <w:r>
        <w:rPr>
          <w:rFonts w:hint="eastAsia" w:ascii="宋体" w:hAnsi="宋体"/>
          <w:color w:val="auto"/>
          <w:kern w:val="0"/>
          <w:szCs w:val="21"/>
          <w:highlight w:val="none"/>
        </w:rPr>
        <w:br w:type="page"/>
      </w:r>
    </w:p>
    <w:p w14:paraId="12AA0DF4">
      <w:pPr>
        <w:pStyle w:val="30"/>
        <w:numPr>
          <w:ilvl w:val="0"/>
          <w:numId w:val="58"/>
        </w:numPr>
        <w:spacing w:line="276" w:lineRule="auto"/>
        <w:ind w:firstLineChars="0"/>
        <w:outlineLvl w:val="2"/>
        <w:rPr>
          <w:color w:val="auto"/>
          <w:szCs w:val="21"/>
          <w:highlight w:val="none"/>
        </w:rPr>
      </w:pPr>
      <w:r>
        <w:rPr>
          <w:rFonts w:hint="eastAsia"/>
          <w:color w:val="auto"/>
          <w:szCs w:val="21"/>
          <w:highlight w:val="none"/>
        </w:rPr>
        <w:t>报价范围以外的备品备件、耗材/服务价格表（如有）</w:t>
      </w:r>
    </w:p>
    <w:p w14:paraId="43FB3577">
      <w:pPr>
        <w:spacing w:before="100" w:beforeAutospacing="1" w:after="100" w:afterAutospacing="1" w:line="276" w:lineRule="auto"/>
        <w:jc w:val="center"/>
        <w:rPr>
          <w:rFonts w:ascii="宋体" w:hAnsi="宋体"/>
          <w:b/>
          <w:color w:val="auto"/>
          <w:szCs w:val="21"/>
          <w:highlight w:val="none"/>
        </w:rPr>
      </w:pPr>
      <w:r>
        <w:rPr>
          <w:rFonts w:ascii="宋体" w:hAnsi="宋体"/>
          <w:b/>
          <w:color w:val="auto"/>
          <w:szCs w:val="21"/>
          <w:highlight w:val="none"/>
        </w:rPr>
        <w:t>报价</w:t>
      </w:r>
      <w:r>
        <w:rPr>
          <w:rFonts w:hint="eastAsia" w:ascii="宋体" w:hAnsi="宋体"/>
          <w:b/>
          <w:color w:val="auto"/>
          <w:szCs w:val="21"/>
          <w:highlight w:val="none"/>
        </w:rPr>
        <w:t>范围以外的备品备件、耗材/服务价格表</w:t>
      </w:r>
    </w:p>
    <w:p w14:paraId="1F962994">
      <w:pPr>
        <w:spacing w:line="276" w:lineRule="auto"/>
        <w:jc w:val="left"/>
        <w:rPr>
          <w:rFonts w:ascii="宋体" w:hAnsi="宋体"/>
          <w:color w:val="auto"/>
          <w:szCs w:val="21"/>
          <w:highlight w:val="none"/>
          <w:lang w:val="zh-CN"/>
        </w:rPr>
      </w:pPr>
      <w:r>
        <w:rPr>
          <w:rFonts w:hint="eastAsia" w:ascii="宋体" w:hAnsi="宋体"/>
          <w:color w:val="auto"/>
          <w:szCs w:val="21"/>
          <w:highlight w:val="none"/>
          <w:lang w:val="zh-CN"/>
        </w:rPr>
        <w:t xml:space="preserve">投 标 人： </w:t>
      </w:r>
      <w:r>
        <w:rPr>
          <w:rFonts w:hint="eastAsia" w:ascii="宋体" w:hAnsi="宋体"/>
          <w:color w:val="auto"/>
          <w:szCs w:val="21"/>
          <w:highlight w:val="none"/>
          <w:u w:val="single"/>
          <w:lang w:val="zh-CN"/>
        </w:rPr>
        <w:t xml:space="preserve">                    </w:t>
      </w:r>
    </w:p>
    <w:p w14:paraId="55AEC9DF">
      <w:pPr>
        <w:spacing w:line="276" w:lineRule="auto"/>
        <w:jc w:val="left"/>
        <w:rPr>
          <w:rFonts w:ascii="宋体"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w:t>
      </w:r>
      <w:r>
        <w:rPr>
          <w:rFonts w:hint="eastAsia" w:ascii="宋体" w:hAnsi="宋体"/>
          <w:color w:val="auto"/>
          <w:szCs w:val="21"/>
          <w:highlight w:val="none"/>
          <w:lang w:val="zh-CN"/>
        </w:rPr>
        <w:t>项目名称</w:t>
      </w:r>
      <w:r>
        <w:rPr>
          <w:rFonts w:hint="eastAsia" w:ascii="宋体" w:hAnsi="宋体"/>
          <w:bCs/>
          <w:color w:val="auto"/>
          <w:szCs w:val="21"/>
          <w:highlight w:val="none"/>
          <w:lang w:val="zh-CN"/>
        </w:rPr>
        <w:t>：</w:t>
      </w:r>
      <w:r>
        <w:rPr>
          <w:rFonts w:hint="eastAsia" w:ascii="宋体" w:hAnsi="宋体"/>
          <w:bCs/>
          <w:color w:val="auto"/>
          <w:szCs w:val="21"/>
          <w:highlight w:val="none"/>
          <w:u w:val="single"/>
          <w:lang w:val="zh-CN"/>
        </w:rPr>
        <w:t xml:space="preserve">           </w:t>
      </w:r>
    </w:p>
    <w:tbl>
      <w:tblPr>
        <w:tblStyle w:val="21"/>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536"/>
        <w:gridCol w:w="1276"/>
        <w:gridCol w:w="1559"/>
        <w:gridCol w:w="992"/>
      </w:tblGrid>
      <w:tr w14:paraId="53CBB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vAlign w:val="center"/>
          </w:tcPr>
          <w:p w14:paraId="660CA603">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序号</w:t>
            </w:r>
          </w:p>
        </w:tc>
        <w:tc>
          <w:tcPr>
            <w:tcW w:w="4536" w:type="dxa"/>
            <w:tcBorders>
              <w:top w:val="single" w:color="auto" w:sz="4" w:space="0"/>
              <w:left w:val="single" w:color="auto" w:sz="4" w:space="0"/>
              <w:bottom w:val="single" w:color="auto" w:sz="4" w:space="0"/>
              <w:right w:val="single" w:color="auto" w:sz="4" w:space="0"/>
            </w:tcBorders>
            <w:vAlign w:val="center"/>
          </w:tcPr>
          <w:p w14:paraId="6D58BC0A">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备品备件、耗材/服务名称（厂家、规格型号、产地）</w:t>
            </w:r>
          </w:p>
        </w:tc>
        <w:tc>
          <w:tcPr>
            <w:tcW w:w="1276" w:type="dxa"/>
            <w:tcBorders>
              <w:top w:val="single" w:color="auto" w:sz="4" w:space="0"/>
              <w:left w:val="single" w:color="auto" w:sz="4" w:space="0"/>
              <w:bottom w:val="single" w:color="auto" w:sz="4" w:space="0"/>
              <w:right w:val="single" w:color="auto" w:sz="4" w:space="0"/>
            </w:tcBorders>
            <w:vAlign w:val="center"/>
          </w:tcPr>
          <w:p w14:paraId="17C164E0">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单价</w:t>
            </w:r>
          </w:p>
        </w:tc>
        <w:tc>
          <w:tcPr>
            <w:tcW w:w="1559" w:type="dxa"/>
            <w:tcBorders>
              <w:top w:val="single" w:color="auto" w:sz="4" w:space="0"/>
              <w:left w:val="single" w:color="auto" w:sz="4" w:space="0"/>
              <w:bottom w:val="single" w:color="auto" w:sz="4" w:space="0"/>
              <w:right w:val="single" w:color="auto" w:sz="4" w:space="0"/>
            </w:tcBorders>
            <w:vAlign w:val="center"/>
          </w:tcPr>
          <w:p w14:paraId="60D3F83B">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质保期外每年所需数量</w:t>
            </w:r>
          </w:p>
        </w:tc>
        <w:tc>
          <w:tcPr>
            <w:tcW w:w="992" w:type="dxa"/>
            <w:tcBorders>
              <w:top w:val="single" w:color="auto" w:sz="4" w:space="0"/>
              <w:left w:val="single" w:color="auto" w:sz="4" w:space="0"/>
              <w:bottom w:val="single" w:color="auto" w:sz="4" w:space="0"/>
              <w:right w:val="single" w:color="auto" w:sz="4" w:space="0"/>
            </w:tcBorders>
            <w:vAlign w:val="center"/>
          </w:tcPr>
          <w:p w14:paraId="155785B2">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备注</w:t>
            </w:r>
          </w:p>
        </w:tc>
      </w:tr>
      <w:tr w14:paraId="304C8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4623105F">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1</w:t>
            </w:r>
          </w:p>
        </w:tc>
        <w:tc>
          <w:tcPr>
            <w:tcW w:w="4536" w:type="dxa"/>
            <w:tcBorders>
              <w:top w:val="single" w:color="auto" w:sz="4" w:space="0"/>
              <w:left w:val="single" w:color="auto" w:sz="4" w:space="0"/>
              <w:bottom w:val="single" w:color="auto" w:sz="4" w:space="0"/>
              <w:right w:val="single" w:color="auto" w:sz="4" w:space="0"/>
            </w:tcBorders>
          </w:tcPr>
          <w:p w14:paraId="39A5DFC4">
            <w:pP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2CE827CD">
            <w:pP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62F0A6E6">
            <w:pP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2BB77802">
            <w:pPr>
              <w:spacing w:before="100" w:beforeAutospacing="1" w:after="100" w:afterAutospacing="1" w:line="276" w:lineRule="auto"/>
              <w:rPr>
                <w:rFonts w:ascii="宋体" w:hAnsi="宋体"/>
                <w:color w:val="auto"/>
                <w:szCs w:val="21"/>
                <w:highlight w:val="none"/>
              </w:rPr>
            </w:pPr>
          </w:p>
        </w:tc>
      </w:tr>
      <w:tr w14:paraId="6F10B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E37ACA6">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2</w:t>
            </w:r>
          </w:p>
        </w:tc>
        <w:tc>
          <w:tcPr>
            <w:tcW w:w="4536" w:type="dxa"/>
            <w:tcBorders>
              <w:top w:val="single" w:color="auto" w:sz="4" w:space="0"/>
              <w:left w:val="single" w:color="auto" w:sz="4" w:space="0"/>
              <w:bottom w:val="single" w:color="auto" w:sz="4" w:space="0"/>
              <w:right w:val="single" w:color="auto" w:sz="4" w:space="0"/>
            </w:tcBorders>
          </w:tcPr>
          <w:p w14:paraId="78CDCB58">
            <w:pP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5A9E9305">
            <w:pP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70FA70D6">
            <w:pP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080E2E25">
            <w:pPr>
              <w:spacing w:before="100" w:beforeAutospacing="1" w:after="100" w:afterAutospacing="1" w:line="276" w:lineRule="auto"/>
              <w:rPr>
                <w:rFonts w:ascii="宋体" w:hAnsi="宋体"/>
                <w:color w:val="auto"/>
                <w:szCs w:val="21"/>
                <w:highlight w:val="none"/>
              </w:rPr>
            </w:pPr>
          </w:p>
        </w:tc>
      </w:tr>
      <w:tr w14:paraId="25540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6F21CCD0">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3</w:t>
            </w:r>
          </w:p>
        </w:tc>
        <w:tc>
          <w:tcPr>
            <w:tcW w:w="4536" w:type="dxa"/>
            <w:tcBorders>
              <w:top w:val="single" w:color="auto" w:sz="4" w:space="0"/>
              <w:left w:val="single" w:color="auto" w:sz="4" w:space="0"/>
              <w:bottom w:val="single" w:color="auto" w:sz="4" w:space="0"/>
              <w:right w:val="single" w:color="auto" w:sz="4" w:space="0"/>
            </w:tcBorders>
          </w:tcPr>
          <w:p w14:paraId="5954D26F">
            <w:pP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5A8DCDC5">
            <w:pP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3DCC4FB3">
            <w:pP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5CDB2316">
            <w:pPr>
              <w:spacing w:before="100" w:beforeAutospacing="1" w:after="100" w:afterAutospacing="1" w:line="276" w:lineRule="auto"/>
              <w:rPr>
                <w:rFonts w:ascii="宋体" w:hAnsi="宋体"/>
                <w:color w:val="auto"/>
                <w:szCs w:val="21"/>
                <w:highlight w:val="none"/>
              </w:rPr>
            </w:pPr>
          </w:p>
        </w:tc>
      </w:tr>
      <w:tr w14:paraId="35E8E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4B772293">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4</w:t>
            </w:r>
          </w:p>
        </w:tc>
        <w:tc>
          <w:tcPr>
            <w:tcW w:w="4536" w:type="dxa"/>
            <w:tcBorders>
              <w:top w:val="single" w:color="auto" w:sz="4" w:space="0"/>
              <w:left w:val="single" w:color="auto" w:sz="4" w:space="0"/>
              <w:bottom w:val="single" w:color="auto" w:sz="4" w:space="0"/>
              <w:right w:val="single" w:color="auto" w:sz="4" w:space="0"/>
            </w:tcBorders>
          </w:tcPr>
          <w:p w14:paraId="2878C6CE">
            <w:pP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69CC1FD8">
            <w:pP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7ABE39B6">
            <w:pP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5ED016D7">
            <w:pPr>
              <w:spacing w:before="100" w:beforeAutospacing="1" w:after="100" w:afterAutospacing="1" w:line="276" w:lineRule="auto"/>
              <w:rPr>
                <w:rFonts w:ascii="宋体" w:hAnsi="宋体"/>
                <w:color w:val="auto"/>
                <w:szCs w:val="21"/>
                <w:highlight w:val="none"/>
              </w:rPr>
            </w:pPr>
          </w:p>
        </w:tc>
      </w:tr>
      <w:tr w14:paraId="38AA4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0A84E378">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5</w:t>
            </w:r>
          </w:p>
        </w:tc>
        <w:tc>
          <w:tcPr>
            <w:tcW w:w="4536" w:type="dxa"/>
            <w:tcBorders>
              <w:top w:val="single" w:color="auto" w:sz="4" w:space="0"/>
              <w:left w:val="single" w:color="auto" w:sz="4" w:space="0"/>
              <w:bottom w:val="single" w:color="auto" w:sz="4" w:space="0"/>
              <w:right w:val="single" w:color="auto" w:sz="4" w:space="0"/>
            </w:tcBorders>
          </w:tcPr>
          <w:p w14:paraId="22A96F2E">
            <w:pP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193C7A86">
            <w:pP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034F81C9">
            <w:pP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63CF49C6">
            <w:pPr>
              <w:spacing w:before="100" w:beforeAutospacing="1" w:after="100" w:afterAutospacing="1" w:line="276" w:lineRule="auto"/>
              <w:rPr>
                <w:rFonts w:ascii="宋体" w:hAnsi="宋体"/>
                <w:color w:val="auto"/>
                <w:szCs w:val="21"/>
                <w:highlight w:val="none"/>
              </w:rPr>
            </w:pPr>
          </w:p>
        </w:tc>
      </w:tr>
      <w:tr w14:paraId="5FAE1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0E27BE71">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6</w:t>
            </w:r>
          </w:p>
        </w:tc>
        <w:tc>
          <w:tcPr>
            <w:tcW w:w="4536" w:type="dxa"/>
            <w:tcBorders>
              <w:top w:val="single" w:color="auto" w:sz="4" w:space="0"/>
              <w:left w:val="single" w:color="auto" w:sz="4" w:space="0"/>
              <w:bottom w:val="single" w:color="auto" w:sz="4" w:space="0"/>
              <w:right w:val="single" w:color="auto" w:sz="4" w:space="0"/>
            </w:tcBorders>
          </w:tcPr>
          <w:p w14:paraId="47B06005">
            <w:pP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75288F6B">
            <w:pP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3ED52BE2">
            <w:pP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1C8BD20A">
            <w:pPr>
              <w:spacing w:before="100" w:beforeAutospacing="1" w:after="100" w:afterAutospacing="1" w:line="276" w:lineRule="auto"/>
              <w:rPr>
                <w:rFonts w:ascii="宋体" w:hAnsi="宋体"/>
                <w:color w:val="auto"/>
                <w:szCs w:val="21"/>
                <w:highlight w:val="none"/>
              </w:rPr>
            </w:pPr>
          </w:p>
        </w:tc>
      </w:tr>
      <w:tr w14:paraId="35F43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13CCB92">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w:t>
            </w:r>
          </w:p>
        </w:tc>
        <w:tc>
          <w:tcPr>
            <w:tcW w:w="4536" w:type="dxa"/>
            <w:tcBorders>
              <w:top w:val="single" w:color="auto" w:sz="4" w:space="0"/>
              <w:left w:val="single" w:color="auto" w:sz="4" w:space="0"/>
              <w:bottom w:val="single" w:color="auto" w:sz="4" w:space="0"/>
              <w:right w:val="single" w:color="auto" w:sz="4" w:space="0"/>
            </w:tcBorders>
          </w:tcPr>
          <w:p w14:paraId="0C94EF01">
            <w:pPr>
              <w:spacing w:before="100" w:beforeAutospacing="1" w:after="100" w:afterAutospacing="1" w:line="276" w:lineRule="auto"/>
              <w:rPr>
                <w:rFonts w:ascii="宋体" w:hAnsi="宋体"/>
                <w:color w:val="auto"/>
                <w:szCs w:val="21"/>
                <w:highlight w:val="none"/>
              </w:rPr>
            </w:pPr>
            <w:r>
              <w:rPr>
                <w:rFonts w:hint="eastAsia" w:ascii="宋体" w:hAnsi="宋体"/>
                <w:color w:val="auto"/>
                <w:szCs w:val="21"/>
                <w:highlight w:val="none"/>
              </w:rPr>
              <w:t>……</w:t>
            </w:r>
          </w:p>
        </w:tc>
        <w:tc>
          <w:tcPr>
            <w:tcW w:w="1276" w:type="dxa"/>
            <w:tcBorders>
              <w:top w:val="single" w:color="auto" w:sz="4" w:space="0"/>
              <w:left w:val="single" w:color="auto" w:sz="4" w:space="0"/>
              <w:bottom w:val="single" w:color="auto" w:sz="4" w:space="0"/>
              <w:right w:val="single" w:color="auto" w:sz="4" w:space="0"/>
            </w:tcBorders>
          </w:tcPr>
          <w:p w14:paraId="7AD6678F">
            <w:pP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62B590E9">
            <w:pP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5695FDC3">
            <w:pPr>
              <w:spacing w:before="100" w:beforeAutospacing="1" w:after="100" w:afterAutospacing="1" w:line="276" w:lineRule="auto"/>
              <w:rPr>
                <w:rFonts w:ascii="宋体" w:hAnsi="宋体"/>
                <w:color w:val="auto"/>
                <w:szCs w:val="21"/>
                <w:highlight w:val="none"/>
              </w:rPr>
            </w:pPr>
          </w:p>
        </w:tc>
      </w:tr>
      <w:tr w14:paraId="624CE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B9A3C98">
            <w:pPr>
              <w:spacing w:before="100" w:beforeAutospacing="1" w:after="100" w:afterAutospacing="1" w:line="276" w:lineRule="auto"/>
              <w:jc w:val="center"/>
              <w:rPr>
                <w:rFonts w:ascii="宋体" w:hAnsi="宋体"/>
                <w:color w:val="auto"/>
                <w:szCs w:val="21"/>
                <w:highlight w:val="none"/>
              </w:rPr>
            </w:pPr>
          </w:p>
        </w:tc>
        <w:tc>
          <w:tcPr>
            <w:tcW w:w="4536" w:type="dxa"/>
            <w:tcBorders>
              <w:top w:val="single" w:color="auto" w:sz="4" w:space="0"/>
              <w:left w:val="single" w:color="auto" w:sz="4" w:space="0"/>
              <w:bottom w:val="single" w:color="auto" w:sz="4" w:space="0"/>
              <w:right w:val="single" w:color="auto" w:sz="4" w:space="0"/>
            </w:tcBorders>
          </w:tcPr>
          <w:p w14:paraId="2B4D29FA">
            <w:pP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7746150C">
            <w:pP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7C1E2434">
            <w:pP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2BD9F008">
            <w:pPr>
              <w:spacing w:before="100" w:beforeAutospacing="1" w:after="100" w:afterAutospacing="1" w:line="276" w:lineRule="auto"/>
              <w:rPr>
                <w:rFonts w:ascii="宋体" w:hAnsi="宋体"/>
                <w:color w:val="auto"/>
                <w:szCs w:val="21"/>
                <w:highlight w:val="none"/>
              </w:rPr>
            </w:pPr>
          </w:p>
        </w:tc>
      </w:tr>
    </w:tbl>
    <w:p w14:paraId="6140745C">
      <w:pPr>
        <w:spacing w:before="100" w:beforeAutospacing="1"/>
        <w:rPr>
          <w:rFonts w:ascii="宋体" w:hAnsi="宋体"/>
          <w:color w:val="auto"/>
          <w:szCs w:val="21"/>
          <w:highlight w:val="none"/>
        </w:rPr>
      </w:pPr>
      <w:r>
        <w:rPr>
          <w:rFonts w:hint="eastAsia" w:ascii="宋体" w:hAnsi="宋体"/>
          <w:color w:val="auto"/>
          <w:szCs w:val="21"/>
          <w:highlight w:val="none"/>
        </w:rPr>
        <w:t>说明：</w:t>
      </w:r>
    </w:p>
    <w:p w14:paraId="582984D2">
      <w:pPr>
        <w:ind w:left="210" w:leftChars="100"/>
        <w:rPr>
          <w:rFonts w:ascii="宋体" w:hAnsi="宋体"/>
          <w:color w:val="auto"/>
          <w:szCs w:val="21"/>
          <w:highlight w:val="none"/>
        </w:rPr>
      </w:pPr>
      <w:r>
        <w:rPr>
          <w:rFonts w:hint="eastAsia" w:ascii="宋体" w:hAnsi="宋体"/>
          <w:color w:val="auto"/>
          <w:szCs w:val="21"/>
          <w:highlight w:val="none"/>
        </w:rPr>
        <w:t>1.币种</w:t>
      </w:r>
      <w:r>
        <w:rPr>
          <w:rFonts w:ascii="宋体" w:hAnsi="宋体"/>
          <w:color w:val="auto"/>
          <w:szCs w:val="21"/>
          <w:highlight w:val="none"/>
        </w:rPr>
        <w:t>单位与《</w:t>
      </w:r>
      <w:r>
        <w:rPr>
          <w:rFonts w:hint="eastAsia" w:ascii="宋体" w:hAnsi="宋体"/>
          <w:color w:val="auto"/>
          <w:szCs w:val="21"/>
          <w:highlight w:val="none"/>
        </w:rPr>
        <w:t>报价一览表》一致，单位为“元”。</w:t>
      </w:r>
    </w:p>
    <w:p w14:paraId="5608FEF7">
      <w:pPr>
        <w:spacing w:line="276" w:lineRule="auto"/>
        <w:ind w:left="420" w:leftChars="100" w:hanging="210" w:hangingChars="100"/>
        <w:rPr>
          <w:rFonts w:ascii="宋体" w:hAnsi="宋体"/>
          <w:color w:val="auto"/>
          <w:szCs w:val="21"/>
          <w:highlight w:val="none"/>
        </w:rPr>
      </w:pPr>
      <w:r>
        <w:rPr>
          <w:rFonts w:hint="eastAsia" w:ascii="宋体" w:hAnsi="宋体"/>
          <w:color w:val="auto"/>
          <w:szCs w:val="21"/>
          <w:highlight w:val="none"/>
        </w:rPr>
        <w:t>2.投标人应提供投标范围以外的备品备件/服务价格表，如无此项则可不提供。本表报价不含在投标总报价中。</w:t>
      </w:r>
    </w:p>
    <w:p w14:paraId="34E7E91F">
      <w:pPr>
        <w:spacing w:line="276" w:lineRule="auto"/>
        <w:ind w:left="424" w:leftChars="100" w:hanging="214" w:hangingChars="102"/>
        <w:rPr>
          <w:rFonts w:ascii="宋体" w:hAnsi="宋体"/>
          <w:color w:val="auto"/>
          <w:szCs w:val="21"/>
          <w:highlight w:val="none"/>
        </w:rPr>
      </w:pPr>
      <w:r>
        <w:rPr>
          <w:rFonts w:hint="eastAsia" w:ascii="宋体" w:hAnsi="宋体"/>
          <w:color w:val="auto"/>
          <w:szCs w:val="21"/>
          <w:highlight w:val="none"/>
        </w:rPr>
        <w:t>3.投标人必须按此表格式中的对应栏目内容填写，若需增加栏目，请在栏目“备注”中填写，并作详细说明。</w:t>
      </w:r>
    </w:p>
    <w:p w14:paraId="2C17626B">
      <w:pPr>
        <w:spacing w:line="276" w:lineRule="auto"/>
        <w:ind w:firstLine="210" w:firstLineChars="100"/>
        <w:rPr>
          <w:rFonts w:ascii="宋体" w:hAnsi="宋体"/>
          <w:color w:val="auto"/>
          <w:szCs w:val="21"/>
          <w:highlight w:val="none"/>
        </w:rPr>
      </w:pPr>
    </w:p>
    <w:p w14:paraId="0CF0062B">
      <w:pPr>
        <w:spacing w:line="276" w:lineRule="auto"/>
        <w:ind w:firstLine="210" w:firstLineChars="100"/>
        <w:rPr>
          <w:rFonts w:ascii="宋体" w:hAnsi="宋体"/>
          <w:color w:val="auto"/>
          <w:szCs w:val="21"/>
          <w:highlight w:val="none"/>
        </w:rPr>
      </w:pPr>
    </w:p>
    <w:p w14:paraId="3EDBAB92">
      <w:pPr>
        <w:spacing w:line="276" w:lineRule="auto"/>
        <w:ind w:firstLine="210" w:firstLineChars="100"/>
        <w:rPr>
          <w:rFonts w:ascii="宋体" w:hAnsi="宋体"/>
          <w:color w:val="auto"/>
          <w:szCs w:val="21"/>
          <w:highlight w:val="none"/>
        </w:rPr>
      </w:pPr>
    </w:p>
    <w:p w14:paraId="180299A3">
      <w:pPr>
        <w:spacing w:line="276" w:lineRule="auto"/>
        <w:ind w:firstLine="210" w:firstLineChars="100"/>
        <w:rPr>
          <w:rFonts w:ascii="宋体" w:hAnsi="宋体"/>
          <w:color w:val="auto"/>
          <w:szCs w:val="21"/>
          <w:highlight w:val="none"/>
        </w:rPr>
      </w:pPr>
    </w:p>
    <w:p w14:paraId="57FFAF50">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2EDDACD9">
      <w:pPr>
        <w:spacing w:before="100" w:beforeAutospacing="1" w:after="100" w:afterAutospacing="1" w:line="276" w:lineRule="auto"/>
        <w:ind w:firstLine="2902" w:firstLineChars="1382"/>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0D0DF6FC">
      <w:pPr>
        <w:pStyle w:val="30"/>
        <w:numPr>
          <w:ilvl w:val="0"/>
          <w:numId w:val="58"/>
        </w:numPr>
        <w:spacing w:line="276" w:lineRule="auto"/>
        <w:ind w:firstLineChars="0"/>
        <w:outlineLvl w:val="2"/>
        <w:rPr>
          <w:color w:val="auto"/>
          <w:szCs w:val="21"/>
          <w:highlight w:val="none"/>
        </w:rPr>
      </w:pPr>
      <w:r>
        <w:rPr>
          <w:rFonts w:hint="eastAsia" w:ascii="宋体" w:hAnsi="宋体"/>
          <w:color w:val="auto"/>
          <w:kern w:val="0"/>
          <w:szCs w:val="21"/>
          <w:highlight w:val="none"/>
        </w:rPr>
        <w:br w:type="page"/>
      </w:r>
      <w:r>
        <w:rPr>
          <w:rFonts w:hint="eastAsia"/>
          <w:color w:val="auto"/>
          <w:szCs w:val="21"/>
          <w:highlight w:val="none"/>
        </w:rPr>
        <w:t>交纳投标保证金的银行凭证</w:t>
      </w:r>
    </w:p>
    <w:p w14:paraId="6985D46C">
      <w:pPr>
        <w:spacing w:line="276" w:lineRule="auto"/>
        <w:jc w:val="center"/>
        <w:rPr>
          <w:b/>
          <w:color w:val="auto"/>
          <w:szCs w:val="21"/>
          <w:highlight w:val="none"/>
        </w:rPr>
      </w:pPr>
      <w:bookmarkStart w:id="123" w:name="_Toc494702279"/>
      <w:bookmarkStart w:id="124" w:name="_Toc494665959"/>
      <w:bookmarkStart w:id="125" w:name="_Toc494665562"/>
      <w:bookmarkStart w:id="126" w:name="_Toc494665009"/>
      <w:bookmarkStart w:id="127" w:name="_Toc494721109"/>
      <w:bookmarkStart w:id="128" w:name="_Toc494745326"/>
      <w:r>
        <w:rPr>
          <w:rFonts w:hint="eastAsia"/>
          <w:b/>
          <w:color w:val="auto"/>
          <w:szCs w:val="21"/>
          <w:highlight w:val="none"/>
        </w:rPr>
        <w:t>交纳投标保证金的银行凭证</w:t>
      </w:r>
      <w:bookmarkEnd w:id="123"/>
      <w:bookmarkEnd w:id="124"/>
      <w:bookmarkEnd w:id="125"/>
      <w:bookmarkEnd w:id="126"/>
      <w:bookmarkEnd w:id="127"/>
      <w:bookmarkEnd w:id="128"/>
    </w:p>
    <w:p w14:paraId="57C17CE0">
      <w:pPr>
        <w:spacing w:line="276" w:lineRule="auto"/>
        <w:rPr>
          <w:rFonts w:ascii="宋体" w:hAnsi="宋体" w:cs="Courier New"/>
          <w:b/>
          <w:color w:val="auto"/>
          <w:szCs w:val="21"/>
          <w:highlight w:val="none"/>
        </w:rPr>
      </w:pPr>
      <w:r>
        <w:rPr>
          <w:rFonts w:hint="eastAsia" w:ascii="宋体" w:hAnsi="宋体" w:cs="Courier New"/>
          <w:b/>
          <w:color w:val="auto"/>
          <w:szCs w:val="21"/>
          <w:highlight w:val="none"/>
        </w:rPr>
        <w:fldChar w:fldCharType="begin"/>
      </w:r>
      <w:r>
        <w:rPr>
          <w:rFonts w:hint="eastAsia" w:ascii="宋体" w:hAnsi="宋体" w:cs="Courier New"/>
          <w:b/>
          <w:color w:val="auto"/>
          <w:szCs w:val="21"/>
          <w:highlight w:val="none"/>
        </w:rPr>
        <w:instrText xml:space="preserve"> DOCVARIABLE 招标机构名称 </w:instrText>
      </w:r>
      <w:r>
        <w:rPr>
          <w:rFonts w:hint="eastAsia" w:ascii="宋体" w:hAnsi="宋体" w:cs="Courier New"/>
          <w:b/>
          <w:color w:val="auto"/>
          <w:szCs w:val="21"/>
          <w:highlight w:val="none"/>
        </w:rPr>
        <w:fldChar w:fldCharType="separate"/>
      </w:r>
      <w:r>
        <w:rPr>
          <w:rFonts w:hint="eastAsia" w:ascii="宋体" w:hAnsi="宋体" w:cs="Courier New"/>
          <w:b/>
          <w:color w:val="auto"/>
          <w:szCs w:val="21"/>
          <w:highlight w:val="none"/>
        </w:rPr>
        <w:t>武汉理工大学、${招标机构名称}</w:t>
      </w:r>
      <w:r>
        <w:rPr>
          <w:rFonts w:hint="eastAsia" w:ascii="宋体" w:hAnsi="宋体" w:cs="Courier New"/>
          <w:b/>
          <w:color w:val="auto"/>
          <w:szCs w:val="21"/>
          <w:highlight w:val="none"/>
        </w:rPr>
        <w:fldChar w:fldCharType="end"/>
      </w:r>
      <w:r>
        <w:rPr>
          <w:rFonts w:hint="eastAsia" w:ascii="宋体" w:hAnsi="宋体" w:cs="Courier New"/>
          <w:b/>
          <w:color w:val="auto"/>
          <w:szCs w:val="21"/>
          <w:highlight w:val="none"/>
        </w:rPr>
        <w:t>：</w:t>
      </w:r>
    </w:p>
    <w:p w14:paraId="51FB5C92">
      <w:pPr>
        <w:spacing w:line="276" w:lineRule="auto"/>
        <w:ind w:firstLine="428" w:firstLineChars="204"/>
        <w:jc w:val="left"/>
        <w:rPr>
          <w:rFonts w:ascii="宋体" w:hAnsi="宋体"/>
          <w:color w:val="auto"/>
          <w:szCs w:val="21"/>
          <w:highlight w:val="none"/>
          <w:lang w:val="zh-CN"/>
        </w:rPr>
      </w:pPr>
      <w:r>
        <w:rPr>
          <w:rFonts w:hint="eastAsia" w:ascii="宋体" w:hAnsi="宋体"/>
          <w:color w:val="auto"/>
          <w:szCs w:val="21"/>
          <w:highlight w:val="none"/>
          <w:u w:val="single"/>
          <w:lang w:val="zh-CN"/>
        </w:rPr>
        <w:t xml:space="preserve">  （投标人全称）  </w:t>
      </w:r>
      <w:r>
        <w:rPr>
          <w:rFonts w:hint="eastAsia" w:ascii="宋体" w:hAnsi="宋体"/>
          <w:color w:val="auto"/>
          <w:szCs w:val="21"/>
          <w:highlight w:val="none"/>
          <w:lang w:val="zh-CN"/>
        </w:rPr>
        <w:t>参加贵方组织的__</w:t>
      </w:r>
      <w:r>
        <w:rPr>
          <w:rFonts w:hint="eastAsia" w:ascii="宋体" w:hAnsi="宋体"/>
          <w:color w:val="auto"/>
          <w:szCs w:val="21"/>
          <w:highlight w:val="none"/>
          <w:u w:val="single"/>
          <w:lang w:val="zh-CN"/>
        </w:rPr>
        <w:t>_    _</w:t>
      </w:r>
      <w:r>
        <w:rPr>
          <w:rFonts w:hint="eastAsia" w:ascii="宋体" w:hAnsi="宋体"/>
          <w:color w:val="auto"/>
          <w:szCs w:val="21"/>
          <w:highlight w:val="none"/>
          <w:lang w:val="zh-CN"/>
        </w:rPr>
        <w:t>项目（项目编号/包号：______）的政府采购活动。按招标文件的规定，已递交人民币（大写）</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万元的投标保证金。</w:t>
      </w:r>
    </w:p>
    <w:tbl>
      <w:tblPr>
        <w:tblStyle w:val="21"/>
        <w:tblW w:w="954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85"/>
        <w:gridCol w:w="2160"/>
        <w:gridCol w:w="1440"/>
        <w:gridCol w:w="3523"/>
      </w:tblGrid>
      <w:tr w14:paraId="5736F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restart"/>
            <w:tcBorders>
              <w:top w:val="single" w:color="auto" w:sz="4" w:space="0"/>
              <w:left w:val="single" w:color="auto" w:sz="4" w:space="0"/>
              <w:bottom w:val="single" w:color="auto" w:sz="4" w:space="0"/>
              <w:right w:val="single" w:color="auto" w:sz="4" w:space="0"/>
            </w:tcBorders>
            <w:vAlign w:val="center"/>
          </w:tcPr>
          <w:p w14:paraId="57C63BF3">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投标人</w:t>
            </w:r>
          </w:p>
        </w:tc>
        <w:tc>
          <w:tcPr>
            <w:tcW w:w="1885" w:type="dxa"/>
            <w:tcBorders>
              <w:top w:val="single" w:color="auto" w:sz="4" w:space="0"/>
              <w:left w:val="single" w:color="auto" w:sz="4" w:space="0"/>
              <w:bottom w:val="single" w:color="auto" w:sz="4" w:space="0"/>
              <w:right w:val="single" w:color="auto" w:sz="4" w:space="0"/>
            </w:tcBorders>
            <w:vAlign w:val="center"/>
          </w:tcPr>
          <w:p w14:paraId="18A3C956">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全  称</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7BCFBEDE">
            <w:pPr>
              <w:spacing w:line="276" w:lineRule="auto"/>
              <w:jc w:val="left"/>
              <w:rPr>
                <w:rFonts w:ascii="宋体" w:hAnsi="宋体" w:cs="宋体"/>
                <w:color w:val="auto"/>
                <w:kern w:val="0"/>
                <w:szCs w:val="21"/>
                <w:highlight w:val="none"/>
              </w:rPr>
            </w:pPr>
          </w:p>
        </w:tc>
      </w:tr>
      <w:tr w14:paraId="3E7C2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4A3A723F">
            <w:pPr>
              <w:jc w:val="left"/>
              <w:rPr>
                <w:rFonts w:ascii="宋体" w:hAnsi="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405131B1">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地  址</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49493EA4">
            <w:pPr>
              <w:spacing w:line="276" w:lineRule="auto"/>
              <w:jc w:val="left"/>
              <w:rPr>
                <w:rFonts w:ascii="宋体" w:hAnsi="宋体" w:cs="宋体"/>
                <w:color w:val="auto"/>
                <w:kern w:val="0"/>
                <w:szCs w:val="21"/>
                <w:highlight w:val="none"/>
              </w:rPr>
            </w:pPr>
          </w:p>
        </w:tc>
      </w:tr>
      <w:tr w14:paraId="79B0B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73B4A436">
            <w:pPr>
              <w:jc w:val="left"/>
              <w:rPr>
                <w:rFonts w:ascii="宋体" w:hAnsi="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35E2E335">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邮  编</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17270146">
            <w:pPr>
              <w:spacing w:line="276" w:lineRule="auto"/>
              <w:jc w:val="left"/>
              <w:rPr>
                <w:rFonts w:ascii="宋体" w:hAnsi="宋体" w:cs="宋体"/>
                <w:color w:val="auto"/>
                <w:kern w:val="0"/>
                <w:szCs w:val="21"/>
                <w:highlight w:val="none"/>
              </w:rPr>
            </w:pPr>
          </w:p>
        </w:tc>
      </w:tr>
      <w:tr w14:paraId="5D222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78459AC7">
            <w:pPr>
              <w:jc w:val="left"/>
              <w:rPr>
                <w:rFonts w:ascii="宋体" w:hAnsi="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6EF27A0A">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联 系 人</w:t>
            </w:r>
          </w:p>
        </w:tc>
        <w:tc>
          <w:tcPr>
            <w:tcW w:w="2160" w:type="dxa"/>
            <w:tcBorders>
              <w:top w:val="single" w:color="auto" w:sz="4" w:space="0"/>
              <w:left w:val="single" w:color="auto" w:sz="4" w:space="0"/>
              <w:bottom w:val="single" w:color="auto" w:sz="4" w:space="0"/>
              <w:right w:val="single" w:color="auto" w:sz="4" w:space="0"/>
            </w:tcBorders>
            <w:vAlign w:val="center"/>
          </w:tcPr>
          <w:p w14:paraId="76B51AC0">
            <w:pPr>
              <w:spacing w:line="276" w:lineRule="auto"/>
              <w:jc w:val="left"/>
              <w:rPr>
                <w:rFonts w:ascii="宋体" w:hAnsi="宋体" w:cs="宋体"/>
                <w:color w:val="auto"/>
                <w:kern w:val="0"/>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7469410C">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联系电话</w:t>
            </w:r>
          </w:p>
        </w:tc>
        <w:tc>
          <w:tcPr>
            <w:tcW w:w="3523" w:type="dxa"/>
            <w:tcBorders>
              <w:top w:val="single" w:color="auto" w:sz="4" w:space="0"/>
              <w:left w:val="single" w:color="auto" w:sz="4" w:space="0"/>
              <w:bottom w:val="single" w:color="auto" w:sz="4" w:space="0"/>
              <w:right w:val="single" w:color="auto" w:sz="4" w:space="0"/>
            </w:tcBorders>
            <w:vAlign w:val="center"/>
          </w:tcPr>
          <w:p w14:paraId="38B30E4D">
            <w:pPr>
              <w:spacing w:line="276" w:lineRule="auto"/>
              <w:jc w:val="left"/>
              <w:rPr>
                <w:rFonts w:ascii="宋体" w:hAnsi="宋体" w:cs="宋体"/>
                <w:color w:val="auto"/>
                <w:kern w:val="0"/>
                <w:szCs w:val="21"/>
                <w:highlight w:val="none"/>
              </w:rPr>
            </w:pPr>
          </w:p>
        </w:tc>
      </w:tr>
      <w:tr w14:paraId="1AFAE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619729B6">
            <w:pPr>
              <w:jc w:val="left"/>
              <w:rPr>
                <w:rFonts w:ascii="宋体" w:hAnsi="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5ECA7B83">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开 户 银 行</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335C1A35">
            <w:pPr>
              <w:spacing w:line="276" w:lineRule="auto"/>
              <w:jc w:val="left"/>
              <w:rPr>
                <w:rFonts w:ascii="宋体" w:hAnsi="宋体" w:cs="Arial"/>
                <w:color w:val="auto"/>
                <w:kern w:val="0"/>
                <w:szCs w:val="21"/>
                <w:highlight w:val="none"/>
              </w:rPr>
            </w:pPr>
          </w:p>
        </w:tc>
      </w:tr>
      <w:tr w14:paraId="5A8EC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59CF802D">
            <w:pPr>
              <w:jc w:val="left"/>
              <w:rPr>
                <w:rFonts w:ascii="宋体" w:hAnsi="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662E915D">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账  号</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71E9D602">
            <w:pPr>
              <w:spacing w:line="276" w:lineRule="auto"/>
              <w:jc w:val="left"/>
              <w:rPr>
                <w:rFonts w:ascii="宋体" w:hAnsi="宋体" w:cs="Arial"/>
                <w:color w:val="auto"/>
                <w:kern w:val="0"/>
                <w:szCs w:val="21"/>
                <w:highlight w:val="none"/>
              </w:rPr>
            </w:pPr>
          </w:p>
        </w:tc>
      </w:tr>
    </w:tbl>
    <w:p w14:paraId="6CC5B442">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14DE8FCD">
      <w:pPr>
        <w:spacing w:before="100" w:beforeAutospacing="1" w:after="100" w:afterAutospacing="1" w:line="276" w:lineRule="auto"/>
        <w:ind w:firstLine="2902" w:firstLineChars="1382"/>
        <w:rPr>
          <w:rFonts w:hAnsi="宋体"/>
          <w:bCs/>
          <w:color w:val="auto"/>
          <w:szCs w:val="21"/>
          <w:highlight w:val="none"/>
          <w:u w:val="singl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Ansi="宋体"/>
          <w:bCs/>
          <w:color w:val="auto"/>
          <w:szCs w:val="21"/>
          <w:highlight w:val="none"/>
          <w:u w:val="single"/>
        </w:rPr>
        <w:t xml:space="preserve">                              </w:t>
      </w:r>
    </w:p>
    <w:tbl>
      <w:tblPr>
        <w:tblStyle w:val="21"/>
        <w:tblW w:w="9547"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7"/>
      </w:tblGrid>
      <w:tr w14:paraId="58D1C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trPr>
        <w:tc>
          <w:tcPr>
            <w:tcW w:w="9547" w:type="dxa"/>
            <w:tcBorders>
              <w:top w:val="single" w:color="auto" w:sz="4" w:space="0"/>
              <w:left w:val="single" w:color="auto" w:sz="4" w:space="0"/>
              <w:bottom w:val="single" w:color="auto" w:sz="4" w:space="0"/>
              <w:right w:val="single" w:color="auto" w:sz="4" w:space="0"/>
            </w:tcBorders>
          </w:tcPr>
          <w:p w14:paraId="2A5FE2CC">
            <w:pPr>
              <w:spacing w:line="276" w:lineRule="auto"/>
              <w:rPr>
                <w:rFonts w:ascii="宋体" w:hAnsi="宋体"/>
                <w:color w:val="auto"/>
                <w:szCs w:val="21"/>
                <w:highlight w:val="none"/>
              </w:rPr>
            </w:pPr>
            <w:r>
              <w:rPr>
                <w:rFonts w:hint="eastAsia" w:ascii="宋体" w:hAnsi="宋体"/>
                <w:color w:val="auto"/>
                <w:szCs w:val="21"/>
                <w:highlight w:val="none"/>
              </w:rPr>
              <w:t>粘贴转账、电汇或网上银行凭证（清晰复印件）</w:t>
            </w:r>
          </w:p>
          <w:p w14:paraId="4B6DC868">
            <w:pPr>
              <w:spacing w:line="276" w:lineRule="auto"/>
              <w:rPr>
                <w:rFonts w:ascii="宋体" w:hAnsi="宋体"/>
                <w:color w:val="auto"/>
                <w:szCs w:val="21"/>
                <w:highlight w:val="none"/>
              </w:rPr>
            </w:pPr>
          </w:p>
          <w:p w14:paraId="708EB841">
            <w:pPr>
              <w:spacing w:line="276" w:lineRule="auto"/>
              <w:rPr>
                <w:rFonts w:ascii="宋体" w:hAnsi="宋体"/>
                <w:color w:val="auto"/>
                <w:szCs w:val="21"/>
                <w:highlight w:val="none"/>
              </w:rPr>
            </w:pPr>
          </w:p>
          <w:p w14:paraId="35ED961E">
            <w:pPr>
              <w:spacing w:line="276" w:lineRule="auto"/>
              <w:rPr>
                <w:rFonts w:ascii="宋体" w:hAnsi="宋体"/>
                <w:color w:val="auto"/>
                <w:szCs w:val="21"/>
                <w:highlight w:val="none"/>
              </w:rPr>
            </w:pPr>
          </w:p>
          <w:p w14:paraId="45FF32FB">
            <w:pPr>
              <w:spacing w:line="276" w:lineRule="auto"/>
              <w:rPr>
                <w:rFonts w:ascii="宋体" w:hAnsi="宋体"/>
                <w:color w:val="auto"/>
                <w:szCs w:val="21"/>
                <w:highlight w:val="none"/>
              </w:rPr>
            </w:pPr>
          </w:p>
          <w:p w14:paraId="514DE3A8">
            <w:pPr>
              <w:spacing w:line="276" w:lineRule="auto"/>
              <w:ind w:left="106" w:leftChars="38" w:hanging="27" w:hangingChars="13"/>
              <w:rPr>
                <w:rFonts w:ascii="宋体" w:hAnsi="宋体"/>
                <w:b/>
                <w:color w:val="auto"/>
                <w:szCs w:val="21"/>
                <w:highlight w:val="none"/>
                <w:lang w:val="zh-CN"/>
              </w:rPr>
            </w:pPr>
          </w:p>
        </w:tc>
      </w:tr>
    </w:tbl>
    <w:p w14:paraId="2174401D">
      <w:pPr>
        <w:spacing w:line="276" w:lineRule="auto"/>
        <w:ind w:left="630" w:hanging="630" w:hangingChars="300"/>
        <w:jc w:val="left"/>
        <w:rPr>
          <w:rFonts w:ascii="宋体" w:hAnsi="宋体"/>
          <w:color w:val="auto"/>
          <w:szCs w:val="21"/>
          <w:highlight w:val="none"/>
        </w:rPr>
      </w:pPr>
      <w:r>
        <w:rPr>
          <w:rFonts w:hint="eastAsia" w:ascii="宋体" w:hAnsi="宋体"/>
          <w:color w:val="auto"/>
          <w:szCs w:val="21"/>
          <w:highlight w:val="none"/>
        </w:rPr>
        <w:t>说明：投标人应认真填写银行信息，与转账或电汇银行凭证的相关信息一致，采购代理机构将依据此凭证信息查退投标保证金。</w:t>
      </w:r>
    </w:p>
    <w:p w14:paraId="09F94B02">
      <w:pPr>
        <w:pStyle w:val="30"/>
        <w:numPr>
          <w:ilvl w:val="0"/>
          <w:numId w:val="58"/>
        </w:numPr>
        <w:spacing w:line="276" w:lineRule="auto"/>
        <w:ind w:firstLineChars="0"/>
        <w:outlineLvl w:val="2"/>
        <w:rPr>
          <w:color w:val="auto"/>
          <w:szCs w:val="21"/>
          <w:highlight w:val="none"/>
        </w:rPr>
      </w:pPr>
      <w:r>
        <w:rPr>
          <w:color w:val="auto"/>
          <w:kern w:val="0"/>
          <w:szCs w:val="21"/>
          <w:highlight w:val="none"/>
        </w:rPr>
        <w:br w:type="page"/>
      </w:r>
      <w:bookmarkStart w:id="129" w:name="_Toc494665010"/>
      <w:bookmarkStart w:id="130" w:name="_Toc238276247"/>
      <w:bookmarkStart w:id="131" w:name="_Toc494665563"/>
      <w:bookmarkStart w:id="132" w:name="_Toc494665960"/>
      <w:bookmarkStart w:id="133" w:name="_Toc494721110"/>
      <w:bookmarkStart w:id="134" w:name="_Toc236473303"/>
      <w:bookmarkStart w:id="135" w:name="_Toc494745327"/>
      <w:bookmarkStart w:id="136" w:name="_Toc494702280"/>
      <w:r>
        <w:rPr>
          <w:rFonts w:hint="eastAsia"/>
          <w:color w:val="auto"/>
          <w:szCs w:val="21"/>
          <w:highlight w:val="none"/>
        </w:rPr>
        <w:t>法定代表人身份证明书</w:t>
      </w:r>
    </w:p>
    <w:p w14:paraId="4A7B71B6">
      <w:pPr>
        <w:spacing w:line="276" w:lineRule="auto"/>
        <w:jc w:val="center"/>
        <w:rPr>
          <w:b/>
          <w:color w:val="auto"/>
          <w:szCs w:val="21"/>
          <w:highlight w:val="none"/>
        </w:rPr>
      </w:pPr>
      <w:r>
        <w:rPr>
          <w:rFonts w:hint="eastAsia"/>
          <w:b/>
          <w:color w:val="auto"/>
          <w:szCs w:val="21"/>
          <w:highlight w:val="none"/>
        </w:rPr>
        <w:t>法定代表人身份证明书</w:t>
      </w:r>
    </w:p>
    <w:p w14:paraId="47396130">
      <w:pPr>
        <w:spacing w:line="276" w:lineRule="auto"/>
        <w:rPr>
          <w:color w:val="auto"/>
          <w:szCs w:val="21"/>
          <w:highlight w:val="none"/>
        </w:rPr>
      </w:pPr>
    </w:p>
    <w:p w14:paraId="5627D569">
      <w:pPr>
        <w:spacing w:line="276" w:lineRule="auto"/>
        <w:rPr>
          <w:color w:val="auto"/>
          <w:szCs w:val="21"/>
          <w:highlight w:val="none"/>
          <w:u w:val="single"/>
        </w:rPr>
      </w:pPr>
      <w:r>
        <w:rPr>
          <w:rFonts w:hint="eastAsia"/>
          <w:color w:val="auto"/>
          <w:szCs w:val="21"/>
          <w:highlight w:val="none"/>
        </w:rPr>
        <w:t>企业名称：</w:t>
      </w:r>
      <w:r>
        <w:rPr>
          <w:color w:val="auto"/>
          <w:szCs w:val="21"/>
          <w:highlight w:val="none"/>
          <w:u w:val="single"/>
        </w:rPr>
        <w:t xml:space="preserve">                           </w:t>
      </w:r>
    </w:p>
    <w:p w14:paraId="60CFF055">
      <w:pPr>
        <w:spacing w:line="276" w:lineRule="auto"/>
        <w:rPr>
          <w:color w:val="auto"/>
          <w:szCs w:val="21"/>
          <w:highlight w:val="none"/>
        </w:rPr>
      </w:pPr>
      <w:r>
        <w:rPr>
          <w:rFonts w:hint="eastAsia"/>
          <w:color w:val="auto"/>
          <w:szCs w:val="21"/>
          <w:highlight w:val="none"/>
        </w:rPr>
        <w:t>企业性质：</w:t>
      </w:r>
      <w:r>
        <w:rPr>
          <w:color w:val="auto"/>
          <w:szCs w:val="21"/>
          <w:highlight w:val="none"/>
          <w:u w:val="single"/>
        </w:rPr>
        <w:t xml:space="preserve">                           </w:t>
      </w:r>
    </w:p>
    <w:p w14:paraId="73214E03">
      <w:pPr>
        <w:spacing w:line="276" w:lineRule="auto"/>
        <w:rPr>
          <w:color w:val="auto"/>
          <w:szCs w:val="21"/>
          <w:highlight w:val="none"/>
        </w:rPr>
      </w:pPr>
      <w:r>
        <w:rPr>
          <w:rFonts w:hint="eastAsia"/>
          <w:color w:val="auto"/>
          <w:szCs w:val="21"/>
          <w:highlight w:val="none"/>
        </w:rPr>
        <w:t>地</w:t>
      </w:r>
      <w:r>
        <w:rPr>
          <w:color w:val="auto"/>
          <w:szCs w:val="21"/>
          <w:highlight w:val="none"/>
        </w:rPr>
        <w:t xml:space="preserve">    </w:t>
      </w:r>
      <w:r>
        <w:rPr>
          <w:rFonts w:hint="eastAsia"/>
          <w:color w:val="auto"/>
          <w:szCs w:val="21"/>
          <w:highlight w:val="none"/>
        </w:rPr>
        <w:t>址：</w:t>
      </w:r>
      <w:r>
        <w:rPr>
          <w:color w:val="auto"/>
          <w:szCs w:val="21"/>
          <w:highlight w:val="none"/>
          <w:u w:val="single"/>
        </w:rPr>
        <w:t xml:space="preserve">                           </w:t>
      </w:r>
    </w:p>
    <w:p w14:paraId="5AE3963C">
      <w:pPr>
        <w:spacing w:line="276" w:lineRule="auto"/>
        <w:rPr>
          <w:color w:val="auto"/>
          <w:szCs w:val="21"/>
          <w:highlight w:val="none"/>
        </w:rPr>
      </w:pPr>
      <w:r>
        <w:rPr>
          <w:rFonts w:hint="eastAsia"/>
          <w:color w:val="auto"/>
          <w:szCs w:val="21"/>
          <w:highlight w:val="none"/>
        </w:rPr>
        <w:t>成立时间：</w:t>
      </w:r>
      <w:r>
        <w:rPr>
          <w:color w:val="auto"/>
          <w:szCs w:val="21"/>
          <w:highlight w:val="none"/>
          <w:u w:val="single"/>
        </w:rPr>
        <w:t xml:space="preserve">                           </w:t>
      </w:r>
    </w:p>
    <w:p w14:paraId="1F97975E">
      <w:pPr>
        <w:spacing w:line="276" w:lineRule="auto"/>
        <w:rPr>
          <w:color w:val="auto"/>
          <w:szCs w:val="21"/>
          <w:highlight w:val="none"/>
        </w:rPr>
      </w:pPr>
      <w:r>
        <w:rPr>
          <w:rFonts w:hint="eastAsia"/>
          <w:color w:val="auto"/>
          <w:szCs w:val="21"/>
          <w:highlight w:val="none"/>
        </w:rPr>
        <w:t>经营期限：</w:t>
      </w:r>
      <w:r>
        <w:rPr>
          <w:color w:val="auto"/>
          <w:szCs w:val="21"/>
          <w:highlight w:val="none"/>
          <w:u w:val="single"/>
        </w:rPr>
        <w:t xml:space="preserve">                           </w:t>
      </w:r>
    </w:p>
    <w:p w14:paraId="7EE7C3AC">
      <w:pPr>
        <w:spacing w:line="276" w:lineRule="auto"/>
        <w:rPr>
          <w:color w:val="auto"/>
          <w:szCs w:val="21"/>
          <w:highlight w:val="none"/>
        </w:rPr>
      </w:pPr>
      <w:r>
        <w:rPr>
          <w:rFonts w:hint="eastAsia"/>
          <w:color w:val="auto"/>
          <w:szCs w:val="21"/>
          <w:highlight w:val="none"/>
        </w:rPr>
        <w:t>姓名：</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性别：</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年龄：</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职务：</w:t>
      </w:r>
      <w:r>
        <w:rPr>
          <w:color w:val="auto"/>
          <w:szCs w:val="21"/>
          <w:highlight w:val="none"/>
          <w:u w:val="single"/>
        </w:rPr>
        <w:t xml:space="preserve">         </w:t>
      </w:r>
    </w:p>
    <w:p w14:paraId="713233BA">
      <w:pPr>
        <w:spacing w:line="276" w:lineRule="auto"/>
        <w:rPr>
          <w:color w:val="auto"/>
          <w:szCs w:val="21"/>
          <w:highlight w:val="none"/>
        </w:rPr>
      </w:pPr>
      <w:r>
        <w:rPr>
          <w:rFonts w:hint="eastAsia"/>
          <w:color w:val="auto"/>
          <w:szCs w:val="21"/>
          <w:highlight w:val="none"/>
        </w:rPr>
        <w:t>系</w:t>
      </w:r>
      <w:r>
        <w:rPr>
          <w:color w:val="auto"/>
          <w:szCs w:val="21"/>
          <w:highlight w:val="none"/>
          <w:u w:val="single"/>
        </w:rPr>
        <w:t xml:space="preserve">                               </w:t>
      </w:r>
      <w:r>
        <w:rPr>
          <w:rFonts w:hint="eastAsia"/>
          <w:color w:val="auto"/>
          <w:szCs w:val="21"/>
          <w:highlight w:val="none"/>
        </w:rPr>
        <w:t>（企业名称）的法定代表人。</w:t>
      </w:r>
    </w:p>
    <w:p w14:paraId="0C249F76">
      <w:pPr>
        <w:spacing w:line="276" w:lineRule="auto"/>
        <w:rPr>
          <w:color w:val="auto"/>
          <w:szCs w:val="21"/>
          <w:highlight w:val="none"/>
        </w:rPr>
      </w:pPr>
      <w:r>
        <w:rPr>
          <w:rFonts w:hint="eastAsia"/>
          <w:color w:val="auto"/>
          <w:szCs w:val="21"/>
          <w:highlight w:val="none"/>
        </w:rPr>
        <w:t>特此证明。</w:t>
      </w:r>
    </w:p>
    <w:p w14:paraId="51416FAB">
      <w:pPr>
        <w:spacing w:line="276" w:lineRule="auto"/>
        <w:rPr>
          <w:color w:val="auto"/>
          <w:szCs w:val="21"/>
          <w:highlight w:val="none"/>
        </w:rPr>
      </w:pPr>
    </w:p>
    <w:p w14:paraId="74D520A6">
      <w:pPr>
        <w:adjustRightInd w:val="0"/>
        <w:snapToGrid w:val="0"/>
        <w:spacing w:line="276" w:lineRule="auto"/>
        <w:ind w:firstLine="3675" w:firstLineChars="1750"/>
        <w:jc w:val="left"/>
        <w:rPr>
          <w:rFonts w:ascii="宋体" w:hAnsi="宋体"/>
          <w:color w:val="auto"/>
          <w:szCs w:val="21"/>
          <w:highlight w:val="none"/>
        </w:rPr>
      </w:pPr>
      <w:r>
        <w:rPr>
          <w:rFonts w:hint="eastAsia" w:ascii="宋体" w:hAnsi="宋体"/>
          <w:color w:val="auto"/>
          <w:szCs w:val="21"/>
          <w:highlight w:val="none"/>
        </w:rPr>
        <w:t>投标人名称（公章）：</w:t>
      </w:r>
      <w:r>
        <w:rPr>
          <w:rFonts w:hint="eastAsia" w:ascii="宋体" w:hAnsi="宋体"/>
          <w:color w:val="auto"/>
          <w:kern w:val="0"/>
          <w:szCs w:val="21"/>
          <w:highlight w:val="none"/>
          <w:u w:val="single"/>
        </w:rPr>
        <w:t xml:space="preserve">              </w:t>
      </w:r>
    </w:p>
    <w:p w14:paraId="03762556">
      <w:pPr>
        <w:adjustRightInd w:val="0"/>
        <w:snapToGrid w:val="0"/>
        <w:spacing w:line="276" w:lineRule="auto"/>
        <w:ind w:firstLine="3675" w:firstLineChars="1750"/>
        <w:jc w:val="left"/>
        <w:rPr>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4C5689FD">
      <w:pPr>
        <w:adjustRightInd w:val="0"/>
        <w:snapToGrid w:val="0"/>
        <w:spacing w:line="276" w:lineRule="auto"/>
        <w:jc w:val="center"/>
        <w:rPr>
          <w:color w:val="auto"/>
          <w:szCs w:val="21"/>
          <w:highlight w:val="none"/>
        </w:rPr>
      </w:pPr>
    </w:p>
    <w:p w14:paraId="60BD9242">
      <w:pPr>
        <w:adjustRightInd w:val="0"/>
        <w:snapToGrid w:val="0"/>
        <w:spacing w:line="276" w:lineRule="auto"/>
        <w:jc w:val="center"/>
        <w:rPr>
          <w:color w:val="auto"/>
          <w:szCs w:val="21"/>
          <w:highlight w:val="none"/>
        </w:rPr>
      </w:pPr>
      <w:r>
        <w:rPr>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-390525</wp:posOffset>
                </wp:positionH>
                <wp:positionV relativeFrom="paragraph">
                  <wp:posOffset>189230</wp:posOffset>
                </wp:positionV>
                <wp:extent cx="3000375" cy="1714500"/>
                <wp:effectExtent l="13335" t="7620" r="5715" b="11430"/>
                <wp:wrapNone/>
                <wp:docPr id="6" name="文本框 7"/>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26988087">
                            <w:pPr>
                              <w:ind w:firstLine="480"/>
                              <w:jc w:val="left"/>
                              <w:rPr>
                                <w:sz w:val="24"/>
                              </w:rPr>
                            </w:pPr>
                            <w:permStart w:id="0" w:edGrp="everyone"/>
                            <w:r>
                              <w:rPr>
                                <w:rFonts w:hint="eastAsia"/>
                                <w:sz w:val="24"/>
                              </w:rPr>
                              <w:t>附：法定代表人身份证复印件（正面）</w:t>
                            </w:r>
                            <w:permEnd w:id="0"/>
                          </w:p>
                        </w:txbxContent>
                      </wps:txbx>
                      <wps:bodyPr rot="0" vert="horz" wrap="square" lIns="91440" tIns="45720" rIns="91440" bIns="45720" anchor="t" anchorCtr="0" upright="1">
                        <a:noAutofit/>
                      </wps:bodyPr>
                    </wps:wsp>
                  </a:graphicData>
                </a:graphic>
              </wp:anchor>
            </w:drawing>
          </mc:Choice>
          <mc:Fallback>
            <w:pict>
              <v:rect id="文本框 7" o:spid="_x0000_s1026" o:spt="1" style="position:absolute;left:0pt;margin-left:-30.75pt;margin-top:14.9pt;height:135pt;width:236.25pt;z-index:251665408;mso-width-relative:page;mso-height-relative:page;" fillcolor="#FFFFFF" filled="t" stroked="t" coordsize="21600,21600" o:gfxdata="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nqM3S9UAAAAKAQAADwAAAAAAAAABACAAAAAiAAAAZHJzL2Rvd25y&#10;ZXYueG1sUEsBAhQAFAAAAAgAh07iQPCTxDlzAgAA+AQAAA4AAAAAAAAAAQAgAAAAJAEAAGRycy9l&#10;Mm9Eb2MueG1sUEsFBgAAAAAGAAYAWQEAAAkGAAAAAA==&#10;">
                <v:fill type="gradient" on="t" color2="#FFFFFF" angle="90" focus="100%" focussize="0,0">
                  <o:fill type="gradientUnscaled" v:ext="backwardCompatible"/>
                </v:fill>
                <v:stroke color="#000000" miterlimit="2" joinstyle="miter"/>
                <v:imagedata o:title=""/>
                <o:lock v:ext="edit" aspectratio="f"/>
                <v:textbox>
                  <w:txbxContent>
                    <w:p w14:paraId="26988087">
                      <w:pPr>
                        <w:ind w:firstLine="480"/>
                        <w:jc w:val="left"/>
                        <w:rPr>
                          <w:sz w:val="24"/>
                        </w:rPr>
                      </w:pPr>
                      <w:permStart w:id="0" w:edGrp="everyone"/>
                      <w:r>
                        <w:rPr>
                          <w:rFonts w:hint="eastAsia"/>
                          <w:sz w:val="24"/>
                        </w:rPr>
                        <w:t>附：法定代表人身份证复印件（正面）</w:t>
                      </w:r>
                      <w:permEnd w:id="0"/>
                    </w:p>
                  </w:txbxContent>
                </v:textbox>
              </v:rect>
            </w:pict>
          </mc:Fallback>
        </mc:AlternateContent>
      </w:r>
      <w:r>
        <w:rPr>
          <w:color w:val="auto"/>
          <w:highlight w:val="none"/>
        </w:rPr>
        <mc:AlternateContent>
          <mc:Choice Requires="wps">
            <w:drawing>
              <wp:anchor distT="0" distB="0" distL="114300" distR="114300" simplePos="0" relativeHeight="251666432" behindDoc="0" locked="0" layoutInCell="1" allowOverlap="1">
                <wp:simplePos x="0" y="0"/>
                <wp:positionH relativeFrom="column">
                  <wp:posOffset>2686050</wp:posOffset>
                </wp:positionH>
                <wp:positionV relativeFrom="paragraph">
                  <wp:posOffset>170815</wp:posOffset>
                </wp:positionV>
                <wp:extent cx="3000375" cy="1714500"/>
                <wp:effectExtent l="13335" t="8255" r="5715" b="10795"/>
                <wp:wrapNone/>
                <wp:docPr id="5" name="文本框 6"/>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17FE3EA3">
                            <w:pPr>
                              <w:ind w:firstLine="480"/>
                              <w:jc w:val="left"/>
                              <w:rPr>
                                <w:sz w:val="24"/>
                              </w:rPr>
                            </w:pPr>
                            <w:permStart w:id="1" w:edGrp="everyone"/>
                            <w:r>
                              <w:rPr>
                                <w:rFonts w:hint="eastAsia"/>
                                <w:sz w:val="24"/>
                              </w:rPr>
                              <w:t>附：法定代表人身份证复印件（反面）</w:t>
                            </w:r>
                            <w:permEnd w:id="1"/>
                          </w:p>
                        </w:txbxContent>
                      </wps:txbx>
                      <wps:bodyPr rot="0" vert="horz" wrap="square" lIns="91440" tIns="45720" rIns="91440" bIns="45720" anchor="t" anchorCtr="0" upright="1">
                        <a:noAutofit/>
                      </wps:bodyPr>
                    </wps:wsp>
                  </a:graphicData>
                </a:graphic>
              </wp:anchor>
            </w:drawing>
          </mc:Choice>
          <mc:Fallback>
            <w:pict>
              <v:rect id="文本框 6" o:spid="_x0000_s1026" o:spt="1" style="position:absolute;left:0pt;margin-left:211.5pt;margin-top:13.45pt;height:135pt;width:236.25pt;z-index:251666432;mso-width-relative:page;mso-height-relative:page;" fillcolor="#FFFFFF" filled="t" stroked="t" coordsize="21600,21600" o:gfxdata="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BEAbFC1wAAAAoBAAAPAAAAAAAAAAEAIAAAACIAAABkcnMvZG93&#10;bnJldi54bWxQSwECFAAUAAAACACHTuJAxookX3MCAAD4BAAADgAAAAAAAAABACAAAAAmAQAAZHJz&#10;L2Uyb0RvYy54bWxQSwUGAAAAAAYABgBZAQAACwYAAAAA&#10;">
                <v:fill type="gradient" on="t" color2="#FFFFFF" angle="90" focus="100%" focussize="0,0">
                  <o:fill type="gradientUnscaled" v:ext="backwardCompatible"/>
                </v:fill>
                <v:stroke color="#000000" miterlimit="2" joinstyle="miter"/>
                <v:imagedata o:title=""/>
                <o:lock v:ext="edit" aspectratio="f"/>
                <v:textbox>
                  <w:txbxContent>
                    <w:p w14:paraId="17FE3EA3">
                      <w:pPr>
                        <w:ind w:firstLine="480"/>
                        <w:jc w:val="left"/>
                        <w:rPr>
                          <w:sz w:val="24"/>
                        </w:rPr>
                      </w:pPr>
                      <w:permStart w:id="1" w:edGrp="everyone"/>
                      <w:r>
                        <w:rPr>
                          <w:rFonts w:hint="eastAsia"/>
                          <w:sz w:val="24"/>
                        </w:rPr>
                        <w:t>附：法定代表人身份证复印件（反面）</w:t>
                      </w:r>
                      <w:permEnd w:id="1"/>
                    </w:p>
                  </w:txbxContent>
                </v:textbox>
              </v:rect>
            </w:pict>
          </mc:Fallback>
        </mc:AlternateContent>
      </w:r>
    </w:p>
    <w:p w14:paraId="6BB2A700">
      <w:pPr>
        <w:adjustRightInd w:val="0"/>
        <w:snapToGrid w:val="0"/>
        <w:spacing w:line="276" w:lineRule="auto"/>
        <w:jc w:val="center"/>
        <w:rPr>
          <w:color w:val="auto"/>
          <w:szCs w:val="21"/>
          <w:highlight w:val="none"/>
        </w:rPr>
      </w:pPr>
    </w:p>
    <w:p w14:paraId="429DD358">
      <w:pPr>
        <w:adjustRightInd w:val="0"/>
        <w:snapToGrid w:val="0"/>
        <w:spacing w:line="276" w:lineRule="auto"/>
        <w:jc w:val="center"/>
        <w:rPr>
          <w:color w:val="auto"/>
          <w:szCs w:val="21"/>
          <w:highlight w:val="none"/>
        </w:rPr>
      </w:pPr>
    </w:p>
    <w:p w14:paraId="4746C080">
      <w:pPr>
        <w:adjustRightInd w:val="0"/>
        <w:snapToGrid w:val="0"/>
        <w:spacing w:line="276" w:lineRule="auto"/>
        <w:jc w:val="center"/>
        <w:rPr>
          <w:color w:val="auto"/>
          <w:szCs w:val="21"/>
          <w:highlight w:val="none"/>
        </w:rPr>
      </w:pPr>
    </w:p>
    <w:p w14:paraId="7AAE29D1">
      <w:pPr>
        <w:adjustRightInd w:val="0"/>
        <w:snapToGrid w:val="0"/>
        <w:spacing w:line="276" w:lineRule="auto"/>
        <w:jc w:val="left"/>
        <w:rPr>
          <w:rFonts w:ascii="宋体" w:hAnsi="宋体"/>
          <w:color w:val="auto"/>
          <w:szCs w:val="21"/>
          <w:highlight w:val="none"/>
        </w:rPr>
      </w:pPr>
    </w:p>
    <w:p w14:paraId="0F6ED591">
      <w:pPr>
        <w:adjustRightInd w:val="0"/>
        <w:snapToGrid w:val="0"/>
        <w:spacing w:line="276" w:lineRule="auto"/>
        <w:jc w:val="left"/>
        <w:rPr>
          <w:rFonts w:ascii="宋体" w:hAnsi="宋体"/>
          <w:color w:val="auto"/>
          <w:szCs w:val="21"/>
          <w:highlight w:val="none"/>
        </w:rPr>
      </w:pPr>
    </w:p>
    <w:p w14:paraId="76CEC818">
      <w:pPr>
        <w:adjustRightInd w:val="0"/>
        <w:snapToGrid w:val="0"/>
        <w:spacing w:line="276" w:lineRule="auto"/>
        <w:jc w:val="left"/>
        <w:rPr>
          <w:rFonts w:ascii="宋体" w:hAnsi="宋体"/>
          <w:color w:val="auto"/>
          <w:szCs w:val="21"/>
          <w:highlight w:val="none"/>
        </w:rPr>
      </w:pPr>
    </w:p>
    <w:p w14:paraId="6EF84301">
      <w:pPr>
        <w:adjustRightInd w:val="0"/>
        <w:snapToGrid w:val="0"/>
        <w:spacing w:line="276" w:lineRule="auto"/>
        <w:jc w:val="left"/>
        <w:rPr>
          <w:rFonts w:ascii="宋体" w:hAnsi="宋体"/>
          <w:color w:val="auto"/>
          <w:szCs w:val="21"/>
          <w:highlight w:val="none"/>
        </w:rPr>
      </w:pPr>
    </w:p>
    <w:p w14:paraId="31811782">
      <w:pPr>
        <w:adjustRightInd w:val="0"/>
        <w:snapToGrid w:val="0"/>
        <w:spacing w:line="276" w:lineRule="auto"/>
        <w:jc w:val="left"/>
        <w:rPr>
          <w:rFonts w:ascii="宋体" w:hAnsi="宋体"/>
          <w:color w:val="auto"/>
          <w:szCs w:val="21"/>
          <w:highlight w:val="none"/>
        </w:rPr>
      </w:pPr>
    </w:p>
    <w:p w14:paraId="7FF28D86">
      <w:pPr>
        <w:adjustRightInd w:val="0"/>
        <w:snapToGrid w:val="0"/>
        <w:spacing w:line="276" w:lineRule="auto"/>
        <w:jc w:val="left"/>
        <w:rPr>
          <w:rFonts w:ascii="宋体" w:hAnsi="宋体"/>
          <w:color w:val="auto"/>
          <w:szCs w:val="21"/>
          <w:highlight w:val="none"/>
        </w:rPr>
      </w:pPr>
    </w:p>
    <w:p w14:paraId="3811D972">
      <w:pPr>
        <w:adjustRightInd w:val="0"/>
        <w:snapToGrid w:val="0"/>
        <w:spacing w:line="276" w:lineRule="auto"/>
        <w:jc w:val="left"/>
        <w:rPr>
          <w:rFonts w:ascii="宋体" w:hAnsi="宋体"/>
          <w:color w:val="auto"/>
          <w:szCs w:val="21"/>
          <w:highlight w:val="none"/>
        </w:rPr>
      </w:pPr>
    </w:p>
    <w:p w14:paraId="28A073DC">
      <w:pPr>
        <w:adjustRightInd w:val="0"/>
        <w:snapToGrid w:val="0"/>
        <w:spacing w:line="276" w:lineRule="auto"/>
        <w:jc w:val="left"/>
        <w:rPr>
          <w:rFonts w:ascii="宋体" w:hAnsi="宋体"/>
          <w:color w:val="auto"/>
          <w:szCs w:val="21"/>
          <w:highlight w:val="none"/>
        </w:rPr>
      </w:pPr>
    </w:p>
    <w:p w14:paraId="6E695F84">
      <w:pPr>
        <w:adjustRightInd w:val="0"/>
        <w:snapToGrid w:val="0"/>
        <w:spacing w:line="276" w:lineRule="auto"/>
        <w:jc w:val="left"/>
        <w:rPr>
          <w:rFonts w:ascii="宋体" w:hAnsi="宋体"/>
          <w:color w:val="auto"/>
          <w:szCs w:val="21"/>
          <w:highlight w:val="none"/>
        </w:rPr>
      </w:pPr>
    </w:p>
    <w:p w14:paraId="71EAD7BF">
      <w:pPr>
        <w:adjustRightInd w:val="0"/>
        <w:snapToGrid w:val="0"/>
        <w:spacing w:line="276" w:lineRule="auto"/>
        <w:jc w:val="left"/>
        <w:rPr>
          <w:rFonts w:ascii="宋体" w:hAnsi="宋体"/>
          <w:color w:val="auto"/>
          <w:szCs w:val="21"/>
          <w:highlight w:val="none"/>
        </w:rPr>
      </w:pPr>
    </w:p>
    <w:p w14:paraId="2182433C">
      <w:pPr>
        <w:adjustRightInd w:val="0"/>
        <w:snapToGrid w:val="0"/>
        <w:spacing w:line="276" w:lineRule="auto"/>
        <w:jc w:val="left"/>
        <w:rPr>
          <w:rFonts w:ascii="宋体" w:hAnsi="宋体"/>
          <w:color w:val="auto"/>
          <w:szCs w:val="21"/>
          <w:highlight w:val="none"/>
        </w:rPr>
      </w:pPr>
      <w:r>
        <w:rPr>
          <w:rFonts w:hint="eastAsia" w:ascii="宋体" w:hAnsi="宋体"/>
          <w:color w:val="auto"/>
          <w:szCs w:val="21"/>
          <w:highlight w:val="none"/>
        </w:rPr>
        <w:t>说明：</w:t>
      </w:r>
    </w:p>
    <w:p w14:paraId="7FA3CB9C">
      <w:pPr>
        <w:adjustRightInd w:val="0"/>
        <w:snapToGrid w:val="0"/>
        <w:spacing w:line="276" w:lineRule="auto"/>
        <w:ind w:firstLine="630" w:firstLineChars="300"/>
        <w:jc w:val="left"/>
        <w:rPr>
          <w:rFonts w:ascii="宋体" w:hAnsi="宋体"/>
          <w:color w:val="auto"/>
          <w:szCs w:val="21"/>
          <w:highlight w:val="none"/>
        </w:rPr>
      </w:pPr>
      <w:r>
        <w:rPr>
          <w:rFonts w:hint="eastAsia" w:ascii="宋体" w:hAnsi="宋体"/>
          <w:color w:val="auto"/>
          <w:szCs w:val="21"/>
          <w:highlight w:val="none"/>
        </w:rPr>
        <w:t>适用于投标人不授权代理人，而由法定代表人直接参加投标并签署投标文件的情况。</w:t>
      </w:r>
    </w:p>
    <w:p w14:paraId="3C35EB83">
      <w:pPr>
        <w:adjustRightInd w:val="0"/>
        <w:snapToGrid w:val="0"/>
        <w:spacing w:line="276" w:lineRule="auto"/>
        <w:ind w:firstLine="630" w:firstLineChars="300"/>
        <w:jc w:val="left"/>
        <w:rPr>
          <w:rFonts w:ascii="宋体" w:hAnsi="宋体"/>
          <w:color w:val="auto"/>
          <w:szCs w:val="21"/>
          <w:highlight w:val="none"/>
        </w:rPr>
      </w:pPr>
      <w:r>
        <w:rPr>
          <w:rFonts w:hint="eastAsia" w:ascii="宋体" w:hAnsi="宋体"/>
          <w:color w:val="auto"/>
          <w:szCs w:val="21"/>
          <w:highlight w:val="none"/>
        </w:rPr>
        <w:t>如投标人为自然人，可在此页作出说明并粘贴本人身份证复印件即可。</w:t>
      </w:r>
    </w:p>
    <w:p w14:paraId="2BDE1A7E">
      <w:pPr>
        <w:adjustRightInd w:val="0"/>
        <w:snapToGrid w:val="0"/>
        <w:spacing w:line="276" w:lineRule="auto"/>
        <w:jc w:val="left"/>
        <w:rPr>
          <w:rFonts w:ascii="宋体" w:hAnsi="宋体"/>
          <w:color w:val="auto"/>
          <w:szCs w:val="21"/>
          <w:highlight w:val="none"/>
        </w:rPr>
      </w:pPr>
    </w:p>
    <w:p w14:paraId="629AD995">
      <w:pPr>
        <w:adjustRightInd w:val="0"/>
        <w:snapToGrid w:val="0"/>
        <w:spacing w:line="276" w:lineRule="auto"/>
        <w:jc w:val="center"/>
        <w:rPr>
          <w:color w:val="auto"/>
          <w:szCs w:val="21"/>
          <w:highlight w:val="none"/>
        </w:rPr>
      </w:pPr>
    </w:p>
    <w:p w14:paraId="4FEF0948">
      <w:pPr>
        <w:tabs>
          <w:tab w:val="center" w:pos="4153"/>
          <w:tab w:val="right" w:pos="8306"/>
        </w:tabs>
        <w:snapToGrid w:val="0"/>
        <w:spacing w:line="276" w:lineRule="auto"/>
        <w:jc w:val="center"/>
        <w:rPr>
          <w:rFonts w:ascii="等线" w:hAnsi="等线" w:eastAsia="等线"/>
          <w:color w:val="auto"/>
          <w:szCs w:val="21"/>
          <w:highlight w:val="none"/>
        </w:rPr>
      </w:pPr>
    </w:p>
    <w:p w14:paraId="39AB4D38">
      <w:pPr>
        <w:pStyle w:val="30"/>
        <w:numPr>
          <w:ilvl w:val="0"/>
          <w:numId w:val="58"/>
        </w:numPr>
        <w:spacing w:line="276" w:lineRule="auto"/>
        <w:ind w:firstLineChars="0"/>
        <w:outlineLvl w:val="2"/>
        <w:rPr>
          <w:color w:val="auto"/>
          <w:szCs w:val="21"/>
          <w:highlight w:val="none"/>
        </w:rPr>
      </w:pPr>
      <w:r>
        <w:rPr>
          <w:rFonts w:hint="eastAsia" w:ascii="宋体" w:hAnsi="宋体"/>
          <w:color w:val="auto"/>
          <w:kern w:val="0"/>
          <w:szCs w:val="21"/>
          <w:highlight w:val="none"/>
        </w:rPr>
        <w:br w:type="page"/>
      </w:r>
      <w:bookmarkEnd w:id="129"/>
      <w:bookmarkEnd w:id="130"/>
      <w:bookmarkEnd w:id="131"/>
      <w:bookmarkEnd w:id="132"/>
      <w:bookmarkEnd w:id="133"/>
      <w:bookmarkEnd w:id="134"/>
      <w:bookmarkEnd w:id="135"/>
      <w:bookmarkEnd w:id="136"/>
      <w:r>
        <w:rPr>
          <w:rFonts w:hint="eastAsia" w:ascii="宋体" w:hAnsi="宋体"/>
          <w:color w:val="auto"/>
          <w:szCs w:val="21"/>
          <w:highlight w:val="none"/>
        </w:rPr>
        <w:t>法定代表人授权委托书</w:t>
      </w:r>
    </w:p>
    <w:p w14:paraId="64D37808">
      <w:pPr>
        <w:spacing w:line="276" w:lineRule="auto"/>
        <w:jc w:val="center"/>
        <w:rPr>
          <w:b/>
          <w:color w:val="auto"/>
          <w:szCs w:val="21"/>
          <w:highlight w:val="none"/>
        </w:rPr>
      </w:pPr>
      <w:r>
        <w:rPr>
          <w:rFonts w:hint="eastAsia"/>
          <w:b/>
          <w:color w:val="auto"/>
          <w:szCs w:val="21"/>
          <w:highlight w:val="none"/>
        </w:rPr>
        <w:t>法定代表人授权委托书</w:t>
      </w:r>
    </w:p>
    <w:p w14:paraId="1E65B5AF">
      <w:pPr>
        <w:spacing w:line="276" w:lineRule="auto"/>
        <w:rPr>
          <w:rFonts w:ascii="宋体" w:hAnsi="宋体"/>
          <w:b/>
          <w:color w:val="auto"/>
          <w:szCs w:val="21"/>
          <w:highlight w:val="none"/>
        </w:rPr>
      </w:pPr>
      <w:r>
        <w:rPr>
          <w:rFonts w:hint="eastAsia" w:ascii="宋体" w:hAnsi="宋体" w:cs="Courier New"/>
          <w:b/>
          <w:color w:val="auto"/>
          <w:szCs w:val="21"/>
          <w:highlight w:val="none"/>
        </w:rPr>
        <w:t>武汉理工大学、</w:t>
      </w:r>
      <w:r>
        <w:rPr>
          <w:rFonts w:hint="eastAsia" w:ascii="宋体" w:hAnsi="宋体" w:cs="Courier New"/>
          <w:b/>
          <w:color w:val="auto"/>
          <w:szCs w:val="21"/>
          <w:highlight w:val="none"/>
        </w:rPr>
        <w:fldChar w:fldCharType="begin"/>
      </w:r>
      <w:r>
        <w:rPr>
          <w:rFonts w:hint="eastAsia" w:ascii="宋体" w:hAnsi="宋体" w:cs="Courier New"/>
          <w:b/>
          <w:color w:val="auto"/>
          <w:szCs w:val="21"/>
          <w:highlight w:val="none"/>
        </w:rPr>
        <w:instrText xml:space="preserve"> DOCVARIABLE 招标机构名称 </w:instrText>
      </w:r>
      <w:r>
        <w:rPr>
          <w:rFonts w:hint="eastAsia" w:ascii="宋体" w:hAnsi="宋体" w:cs="Courier New"/>
          <w:b/>
          <w:color w:val="auto"/>
          <w:szCs w:val="21"/>
          <w:highlight w:val="none"/>
        </w:rPr>
        <w:fldChar w:fldCharType="separate"/>
      </w:r>
      <w:r>
        <w:rPr>
          <w:rFonts w:hint="eastAsia" w:ascii="宋体" w:hAnsi="宋体" w:cs="Courier New"/>
          <w:b/>
          <w:color w:val="auto"/>
          <w:szCs w:val="21"/>
          <w:highlight w:val="none"/>
        </w:rPr>
        <w:t>${招标机构名称}</w:t>
      </w:r>
      <w:r>
        <w:rPr>
          <w:rFonts w:hint="eastAsia" w:ascii="宋体" w:hAnsi="宋体" w:cs="Courier New"/>
          <w:b/>
          <w:color w:val="auto"/>
          <w:szCs w:val="21"/>
          <w:highlight w:val="none"/>
        </w:rPr>
        <w:fldChar w:fldCharType="end"/>
      </w:r>
      <w:r>
        <w:rPr>
          <w:rFonts w:hint="eastAsia" w:ascii="宋体" w:hAnsi="宋体" w:cs="Courier New"/>
          <w:b/>
          <w:color w:val="auto"/>
          <w:szCs w:val="21"/>
          <w:highlight w:val="none"/>
        </w:rPr>
        <w:t>：</w:t>
      </w:r>
    </w:p>
    <w:p w14:paraId="4EE62124">
      <w:pPr>
        <w:spacing w:line="276" w:lineRule="auto"/>
        <w:ind w:firstLine="420"/>
        <w:rPr>
          <w:rFonts w:ascii="宋体" w:hAnsi="宋体"/>
          <w:color w:val="auto"/>
          <w:szCs w:val="21"/>
          <w:highlight w:val="none"/>
        </w:rPr>
      </w:pPr>
      <w:r>
        <w:rPr>
          <w:bCs/>
          <w:color w:val="auto"/>
          <w:szCs w:val="21"/>
          <w:highlight w:val="none"/>
          <w:u w:val="single"/>
        </w:rPr>
        <w:t xml:space="preserve">                     </w:t>
      </w:r>
      <w:r>
        <w:rPr>
          <w:rFonts w:hint="eastAsia"/>
          <w:bCs/>
          <w:color w:val="auto"/>
          <w:szCs w:val="21"/>
          <w:highlight w:val="none"/>
        </w:rPr>
        <w:t>（投标人名称）在下面签名的</w:t>
      </w:r>
      <w:r>
        <w:rPr>
          <w:bCs/>
          <w:color w:val="auto"/>
          <w:szCs w:val="21"/>
          <w:highlight w:val="none"/>
          <w:u w:val="single"/>
        </w:rPr>
        <w:t xml:space="preserve">           </w:t>
      </w:r>
      <w:r>
        <w:rPr>
          <w:rFonts w:hint="eastAsia"/>
          <w:bCs/>
          <w:color w:val="auto"/>
          <w:szCs w:val="21"/>
          <w:highlight w:val="none"/>
        </w:rPr>
        <w:t>（法定代表人姓名）代表本公司授权</w:t>
      </w:r>
      <w:r>
        <w:rPr>
          <w:rFonts w:hint="eastAsia" w:ascii="宋体" w:hAnsi="宋体"/>
          <w:color w:val="auto"/>
          <w:szCs w:val="21"/>
          <w:highlight w:val="none"/>
          <w:u w:val="single"/>
        </w:rPr>
        <w:t xml:space="preserve">         </w:t>
      </w:r>
      <w:r>
        <w:rPr>
          <w:rFonts w:hint="eastAsia" w:ascii="宋体" w:hAnsi="宋体"/>
          <w:color w:val="auto"/>
          <w:szCs w:val="21"/>
          <w:highlight w:val="none"/>
        </w:rPr>
        <w:t>同志为我公司参加贵方组织的</w:t>
      </w:r>
      <w:r>
        <w:rPr>
          <w:rFonts w:hint="eastAsia" w:ascii="宋体" w:hAnsi="宋体"/>
          <w:color w:val="auto"/>
          <w:szCs w:val="21"/>
          <w:highlight w:val="none"/>
          <w:u w:val="single"/>
        </w:rPr>
        <w:t xml:space="preserve">           </w:t>
      </w:r>
      <w:r>
        <w:rPr>
          <w:rFonts w:hint="eastAsia" w:hAnsi="宋体"/>
          <w:color w:val="auto"/>
          <w:szCs w:val="21"/>
          <w:highlight w:val="none"/>
        </w:rPr>
        <w:t>项目（项目编号</w:t>
      </w:r>
      <w:r>
        <w:rPr>
          <w:rFonts w:hAnsi="宋体"/>
          <w:color w:val="auto"/>
          <w:szCs w:val="21"/>
          <w:highlight w:val="none"/>
        </w:rPr>
        <w:t>/</w:t>
      </w:r>
      <w:r>
        <w:rPr>
          <w:rFonts w:hint="eastAsia" w:hAnsi="宋体"/>
          <w:color w:val="auto"/>
          <w:szCs w:val="21"/>
          <w:highlight w:val="none"/>
        </w:rPr>
        <w:t>包号：</w:t>
      </w:r>
      <w:r>
        <w:rPr>
          <w:rFonts w:hAnsi="宋体"/>
          <w:color w:val="auto"/>
          <w:szCs w:val="21"/>
          <w:highlight w:val="none"/>
        </w:rPr>
        <w:t>_____</w:t>
      </w:r>
      <w:r>
        <w:rPr>
          <w:rFonts w:hAnsi="宋体"/>
          <w:color w:val="auto"/>
          <w:szCs w:val="21"/>
          <w:highlight w:val="none"/>
          <w:u w:val="single"/>
        </w:rPr>
        <w:t xml:space="preserve">    _</w:t>
      </w:r>
      <w:r>
        <w:rPr>
          <w:rFonts w:hint="eastAsia" w:hAnsi="宋体"/>
          <w:color w:val="auto"/>
          <w:szCs w:val="21"/>
          <w:highlight w:val="none"/>
        </w:rPr>
        <w:t>）</w:t>
      </w:r>
      <w:r>
        <w:rPr>
          <w:rFonts w:hint="eastAsia" w:ascii="宋体" w:hAnsi="宋体"/>
          <w:color w:val="auto"/>
          <w:szCs w:val="21"/>
          <w:highlight w:val="none"/>
        </w:rPr>
        <w:t>采购活动的投标人授权代表，全权代表我公司处理在该项目投标活动中的一切事宜。代理期限从</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日起至</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日止。</w:t>
      </w:r>
    </w:p>
    <w:p w14:paraId="09E59AC4">
      <w:pPr>
        <w:spacing w:line="276" w:lineRule="auto"/>
        <w:ind w:firstLine="472" w:firstLineChars="225"/>
        <w:rPr>
          <w:rFonts w:ascii="宋体" w:hAnsi="宋体"/>
          <w:color w:val="auto"/>
          <w:szCs w:val="21"/>
          <w:highlight w:val="none"/>
        </w:rPr>
      </w:pPr>
      <w:r>
        <w:rPr>
          <w:rFonts w:hint="eastAsia" w:ascii="宋体" w:hAnsi="宋体"/>
          <w:color w:val="auto"/>
          <w:szCs w:val="21"/>
          <w:highlight w:val="none"/>
        </w:rPr>
        <w:t>授权代表无转委托权。</w:t>
      </w:r>
    </w:p>
    <w:p w14:paraId="6A06C4F9">
      <w:pPr>
        <w:spacing w:line="276" w:lineRule="auto"/>
        <w:ind w:firstLine="472" w:firstLineChars="225"/>
        <w:rPr>
          <w:rFonts w:ascii="宋体" w:hAnsi="宋体"/>
          <w:color w:val="auto"/>
          <w:szCs w:val="21"/>
          <w:highlight w:val="none"/>
        </w:rPr>
      </w:pPr>
      <w:r>
        <w:rPr>
          <w:rFonts w:hint="eastAsia" w:cs="宋体"/>
          <w:color w:val="auto"/>
          <w:szCs w:val="21"/>
          <w:highlight w:val="none"/>
        </w:rPr>
        <w:t>特此声明。</w:t>
      </w:r>
    </w:p>
    <w:p w14:paraId="7FAE690E">
      <w:pPr>
        <w:spacing w:line="276" w:lineRule="auto"/>
        <w:ind w:firstLine="3595" w:firstLineChars="1712"/>
        <w:rPr>
          <w:bCs/>
          <w:color w:val="auto"/>
          <w:szCs w:val="21"/>
          <w:highlight w:val="none"/>
        </w:rPr>
      </w:pPr>
    </w:p>
    <w:p w14:paraId="141AC251">
      <w:pPr>
        <w:spacing w:line="276" w:lineRule="auto"/>
        <w:ind w:firstLine="3595" w:firstLineChars="1712"/>
        <w:rPr>
          <w:rFonts w:hAnsi="宋体"/>
          <w:b/>
          <w:bCs/>
          <w:color w:val="auto"/>
          <w:szCs w:val="21"/>
          <w:highlight w:val="none"/>
          <w:u w:val="single"/>
        </w:rPr>
      </w:pPr>
      <w:r>
        <w:rPr>
          <w:rFonts w:hint="eastAsia"/>
          <w:bCs/>
          <w:color w:val="auto"/>
          <w:szCs w:val="21"/>
          <w:highlight w:val="none"/>
        </w:rPr>
        <w:t>日期：</w:t>
      </w:r>
      <w:r>
        <w:rPr>
          <w:rFonts w:hint="eastAsia" w:ascii="宋体" w:hAnsi="宋体"/>
          <w:color w:val="auto"/>
          <w:kern w:val="0"/>
          <w:szCs w:val="21"/>
          <w:highlight w:val="none"/>
          <w:u w:val="single"/>
        </w:rPr>
        <w:t xml:space="preserve">    </w:t>
      </w:r>
      <w:r>
        <w:rPr>
          <w:rFonts w:hint="eastAsia"/>
          <w:bCs/>
          <w:color w:val="auto"/>
          <w:szCs w:val="21"/>
          <w:highlight w:val="none"/>
        </w:rPr>
        <w:t>年</w:t>
      </w:r>
      <w:r>
        <w:rPr>
          <w:rFonts w:hint="eastAsia" w:ascii="宋体" w:hAnsi="宋体"/>
          <w:color w:val="auto"/>
          <w:kern w:val="0"/>
          <w:szCs w:val="21"/>
          <w:highlight w:val="none"/>
          <w:u w:val="single"/>
        </w:rPr>
        <w:t xml:space="preserve">    </w:t>
      </w:r>
      <w:r>
        <w:rPr>
          <w:rFonts w:hint="eastAsia"/>
          <w:bCs/>
          <w:color w:val="auto"/>
          <w:szCs w:val="21"/>
          <w:highlight w:val="none"/>
        </w:rPr>
        <w:t>月</w:t>
      </w:r>
      <w:r>
        <w:rPr>
          <w:rFonts w:hint="eastAsia" w:ascii="宋体" w:hAnsi="宋体"/>
          <w:color w:val="auto"/>
          <w:kern w:val="0"/>
          <w:szCs w:val="21"/>
          <w:highlight w:val="none"/>
          <w:u w:val="single"/>
        </w:rPr>
        <w:t xml:space="preserve">    </w:t>
      </w:r>
      <w:r>
        <w:rPr>
          <w:rFonts w:hint="eastAsia"/>
          <w:bCs/>
          <w:color w:val="auto"/>
          <w:szCs w:val="21"/>
          <w:highlight w:val="none"/>
        </w:rPr>
        <w:t>日</w:t>
      </w:r>
    </w:p>
    <w:p w14:paraId="470ACA7E">
      <w:pPr>
        <w:spacing w:line="276" w:lineRule="auto"/>
        <w:rPr>
          <w:rFonts w:ascii="宋体" w:hAnsi="宋体"/>
          <w:color w:val="auto"/>
          <w:szCs w:val="21"/>
          <w:highlight w:val="none"/>
        </w:rPr>
      </w:pPr>
      <w:r>
        <w:rPr>
          <w:rFonts w:hint="eastAsia" w:ascii="宋体" w:hAnsi="宋体"/>
          <w:color w:val="auto"/>
          <w:szCs w:val="21"/>
          <w:highlight w:val="none"/>
        </w:rPr>
        <w:t>附：</w:t>
      </w:r>
    </w:p>
    <w:p w14:paraId="56AAFF46">
      <w:pPr>
        <w:adjustRightInd w:val="0"/>
        <w:snapToGrid w:val="0"/>
        <w:spacing w:line="276" w:lineRule="auto"/>
        <w:ind w:firstLine="630" w:firstLineChars="300"/>
        <w:rPr>
          <w:rFonts w:ascii="宋体" w:hAnsi="宋体"/>
          <w:color w:val="auto"/>
          <w:kern w:val="0"/>
          <w:szCs w:val="21"/>
          <w:highlight w:val="none"/>
        </w:rPr>
      </w:pPr>
      <w:r>
        <w:rPr>
          <w:rFonts w:hint="eastAsia" w:ascii="宋体" w:hAnsi="宋体"/>
          <w:color w:val="auto"/>
          <w:kern w:val="0"/>
          <w:szCs w:val="21"/>
          <w:highlight w:val="none"/>
        </w:rPr>
        <w:t>投标人名称（公章）：</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 xml:space="preserve">        </w:t>
      </w:r>
    </w:p>
    <w:p w14:paraId="13EF3344">
      <w:pPr>
        <w:adjustRightInd w:val="0"/>
        <w:snapToGrid w:val="0"/>
        <w:spacing w:line="276" w:lineRule="auto"/>
        <w:ind w:firstLine="630" w:firstLineChars="300"/>
        <w:rPr>
          <w:rFonts w:ascii="宋体" w:hAnsi="宋体"/>
          <w:color w:val="auto"/>
          <w:kern w:val="0"/>
          <w:szCs w:val="21"/>
          <w:highlight w:val="none"/>
        </w:rPr>
      </w:pPr>
      <w:r>
        <w:rPr>
          <w:rFonts w:hint="eastAsia" w:ascii="宋体" w:hAnsi="宋体"/>
          <w:color w:val="auto"/>
          <w:kern w:val="0"/>
          <w:szCs w:val="21"/>
          <w:highlight w:val="none"/>
        </w:rPr>
        <w:t>法定代表人（签名</w:t>
      </w:r>
      <w:r>
        <w:rPr>
          <w:rFonts w:ascii="宋体" w:hAnsi="宋体"/>
          <w:color w:val="auto"/>
          <w:kern w:val="0"/>
          <w:szCs w:val="21"/>
          <w:highlight w:val="none"/>
        </w:rPr>
        <w:t>或盖</w:t>
      </w:r>
      <w:r>
        <w:rPr>
          <w:rFonts w:hint="eastAsia" w:ascii="宋体" w:hAnsi="宋体"/>
          <w:color w:val="auto"/>
          <w:kern w:val="0"/>
          <w:szCs w:val="21"/>
          <w:highlight w:val="none"/>
        </w:rPr>
        <w:t>章）：</w:t>
      </w:r>
      <w:r>
        <w:rPr>
          <w:rFonts w:hint="eastAsia" w:ascii="宋体" w:hAnsi="宋体"/>
          <w:color w:val="auto"/>
          <w:kern w:val="0"/>
          <w:szCs w:val="21"/>
          <w:highlight w:val="none"/>
          <w:u w:val="single"/>
        </w:rPr>
        <w:t xml:space="preserve">                   </w:t>
      </w:r>
    </w:p>
    <w:p w14:paraId="6AFE4CAB">
      <w:pPr>
        <w:spacing w:line="276" w:lineRule="auto"/>
        <w:ind w:firstLine="630" w:firstLineChars="300"/>
        <w:rPr>
          <w:rFonts w:cs="宋体"/>
          <w:color w:val="auto"/>
          <w:szCs w:val="21"/>
          <w:highlight w:val="none"/>
        </w:rPr>
      </w:pPr>
      <w:r>
        <w:rPr>
          <w:rFonts w:hint="eastAsia" w:cs="宋体"/>
          <w:color w:val="auto"/>
          <w:szCs w:val="21"/>
          <w:highlight w:val="none"/>
        </w:rPr>
        <w:t>授权代表</w:t>
      </w:r>
      <w:r>
        <w:rPr>
          <w:rFonts w:hint="eastAsia" w:ascii="宋体" w:hAnsi="宋体"/>
          <w:color w:val="auto"/>
          <w:kern w:val="0"/>
          <w:szCs w:val="21"/>
          <w:highlight w:val="none"/>
        </w:rPr>
        <w:t>（签名）</w:t>
      </w:r>
      <w:r>
        <w:rPr>
          <w:rFonts w:hint="eastAsia" w:cs="宋体"/>
          <w:color w:val="auto"/>
          <w:szCs w:val="21"/>
          <w:highlight w:val="none"/>
        </w:rPr>
        <w:t>：</w:t>
      </w:r>
      <w:r>
        <w:rPr>
          <w:rFonts w:cs="宋体"/>
          <w:color w:val="auto"/>
          <w:szCs w:val="21"/>
          <w:highlight w:val="none"/>
          <w:u w:val="single"/>
        </w:rPr>
        <w:t xml:space="preserve">              </w:t>
      </w:r>
    </w:p>
    <w:p w14:paraId="117F8150">
      <w:pPr>
        <w:spacing w:line="276" w:lineRule="auto"/>
        <w:ind w:firstLine="630" w:firstLineChars="300"/>
        <w:rPr>
          <w:rFonts w:ascii="宋体" w:hAnsi="宋体"/>
          <w:color w:val="auto"/>
          <w:szCs w:val="21"/>
          <w:highlight w:val="none"/>
          <w:u w:val="single"/>
        </w:rPr>
      </w:pPr>
      <w:r>
        <w:rPr>
          <w:rFonts w:hint="eastAsia" w:cs="宋体"/>
          <w:color w:val="auto"/>
          <w:szCs w:val="21"/>
          <w:highlight w:val="none"/>
        </w:rPr>
        <w:t>授权代表</w:t>
      </w:r>
      <w:r>
        <w:rPr>
          <w:rFonts w:hint="eastAsia" w:ascii="宋体" w:hAnsi="宋体"/>
          <w:color w:val="auto"/>
          <w:kern w:val="0"/>
          <w:szCs w:val="21"/>
          <w:highlight w:val="none"/>
        </w:rPr>
        <w:t>身份证号码：</w:t>
      </w:r>
      <w:r>
        <w:rPr>
          <w:rFonts w:hint="eastAsia" w:ascii="宋体" w:hAnsi="宋体"/>
          <w:color w:val="auto"/>
          <w:kern w:val="0"/>
          <w:szCs w:val="21"/>
          <w:highlight w:val="none"/>
          <w:u w:val="single"/>
        </w:rPr>
        <w:t xml:space="preserve">                   </w:t>
      </w:r>
      <w:r>
        <w:rPr>
          <w:rFonts w:hint="eastAsia" w:ascii="宋体" w:hAnsi="宋体"/>
          <w:color w:val="auto"/>
          <w:szCs w:val="21"/>
          <w:highlight w:val="none"/>
          <w:u w:val="single"/>
        </w:rPr>
        <w:t xml:space="preserve">        </w:t>
      </w:r>
    </w:p>
    <w:p w14:paraId="6580376E">
      <w:pPr>
        <w:spacing w:line="276" w:lineRule="auto"/>
        <w:ind w:firstLine="630" w:firstLineChars="300"/>
        <w:rPr>
          <w:rFonts w:cs="宋体"/>
          <w:color w:val="auto"/>
          <w:szCs w:val="21"/>
          <w:highlight w:val="none"/>
        </w:rPr>
      </w:pPr>
      <w:r>
        <w:rPr>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-444500</wp:posOffset>
                </wp:positionH>
                <wp:positionV relativeFrom="paragraph">
                  <wp:posOffset>251460</wp:posOffset>
                </wp:positionV>
                <wp:extent cx="3000375" cy="1714500"/>
                <wp:effectExtent l="6985" t="6350" r="12065" b="12700"/>
                <wp:wrapNone/>
                <wp:docPr id="4" name="文本框 5"/>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F4E9200">
                            <w:pPr>
                              <w:ind w:firstLine="480"/>
                              <w:jc w:val="left"/>
                              <w:rPr>
                                <w:sz w:val="24"/>
                              </w:rPr>
                            </w:pPr>
                            <w:permStart w:id="2" w:edGrp="everyone"/>
                            <w:r>
                              <w:rPr>
                                <w:rFonts w:hint="eastAsia"/>
                                <w:sz w:val="24"/>
                              </w:rPr>
                              <w:t>附：法定代表人身份证复印件（正面）</w:t>
                            </w:r>
                            <w:permEnd w:id="2"/>
                          </w:p>
                        </w:txbxContent>
                      </wps:txbx>
                      <wps:bodyPr rot="0" vert="horz" wrap="square" lIns="91440" tIns="45720" rIns="91440" bIns="45720" anchor="t" anchorCtr="0" upright="1">
                        <a:noAutofit/>
                      </wps:bodyPr>
                    </wps:wsp>
                  </a:graphicData>
                </a:graphic>
              </wp:anchor>
            </w:drawing>
          </mc:Choice>
          <mc:Fallback>
            <w:pict>
              <v:rect id="文本框 5" o:spid="_x0000_s1026" o:spt="1" style="position:absolute;left:0pt;margin-left:-35pt;margin-top:19.8pt;height:135pt;width:236.25pt;z-index:251661312;mso-width-relative:page;mso-height-relative:page;" fillcolor="#FFFFFF" filled="t" stroked="t" coordsize="21600,21600" o:gfxdata="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HMRQJzWAAAACgEAAA8AAAAAAAAAAQAgAAAAIgAAAGRycy9kb3du&#10;cmV2LnhtbFBLAQIUABQAAAAIAIdO4kB8rbGccwIAAPgEAAAOAAAAAAAAAAEAIAAAACUBAABkcnMv&#10;ZTJvRG9jLnhtbFBLBQYAAAAABgAGAFkBAAAKBgAAAAA=&#10;">
                <v:fill type="gradient" on="t" color2="#FFFFFF" angle="90" focus="100%" focussize="0,0">
                  <o:fill type="gradientUnscaled" v:ext="backwardCompatible"/>
                </v:fill>
                <v:stroke color="#000000" miterlimit="2" joinstyle="miter"/>
                <v:imagedata o:title=""/>
                <o:lock v:ext="edit" aspectratio="f"/>
                <v:textbox>
                  <w:txbxContent>
                    <w:p w14:paraId="7F4E9200">
                      <w:pPr>
                        <w:ind w:firstLine="480"/>
                        <w:jc w:val="left"/>
                        <w:rPr>
                          <w:sz w:val="24"/>
                        </w:rPr>
                      </w:pPr>
                      <w:permStart w:id="2" w:edGrp="everyone"/>
                      <w:r>
                        <w:rPr>
                          <w:rFonts w:hint="eastAsia"/>
                          <w:sz w:val="24"/>
                        </w:rPr>
                        <w:t>附：法定代表人身份证复印件（正面）</w:t>
                      </w:r>
                      <w:permEnd w:id="2"/>
                    </w:p>
                  </w:txbxContent>
                </v:textbox>
              </v:rect>
            </w:pict>
          </mc:Fallback>
        </mc:AlternateContent>
      </w:r>
      <w:r>
        <w:rPr>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2733675</wp:posOffset>
                </wp:positionH>
                <wp:positionV relativeFrom="paragraph">
                  <wp:posOffset>256540</wp:posOffset>
                </wp:positionV>
                <wp:extent cx="3000375" cy="1714500"/>
                <wp:effectExtent l="13335" t="11430" r="5715" b="7620"/>
                <wp:wrapNone/>
                <wp:docPr id="3" name="文本框 4"/>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4DAEAFFD">
                            <w:pPr>
                              <w:ind w:firstLine="480"/>
                              <w:jc w:val="left"/>
                              <w:rPr>
                                <w:sz w:val="24"/>
                              </w:rPr>
                            </w:pPr>
                            <w:permStart w:id="3" w:edGrp="everyone"/>
                            <w:r>
                              <w:rPr>
                                <w:rFonts w:hint="eastAsia"/>
                                <w:sz w:val="24"/>
                              </w:rPr>
                              <w:t>附：法定代表人身份证复印件（反面）</w:t>
                            </w:r>
                            <w:permEnd w:id="3"/>
                          </w:p>
                        </w:txbxContent>
                      </wps:txbx>
                      <wps:bodyPr rot="0" vert="horz" wrap="square" lIns="91440" tIns="45720" rIns="91440" bIns="45720" anchor="t" anchorCtr="0" upright="1">
                        <a:noAutofit/>
                      </wps:bodyPr>
                    </wps:wsp>
                  </a:graphicData>
                </a:graphic>
              </wp:anchor>
            </w:drawing>
          </mc:Choice>
          <mc:Fallback>
            <w:pict>
              <v:rect id="文本框 4" o:spid="_x0000_s1026" o:spt="1" style="position:absolute;left:0pt;margin-left:215.25pt;margin-top:20.2pt;height:135pt;width:236.25pt;z-index:251662336;mso-width-relative:page;mso-height-relative:page;" fillcolor="#FFFFFF" filled="t" stroked="t" coordsize="21600,21600" o:gfxdata="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D4Wn0j1wAAAAoBAAAPAAAAAAAAAAEAIAAAACIAAABkcnMvZG93&#10;bnJldi54bWxQSwECFAAUAAAACACHTuJAqrjkknMCAAD4BAAADgAAAAAAAAABACAAAAAmAQAAZHJz&#10;L2Uyb0RvYy54bWxQSwUGAAAAAAYABgBZAQAACwYAAAAA&#10;">
                <v:fill type="gradient" on="t" color2="#FFFFFF" angle="90" focus="100%" focussize="0,0">
                  <o:fill type="gradientUnscaled" v:ext="backwardCompatible"/>
                </v:fill>
                <v:stroke color="#000000" miterlimit="2" joinstyle="miter"/>
                <v:imagedata o:title=""/>
                <o:lock v:ext="edit" aspectratio="f"/>
                <v:textbox>
                  <w:txbxContent>
                    <w:p w14:paraId="4DAEAFFD">
                      <w:pPr>
                        <w:ind w:firstLine="480"/>
                        <w:jc w:val="left"/>
                        <w:rPr>
                          <w:sz w:val="24"/>
                        </w:rPr>
                      </w:pPr>
                      <w:permStart w:id="3" w:edGrp="everyone"/>
                      <w:r>
                        <w:rPr>
                          <w:rFonts w:hint="eastAsia"/>
                          <w:sz w:val="24"/>
                        </w:rPr>
                        <w:t>附：法定代表人身份证复印件（反面）</w:t>
                      </w:r>
                      <w:permEnd w:id="3"/>
                    </w:p>
                  </w:txbxContent>
                </v:textbox>
              </v:rect>
            </w:pict>
          </mc:Fallback>
        </mc:AlternateContent>
      </w:r>
      <w:r>
        <w:rPr>
          <w:rFonts w:hint="eastAsia" w:cs="宋体"/>
          <w:color w:val="auto"/>
          <w:szCs w:val="21"/>
          <w:highlight w:val="none"/>
        </w:rPr>
        <w:t>电话：</w:t>
      </w:r>
      <w:r>
        <w:rPr>
          <w:rFonts w:cs="宋体"/>
          <w:color w:val="auto"/>
          <w:szCs w:val="21"/>
          <w:highlight w:val="none"/>
          <w:u w:val="single"/>
        </w:rPr>
        <w:t xml:space="preserve">                  </w:t>
      </w:r>
      <w:r>
        <w:rPr>
          <w:rFonts w:cs="宋体"/>
          <w:color w:val="auto"/>
          <w:szCs w:val="21"/>
          <w:highlight w:val="none"/>
        </w:rPr>
        <w:t xml:space="preserve"> </w:t>
      </w:r>
    </w:p>
    <w:p w14:paraId="4FBF827C">
      <w:pPr>
        <w:spacing w:line="276" w:lineRule="auto"/>
        <w:rPr>
          <w:rFonts w:ascii="宋体" w:hAnsi="宋体"/>
          <w:color w:val="auto"/>
          <w:szCs w:val="21"/>
          <w:highlight w:val="none"/>
        </w:rPr>
      </w:pPr>
    </w:p>
    <w:p w14:paraId="69ACAD18">
      <w:pPr>
        <w:spacing w:line="276" w:lineRule="auto"/>
        <w:rPr>
          <w:rFonts w:ascii="宋体" w:hAnsi="宋体"/>
          <w:color w:val="auto"/>
          <w:szCs w:val="21"/>
          <w:highlight w:val="none"/>
        </w:rPr>
      </w:pPr>
      <w:r>
        <w:rPr>
          <w:rFonts w:hint="eastAsia" w:ascii="宋体" w:hAnsi="宋体"/>
          <w:color w:val="auto"/>
          <w:szCs w:val="21"/>
          <w:highlight w:val="none"/>
        </w:rPr>
        <w:t xml:space="preserve">                            </w:t>
      </w:r>
    </w:p>
    <w:p w14:paraId="6AAA7F67">
      <w:pPr>
        <w:spacing w:line="276" w:lineRule="auto"/>
        <w:rPr>
          <w:rFonts w:ascii="宋体" w:hAnsi="宋体"/>
          <w:color w:val="auto"/>
          <w:szCs w:val="21"/>
          <w:highlight w:val="none"/>
        </w:rPr>
      </w:pPr>
    </w:p>
    <w:p w14:paraId="18B7295B">
      <w:pPr>
        <w:spacing w:line="276" w:lineRule="auto"/>
        <w:rPr>
          <w:rFonts w:ascii="宋体" w:hAnsi="宋体"/>
          <w:color w:val="auto"/>
          <w:szCs w:val="21"/>
          <w:highlight w:val="none"/>
        </w:rPr>
      </w:pPr>
    </w:p>
    <w:p w14:paraId="4CF3F40F">
      <w:pPr>
        <w:spacing w:line="276" w:lineRule="auto"/>
        <w:rPr>
          <w:rFonts w:ascii="宋体" w:hAnsi="宋体"/>
          <w:color w:val="auto"/>
          <w:szCs w:val="21"/>
          <w:highlight w:val="none"/>
        </w:rPr>
      </w:pPr>
    </w:p>
    <w:p w14:paraId="093ABD50">
      <w:pPr>
        <w:autoSpaceDE w:val="0"/>
        <w:autoSpaceDN w:val="0"/>
        <w:spacing w:line="276" w:lineRule="auto"/>
        <w:ind w:left="268" w:leftChars="128" w:firstLine="420"/>
        <w:jc w:val="right"/>
        <w:rPr>
          <w:rFonts w:ascii="宋体" w:hAnsi="宋体"/>
          <w:color w:val="auto"/>
          <w:szCs w:val="21"/>
          <w:highlight w:val="none"/>
        </w:rPr>
      </w:pPr>
      <w:r>
        <w:rPr>
          <w:rFonts w:hint="eastAsia" w:ascii="宋体" w:hAnsi="宋体"/>
          <w:color w:val="auto"/>
          <w:szCs w:val="21"/>
          <w:highlight w:val="none"/>
        </w:rPr>
        <w:t xml:space="preserve">  </w:t>
      </w:r>
    </w:p>
    <w:p w14:paraId="0AA85A1B">
      <w:pPr>
        <w:autoSpaceDE w:val="0"/>
        <w:autoSpaceDN w:val="0"/>
        <w:spacing w:line="276" w:lineRule="auto"/>
        <w:ind w:left="268" w:leftChars="128" w:firstLine="420"/>
        <w:jc w:val="right"/>
        <w:rPr>
          <w:rFonts w:ascii="宋体" w:hAnsi="宋体"/>
          <w:color w:val="auto"/>
          <w:szCs w:val="21"/>
          <w:highlight w:val="none"/>
        </w:rPr>
      </w:pPr>
    </w:p>
    <w:p w14:paraId="66A98B93">
      <w:pPr>
        <w:spacing w:line="276" w:lineRule="auto"/>
        <w:ind w:left="480" w:hanging="480"/>
        <w:jc w:val="right"/>
        <w:rPr>
          <w:rFonts w:ascii="宋体" w:hAnsi="宋体"/>
          <w:color w:val="auto"/>
          <w:szCs w:val="21"/>
          <w:highlight w:val="none"/>
        </w:rPr>
      </w:pPr>
    </w:p>
    <w:p w14:paraId="1B01F435">
      <w:pPr>
        <w:spacing w:line="276" w:lineRule="auto"/>
        <w:ind w:left="480" w:hanging="480"/>
        <w:jc w:val="right"/>
        <w:rPr>
          <w:rFonts w:eastAsia="Times New Roman"/>
          <w:color w:val="auto"/>
          <w:szCs w:val="21"/>
          <w:highlight w:val="none"/>
        </w:rPr>
      </w:pPr>
      <w:r>
        <w:rPr>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-408940</wp:posOffset>
                </wp:positionH>
                <wp:positionV relativeFrom="paragraph">
                  <wp:posOffset>104775</wp:posOffset>
                </wp:positionV>
                <wp:extent cx="3000375" cy="1714500"/>
                <wp:effectExtent l="13970" t="5080" r="5080" b="13970"/>
                <wp:wrapNone/>
                <wp:docPr id="2" name="文本框 3"/>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483A9D84">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40F3E374">
                            <w:pPr>
                              <w:ind w:firstLine="420"/>
                            </w:pPr>
                          </w:p>
                        </w:txbxContent>
                      </wps:txbx>
                      <wps:bodyPr rot="0" vert="horz" wrap="square" lIns="91440" tIns="45720" rIns="91440" bIns="45720" anchor="t" anchorCtr="0" upright="1">
                        <a:noAutofit/>
                      </wps:bodyPr>
                    </wps:wsp>
                  </a:graphicData>
                </a:graphic>
              </wp:anchor>
            </w:drawing>
          </mc:Choice>
          <mc:Fallback>
            <w:pict>
              <v:rect id="文本框 3" o:spid="_x0000_s1026" o:spt="1" style="position:absolute;left:0pt;margin-left:-32.2pt;margin-top:8.25pt;height:135pt;width:236.25pt;z-index:251663360;mso-width-relative:page;mso-height-relative:page;" fillcolor="#FFFFFF" filled="t" stroked="t" coordsize="21600,21600" o:gfxdata="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A7vjX1gAAAAoBAAAPAAAAAAAAAAEAIAAAACIAAABkcnMvZG93bnJl&#10;di54bWxQSwECFAAUAAAACACHTuJAqehfqHECAAD4BAAADgAAAAAAAAABACAAAAAlAQAAZHJzL2Uy&#10;b0RvYy54bWxQSwUGAAAAAAYABgBZAQAACAYAAAAA&#10;">
                <v:fill type="gradient" on="t" color2="#FFFFFF" angle="90" focus="100%" focussize="0,0">
                  <o:fill type="gradientUnscaled" v:ext="backwardCompatible"/>
                </v:fill>
                <v:stroke color="#000000" miterlimit="2" joinstyle="miter"/>
                <v:imagedata o:title=""/>
                <o:lock v:ext="edit" aspectratio="f"/>
                <v:textbox>
                  <w:txbxContent>
                    <w:p w14:paraId="483A9D84">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40F3E374">
                      <w:pPr>
                        <w:ind w:firstLine="420"/>
                      </w:pPr>
                    </w:p>
                  </w:txbxContent>
                </v:textbox>
              </v:rect>
            </w:pict>
          </mc:Fallback>
        </mc:AlternateContent>
      </w:r>
      <w:r>
        <w:rPr>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2748915</wp:posOffset>
                </wp:positionH>
                <wp:positionV relativeFrom="paragraph">
                  <wp:posOffset>77470</wp:posOffset>
                </wp:positionV>
                <wp:extent cx="3000375" cy="1714500"/>
                <wp:effectExtent l="9525" t="6350" r="9525" b="12700"/>
                <wp:wrapNone/>
                <wp:docPr id="1" name="文本框 2"/>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315F8007">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2724E75D">
                            <w:pPr>
                              <w:ind w:firstLine="420"/>
                            </w:pPr>
                          </w:p>
                        </w:txbxContent>
                      </wps:txbx>
                      <wps:bodyPr rot="0" vert="horz" wrap="square" lIns="91440" tIns="45720" rIns="91440" bIns="45720" anchor="t" anchorCtr="0" upright="1">
                        <a:noAutofit/>
                      </wps:bodyPr>
                    </wps:wsp>
                  </a:graphicData>
                </a:graphic>
              </wp:anchor>
            </w:drawing>
          </mc:Choice>
          <mc:Fallback>
            <w:pict>
              <v:rect id="文本框 2" o:spid="_x0000_s1026" o:spt="1" style="position:absolute;left:0pt;margin-left:216.45pt;margin-top:6.1pt;height:135pt;width:236.25pt;z-index:251664384;mso-width-relative:page;mso-height-relative:page;" fillcolor="#FFFFFF" filled="t" stroked="t" coordsize="21600,21600" o:gfxdata="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NmAGZXWAAAACgEAAA8AAAAAAAAAAQAgAAAAIgAAAGRycy9kb3du&#10;cmV2LnhtbFBLAQIUABQAAAAIAIdO4kCf8b/OcwIAAPgEAAAOAAAAAAAAAAEAIAAAACUBAABkcnMv&#10;ZTJvRG9jLnhtbFBLBQYAAAAABgAGAFkBAAAKBgAAAAA=&#10;">
                <v:fill type="gradient" on="t" color2="#FFFFFF" angle="90" focus="100%" focussize="0,0">
                  <o:fill type="gradientUnscaled" v:ext="backwardCompatible"/>
                </v:fill>
                <v:stroke color="#000000" miterlimit="2" joinstyle="miter"/>
                <v:imagedata o:title=""/>
                <o:lock v:ext="edit" aspectratio="f"/>
                <v:textbox>
                  <w:txbxContent>
                    <w:p w14:paraId="315F8007">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2724E75D">
                      <w:pPr>
                        <w:ind w:firstLine="420"/>
                      </w:pPr>
                    </w:p>
                  </w:txbxContent>
                </v:textbox>
              </v:rect>
            </w:pict>
          </mc:Fallback>
        </mc:AlternateContent>
      </w:r>
    </w:p>
    <w:p w14:paraId="32674BAB">
      <w:pPr>
        <w:spacing w:line="276" w:lineRule="auto"/>
        <w:rPr>
          <w:rFonts w:ascii="宋体" w:hAnsi="宋体"/>
          <w:color w:val="auto"/>
          <w:szCs w:val="21"/>
          <w:highlight w:val="none"/>
        </w:rPr>
      </w:pPr>
    </w:p>
    <w:p w14:paraId="1266BC95">
      <w:pPr>
        <w:spacing w:line="276" w:lineRule="auto"/>
        <w:rPr>
          <w:rFonts w:ascii="宋体" w:hAnsi="宋体"/>
          <w:color w:val="auto"/>
          <w:szCs w:val="21"/>
          <w:highlight w:val="none"/>
        </w:rPr>
      </w:pPr>
    </w:p>
    <w:p w14:paraId="28C0F058">
      <w:pPr>
        <w:spacing w:line="276" w:lineRule="auto"/>
        <w:rPr>
          <w:rFonts w:ascii="宋体" w:hAnsi="宋体"/>
          <w:color w:val="auto"/>
          <w:szCs w:val="21"/>
          <w:highlight w:val="none"/>
        </w:rPr>
      </w:pPr>
    </w:p>
    <w:p w14:paraId="4F767445">
      <w:pPr>
        <w:spacing w:line="276" w:lineRule="auto"/>
        <w:rPr>
          <w:rFonts w:ascii="宋体" w:hAnsi="宋体"/>
          <w:color w:val="auto"/>
          <w:szCs w:val="21"/>
          <w:highlight w:val="none"/>
        </w:rPr>
      </w:pPr>
    </w:p>
    <w:p w14:paraId="64EBCB45">
      <w:pPr>
        <w:spacing w:line="276" w:lineRule="auto"/>
        <w:rPr>
          <w:rFonts w:ascii="宋体" w:hAnsi="宋体"/>
          <w:color w:val="auto"/>
          <w:szCs w:val="21"/>
          <w:highlight w:val="none"/>
        </w:rPr>
      </w:pPr>
    </w:p>
    <w:p w14:paraId="60F3DA9A">
      <w:pPr>
        <w:spacing w:line="276" w:lineRule="auto"/>
        <w:rPr>
          <w:rFonts w:ascii="宋体" w:hAnsi="宋体"/>
          <w:color w:val="auto"/>
          <w:szCs w:val="21"/>
          <w:highlight w:val="none"/>
        </w:rPr>
      </w:pPr>
    </w:p>
    <w:p w14:paraId="4218E4E0">
      <w:pPr>
        <w:spacing w:line="276" w:lineRule="auto"/>
        <w:rPr>
          <w:rFonts w:ascii="宋体" w:hAnsi="宋体"/>
          <w:color w:val="auto"/>
          <w:szCs w:val="21"/>
          <w:highlight w:val="none"/>
        </w:rPr>
      </w:pPr>
    </w:p>
    <w:p w14:paraId="0D22109A">
      <w:pPr>
        <w:spacing w:line="276" w:lineRule="auto"/>
        <w:rPr>
          <w:rFonts w:ascii="宋体" w:hAnsi="宋体"/>
          <w:color w:val="auto"/>
          <w:szCs w:val="21"/>
          <w:highlight w:val="none"/>
        </w:rPr>
      </w:pPr>
    </w:p>
    <w:p w14:paraId="7A9C46D3">
      <w:pPr>
        <w:spacing w:line="276" w:lineRule="auto"/>
        <w:rPr>
          <w:rFonts w:ascii="宋体" w:hAnsi="宋体"/>
          <w:color w:val="auto"/>
          <w:szCs w:val="21"/>
          <w:highlight w:val="none"/>
        </w:rPr>
      </w:pPr>
      <w:r>
        <w:rPr>
          <w:rFonts w:hint="eastAsia" w:ascii="宋体" w:hAnsi="宋体"/>
          <w:color w:val="auto"/>
          <w:szCs w:val="21"/>
          <w:highlight w:val="none"/>
        </w:rPr>
        <w:t>说明：投标人不委托授权代表，而由法定代表人直接参加投标时不需要此授权书。</w:t>
      </w:r>
    </w:p>
    <w:p w14:paraId="0A4F9555">
      <w:pPr>
        <w:spacing w:line="276" w:lineRule="auto"/>
        <w:ind w:firstLine="634" w:firstLineChars="302"/>
        <w:rPr>
          <w:color w:val="auto"/>
          <w:szCs w:val="21"/>
          <w:highlight w:val="none"/>
        </w:rPr>
      </w:pPr>
      <w:r>
        <w:rPr>
          <w:rFonts w:hint="eastAsia" w:ascii="宋体" w:hAnsi="宋体"/>
          <w:color w:val="auto"/>
          <w:szCs w:val="21"/>
          <w:highlight w:val="none"/>
        </w:rPr>
        <w:t>自然人投标时不需要此授权书。</w:t>
      </w:r>
    </w:p>
    <w:p w14:paraId="31D83DBD">
      <w:pPr>
        <w:pStyle w:val="30"/>
        <w:numPr>
          <w:ilvl w:val="0"/>
          <w:numId w:val="58"/>
        </w:numPr>
        <w:spacing w:line="276" w:lineRule="auto"/>
        <w:ind w:firstLineChars="0"/>
        <w:outlineLvl w:val="2"/>
        <w:rPr>
          <w:color w:val="auto"/>
          <w:szCs w:val="21"/>
          <w:highlight w:val="none"/>
        </w:rPr>
      </w:pPr>
      <w:r>
        <w:rPr>
          <w:color w:val="auto"/>
          <w:kern w:val="0"/>
          <w:szCs w:val="21"/>
          <w:highlight w:val="none"/>
        </w:rPr>
        <w:br w:type="page"/>
      </w:r>
      <w:r>
        <w:rPr>
          <w:color w:val="auto"/>
          <w:szCs w:val="21"/>
          <w:highlight w:val="none"/>
        </w:rPr>
        <w:t>资格证明材料</w:t>
      </w:r>
    </w:p>
    <w:p w14:paraId="25C957B5">
      <w:pPr>
        <w:spacing w:line="276" w:lineRule="auto"/>
        <w:ind w:firstLine="210" w:firstLineChars="100"/>
        <w:rPr>
          <w:rFonts w:ascii="宋体" w:hAnsi="宋体"/>
          <w:color w:val="auto"/>
          <w:szCs w:val="21"/>
          <w:highlight w:val="none"/>
        </w:rPr>
      </w:pPr>
      <w:r>
        <w:rPr>
          <w:rFonts w:hint="eastAsia" w:ascii="宋体" w:hAnsi="宋体"/>
          <w:color w:val="auto"/>
          <w:szCs w:val="21"/>
          <w:highlight w:val="none"/>
        </w:rPr>
        <w:t>说明：</w:t>
      </w:r>
    </w:p>
    <w:p w14:paraId="706B1193">
      <w:pPr>
        <w:spacing w:line="276" w:lineRule="auto"/>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b/>
          <w:color w:val="auto"/>
          <w:szCs w:val="21"/>
          <w:highlight w:val="none"/>
        </w:rPr>
        <w:t>投标人应</w:t>
      </w:r>
      <w:r>
        <w:rPr>
          <w:rFonts w:ascii="宋体" w:hAnsi="宋体"/>
          <w:b/>
          <w:color w:val="auto"/>
          <w:szCs w:val="21"/>
          <w:highlight w:val="none"/>
        </w:rPr>
        <w:t>按</w:t>
      </w:r>
      <w:r>
        <w:rPr>
          <w:rFonts w:hint="eastAsia" w:ascii="宋体" w:hAnsi="宋体"/>
          <w:b/>
          <w:color w:val="auto"/>
          <w:szCs w:val="21"/>
          <w:highlight w:val="none"/>
        </w:rPr>
        <w:t>招标文件</w:t>
      </w:r>
      <w:r>
        <w:rPr>
          <w:rFonts w:ascii="宋体" w:hAnsi="宋体"/>
          <w:b/>
          <w:color w:val="auto"/>
          <w:szCs w:val="21"/>
          <w:highlight w:val="none"/>
        </w:rPr>
        <w:t>第四章</w:t>
      </w:r>
      <w:r>
        <w:rPr>
          <w:rFonts w:hint="eastAsia" w:ascii="宋体" w:hAnsi="宋体"/>
          <w:b/>
          <w:color w:val="auto"/>
          <w:szCs w:val="21"/>
          <w:highlight w:val="none"/>
        </w:rPr>
        <w:t>——资格审查方法及标准《资格审查表》要求内容逐项提供相应证明文件</w:t>
      </w:r>
      <w:r>
        <w:rPr>
          <w:rFonts w:hint="eastAsia" w:ascii="宋体" w:hAnsi="宋体"/>
          <w:color w:val="auto"/>
          <w:szCs w:val="21"/>
          <w:highlight w:val="none"/>
        </w:rPr>
        <w:t>；</w:t>
      </w:r>
    </w:p>
    <w:p w14:paraId="368E445A">
      <w:pPr>
        <w:spacing w:line="276" w:lineRule="auto"/>
        <w:ind w:firstLine="420" w:firstLineChars="200"/>
        <w:rPr>
          <w:rFonts w:ascii="宋体" w:hAnsi="宋体"/>
          <w:color w:val="auto"/>
          <w:szCs w:val="21"/>
          <w:highlight w:val="none"/>
        </w:rPr>
      </w:pPr>
      <w:r>
        <w:rPr>
          <w:rFonts w:hint="eastAsia" w:ascii="宋体" w:hAnsi="宋体"/>
          <w:color w:val="auto"/>
          <w:szCs w:val="21"/>
          <w:highlight w:val="none"/>
        </w:rPr>
        <w:t>2）证明材料仅限于投标单位本身，参股或控股单位及独立法人子公司的材料不能作为证明材料，但投标单位兼并的企业的材料可作为证明材料。</w:t>
      </w:r>
    </w:p>
    <w:p w14:paraId="64611036">
      <w:pPr>
        <w:widowControl/>
        <w:jc w:val="left"/>
        <w:rPr>
          <w:rFonts w:ascii="宋体" w:hAnsi="宋体"/>
          <w:color w:val="auto"/>
          <w:szCs w:val="21"/>
          <w:highlight w:val="none"/>
        </w:rPr>
      </w:pPr>
      <w:r>
        <w:rPr>
          <w:rFonts w:ascii="宋体" w:hAnsi="宋体"/>
          <w:color w:val="auto"/>
          <w:szCs w:val="21"/>
          <w:highlight w:val="none"/>
        </w:rPr>
        <w:br w:type="page"/>
      </w:r>
    </w:p>
    <w:p w14:paraId="4D8DD696">
      <w:pPr>
        <w:spacing w:line="276" w:lineRule="auto"/>
        <w:outlineLvl w:val="4"/>
        <w:rPr>
          <w:rFonts w:ascii="宋体" w:hAnsi="宋体"/>
          <w:color w:val="auto"/>
          <w:szCs w:val="21"/>
          <w:highlight w:val="none"/>
        </w:rPr>
      </w:pPr>
      <w:r>
        <w:rPr>
          <w:rFonts w:hint="eastAsia" w:ascii="宋体" w:hAnsi="宋体"/>
          <w:color w:val="auto"/>
          <w:szCs w:val="21"/>
          <w:highlight w:val="none"/>
        </w:rPr>
        <w:t>附件</w:t>
      </w:r>
      <w:r>
        <w:rPr>
          <w:rFonts w:ascii="宋体" w:hAnsi="宋体"/>
          <w:color w:val="auto"/>
          <w:szCs w:val="21"/>
          <w:highlight w:val="none"/>
        </w:rPr>
        <w:t>一：部分资格材料格式要求</w:t>
      </w:r>
      <w:r>
        <w:rPr>
          <w:rFonts w:hint="eastAsia" w:ascii="宋体" w:hAnsi="宋体"/>
          <w:color w:val="auto"/>
          <w:szCs w:val="21"/>
          <w:highlight w:val="none"/>
        </w:rPr>
        <w:t>——</w:t>
      </w:r>
      <w:r>
        <w:rPr>
          <w:rFonts w:ascii="宋体" w:hAnsi="宋体"/>
          <w:color w:val="auto"/>
          <w:szCs w:val="21"/>
          <w:highlight w:val="none"/>
        </w:rPr>
        <w:t>联合体协议书格式</w:t>
      </w:r>
      <w:r>
        <w:rPr>
          <w:rFonts w:hint="eastAsia" w:ascii="宋体" w:hAnsi="宋体"/>
          <w:color w:val="auto"/>
          <w:szCs w:val="21"/>
          <w:highlight w:val="none"/>
          <w:lang w:val="zh-CN"/>
        </w:rPr>
        <w:t>（适用于接受联合体投标的项目，如非联合体投标或项目不接受联合体投标，则无需提供）</w:t>
      </w:r>
    </w:p>
    <w:p w14:paraId="01C69089">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联合体协议书</w:t>
      </w:r>
    </w:p>
    <w:p w14:paraId="6F89C25D">
      <w:pPr>
        <w:topLinePunct/>
        <w:snapToGrid w:val="0"/>
        <w:spacing w:line="276" w:lineRule="auto"/>
        <w:ind w:firstLine="420"/>
        <w:rPr>
          <w:color w:val="auto"/>
          <w:szCs w:val="21"/>
          <w:highlight w:val="none"/>
        </w:rPr>
      </w:pPr>
      <w:r>
        <w:rPr>
          <w:color w:val="auto"/>
          <w:szCs w:val="21"/>
          <w:highlight w:val="none"/>
          <w:u w:val="single"/>
        </w:rPr>
        <w:t xml:space="preserve">         </w:t>
      </w:r>
      <w:r>
        <w:rPr>
          <w:rFonts w:hint="eastAsia"/>
          <w:color w:val="auto"/>
          <w:szCs w:val="21"/>
          <w:highlight w:val="none"/>
        </w:rPr>
        <w:t>、</w:t>
      </w:r>
      <w:r>
        <w:rPr>
          <w:color w:val="auto"/>
          <w:szCs w:val="21"/>
          <w:highlight w:val="none"/>
          <w:u w:val="single"/>
        </w:rPr>
        <w:t xml:space="preserve">          </w:t>
      </w:r>
      <w:r>
        <w:rPr>
          <w:rFonts w:hint="eastAsia"/>
          <w:color w:val="auto"/>
          <w:szCs w:val="21"/>
          <w:highlight w:val="none"/>
        </w:rPr>
        <w:t>、</w:t>
      </w:r>
      <w:r>
        <w:rPr>
          <w:color w:val="auto"/>
          <w:szCs w:val="21"/>
          <w:highlight w:val="none"/>
          <w:u w:val="single"/>
        </w:rPr>
        <w:t xml:space="preserve">         </w:t>
      </w:r>
      <w:r>
        <w:rPr>
          <w:rFonts w:hint="eastAsia"/>
          <w:color w:val="auto"/>
          <w:szCs w:val="21"/>
          <w:highlight w:val="none"/>
        </w:rPr>
        <w:t>（所有成员单位名称）均具备《中华人民共和国政府采购法》第二十二条规定的条件，自愿组成</w:t>
      </w:r>
      <w:r>
        <w:rPr>
          <w:color w:val="auto"/>
          <w:szCs w:val="21"/>
          <w:highlight w:val="none"/>
          <w:u w:val="single"/>
        </w:rPr>
        <w:t xml:space="preserve">         </w:t>
      </w:r>
      <w:r>
        <w:rPr>
          <w:rFonts w:hint="eastAsia"/>
          <w:color w:val="auto"/>
          <w:szCs w:val="21"/>
          <w:highlight w:val="none"/>
        </w:rPr>
        <w:t>（联合体名称）联合体，共同参加</w:t>
      </w:r>
      <w:r>
        <w:rPr>
          <w:color w:val="auto"/>
          <w:szCs w:val="21"/>
          <w:highlight w:val="none"/>
          <w:u w:val="single"/>
        </w:rPr>
        <w:t xml:space="preserve">                </w:t>
      </w:r>
      <w:r>
        <w:rPr>
          <w:rFonts w:hint="eastAsia"/>
          <w:color w:val="auto"/>
          <w:szCs w:val="21"/>
          <w:highlight w:val="none"/>
        </w:rPr>
        <w:t>（项目编号</w:t>
      </w:r>
      <w:r>
        <w:rPr>
          <w:color w:val="auto"/>
          <w:szCs w:val="21"/>
          <w:highlight w:val="none"/>
        </w:rPr>
        <w:t>/</w:t>
      </w:r>
      <w:r>
        <w:rPr>
          <w:rFonts w:hint="eastAsia"/>
          <w:color w:val="auto"/>
          <w:szCs w:val="21"/>
          <w:highlight w:val="none"/>
        </w:rPr>
        <w:t>包号、项目名称）的投标并争取赢得本项目采购合同（以下简称合同）。现就联合体投标事宜订立如下协议。</w:t>
      </w:r>
    </w:p>
    <w:p w14:paraId="7E6078D8">
      <w:pP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rPr>
        <w:t>（某成员单位名称）为</w:t>
      </w:r>
      <w:r>
        <w:rPr>
          <w:rFonts w:ascii="宋体" w:hAnsi="宋体"/>
          <w:color w:val="auto"/>
          <w:szCs w:val="21"/>
          <w:highlight w:val="none"/>
          <w:u w:val="single"/>
        </w:rPr>
        <w:t xml:space="preserve">        </w:t>
      </w:r>
      <w:r>
        <w:rPr>
          <w:rFonts w:hint="eastAsia" w:ascii="宋体" w:hAnsi="宋体"/>
          <w:color w:val="auto"/>
          <w:szCs w:val="21"/>
          <w:highlight w:val="none"/>
        </w:rPr>
        <w:t>（联合体名称）牵头人。</w:t>
      </w:r>
    </w:p>
    <w:p w14:paraId="6D001910">
      <w:pP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3C3E09D7">
      <w:pP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24926504">
      <w:pP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、联合体各成员单位内部的职责分工如下：</w:t>
      </w:r>
    </w:p>
    <w:p w14:paraId="31F93DCF">
      <w:pPr>
        <w:topLinePunct/>
        <w:snapToGrid w:val="0"/>
        <w:spacing w:line="276" w:lineRule="auto"/>
        <w:ind w:firstLine="420"/>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承担项目采购合同金额的</w:t>
      </w:r>
      <w:r>
        <w:rPr>
          <w:rFonts w:ascii="宋体" w:hAnsi="宋体"/>
          <w:color w:val="auto"/>
          <w:szCs w:val="21"/>
          <w:highlight w:val="none"/>
          <w:u w:val="single"/>
        </w:rPr>
        <w:t xml:space="preserve">     </w:t>
      </w:r>
      <w:r>
        <w:rPr>
          <w:rFonts w:hint="eastAsia" w:ascii="宋体" w:hAnsi="宋体"/>
          <w:color w:val="auto"/>
          <w:szCs w:val="21"/>
          <w:highlight w:val="none"/>
        </w:rPr>
        <w:t>%，负责的工作为：</w:t>
      </w:r>
      <w:r>
        <w:rPr>
          <w:rFonts w:ascii="宋体" w:hAnsi="宋体"/>
          <w:color w:val="auto"/>
          <w:szCs w:val="21"/>
          <w:highlight w:val="none"/>
          <w:u w:val="single"/>
        </w:rPr>
        <w:t xml:space="preserve">                </w:t>
      </w:r>
      <w:r>
        <w:rPr>
          <w:rFonts w:hint="eastAsia" w:ascii="宋体" w:hAnsi="宋体"/>
          <w:color w:val="auto"/>
          <w:szCs w:val="21"/>
          <w:highlight w:val="none"/>
        </w:rPr>
        <w:t>；</w:t>
      </w:r>
    </w:p>
    <w:p w14:paraId="1F942FF6">
      <w:pPr>
        <w:topLinePunct/>
        <w:snapToGrid w:val="0"/>
        <w:spacing w:line="276" w:lineRule="auto"/>
        <w:ind w:firstLine="420"/>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承担项目采购合同金额的</w:t>
      </w:r>
      <w:r>
        <w:rPr>
          <w:rFonts w:ascii="宋体" w:hAnsi="宋体"/>
          <w:color w:val="auto"/>
          <w:szCs w:val="21"/>
          <w:highlight w:val="none"/>
          <w:u w:val="single"/>
        </w:rPr>
        <w:t xml:space="preserve">     </w:t>
      </w:r>
      <w:r>
        <w:rPr>
          <w:rFonts w:hint="eastAsia" w:ascii="宋体" w:hAnsi="宋体"/>
          <w:color w:val="auto"/>
          <w:szCs w:val="21"/>
          <w:highlight w:val="none"/>
        </w:rPr>
        <w:t>%，负责的工作为：</w:t>
      </w:r>
      <w:r>
        <w:rPr>
          <w:rFonts w:ascii="宋体" w:hAnsi="宋体"/>
          <w:color w:val="auto"/>
          <w:szCs w:val="21"/>
          <w:highlight w:val="none"/>
          <w:u w:val="single"/>
        </w:rPr>
        <w:t xml:space="preserve">                </w:t>
      </w:r>
      <w:r>
        <w:rPr>
          <w:rFonts w:hint="eastAsia" w:ascii="宋体" w:hAnsi="宋体"/>
          <w:color w:val="auto"/>
          <w:szCs w:val="21"/>
          <w:highlight w:val="none"/>
        </w:rPr>
        <w:t>；</w:t>
      </w:r>
    </w:p>
    <w:p w14:paraId="44B0A043">
      <w:pP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w:t>
      </w:r>
    </w:p>
    <w:p w14:paraId="6E976341">
      <w:pP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、投标工作以及联合体在中标后项目实施过程中的有关费用按各自承担的工作量分摊。</w:t>
      </w:r>
    </w:p>
    <w:p w14:paraId="35E99706">
      <w:pP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、联合体中标后，本联合体协议是合同的附件，对联合体各成员单位有合同约束力。</w:t>
      </w:r>
    </w:p>
    <w:p w14:paraId="69E6471F">
      <w:pP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、本协议书自签署之日起生效，联合体未中标或者中标时合同履行完毕后自动失效。</w:t>
      </w:r>
      <w:r>
        <w:rPr>
          <w:rFonts w:ascii="宋体" w:hAnsi="宋体"/>
          <w:color w:val="auto"/>
          <w:szCs w:val="21"/>
          <w:highlight w:val="none"/>
        </w:rPr>
        <w:t xml:space="preserve"> </w:t>
      </w:r>
    </w:p>
    <w:p w14:paraId="370CE33B">
      <w:pPr>
        <w:topLinePunct/>
        <w:snapToGrid w:val="0"/>
        <w:spacing w:line="276" w:lineRule="auto"/>
        <w:ind w:firstLine="420"/>
        <w:rPr>
          <w:color w:val="auto"/>
          <w:szCs w:val="21"/>
          <w:highlight w:val="none"/>
        </w:rPr>
      </w:pPr>
      <w:r>
        <w:rPr>
          <w:rFonts w:ascii="宋体" w:hAnsi="宋体"/>
          <w:color w:val="auto"/>
          <w:szCs w:val="21"/>
          <w:highlight w:val="none"/>
        </w:rPr>
        <w:t>8</w:t>
      </w:r>
      <w:r>
        <w:rPr>
          <w:rFonts w:hint="eastAsia" w:ascii="宋体" w:hAnsi="宋体"/>
          <w:color w:val="auto"/>
          <w:szCs w:val="21"/>
          <w:highlight w:val="none"/>
        </w:rPr>
        <w:t>、本</w:t>
      </w:r>
      <w:r>
        <w:rPr>
          <w:rFonts w:hint="eastAsia"/>
          <w:color w:val="auto"/>
          <w:szCs w:val="21"/>
          <w:highlight w:val="none"/>
        </w:rPr>
        <w:t>协议书一式</w:t>
      </w:r>
      <w:r>
        <w:rPr>
          <w:color w:val="auto"/>
          <w:szCs w:val="21"/>
          <w:highlight w:val="none"/>
          <w:u w:val="single"/>
        </w:rPr>
        <w:t xml:space="preserve">     </w:t>
      </w:r>
      <w:r>
        <w:rPr>
          <w:rFonts w:hint="eastAsia"/>
          <w:color w:val="auto"/>
          <w:szCs w:val="21"/>
          <w:highlight w:val="none"/>
        </w:rPr>
        <w:t>份，联合体成员和采购人各执一份。</w:t>
      </w:r>
    </w:p>
    <w:p w14:paraId="7EF665E9">
      <w:pPr>
        <w:topLinePunct/>
        <w:snapToGrid w:val="0"/>
        <w:spacing w:line="276" w:lineRule="auto"/>
        <w:ind w:firstLine="420"/>
        <w:rPr>
          <w:color w:val="auto"/>
          <w:szCs w:val="21"/>
          <w:highlight w:val="none"/>
        </w:rPr>
      </w:pPr>
      <w:r>
        <w:rPr>
          <w:rFonts w:hint="eastAsia"/>
          <w:color w:val="auto"/>
          <w:szCs w:val="21"/>
          <w:highlight w:val="none"/>
        </w:rPr>
        <w:t>注：本协议书由授权代表</w:t>
      </w:r>
      <w:r>
        <w:rPr>
          <w:rFonts w:hint="eastAsia"/>
          <w:bCs/>
          <w:color w:val="auto"/>
          <w:szCs w:val="21"/>
          <w:highlight w:val="none"/>
        </w:rPr>
        <w:t>签名</w:t>
      </w:r>
      <w:r>
        <w:rPr>
          <w:rFonts w:hint="eastAsia"/>
          <w:color w:val="auto"/>
          <w:szCs w:val="21"/>
          <w:highlight w:val="none"/>
        </w:rPr>
        <w:t>的，应附法定代表人签名的授权委托书。</w:t>
      </w:r>
    </w:p>
    <w:p w14:paraId="7BAA2F9D">
      <w:pPr>
        <w:topLinePunct/>
        <w:ind w:left="2310" w:leftChars="1100" w:firstLine="420"/>
        <w:rPr>
          <w:color w:val="auto"/>
          <w:szCs w:val="21"/>
          <w:highlight w:val="none"/>
        </w:rPr>
      </w:pPr>
    </w:p>
    <w:p w14:paraId="2C680E4C">
      <w:pPr>
        <w:topLinePunct/>
        <w:ind w:left="2310" w:leftChars="1100" w:firstLine="420"/>
        <w:rPr>
          <w:color w:val="auto"/>
          <w:szCs w:val="21"/>
          <w:highlight w:val="none"/>
        </w:rPr>
      </w:pPr>
      <w:r>
        <w:rPr>
          <w:rFonts w:hint="eastAsia"/>
          <w:color w:val="auto"/>
          <w:szCs w:val="21"/>
          <w:highlight w:val="none"/>
        </w:rPr>
        <w:t>牵头人名称：</w:t>
      </w:r>
      <w:r>
        <w:rPr>
          <w:color w:val="auto"/>
          <w:szCs w:val="21"/>
          <w:highlight w:val="none"/>
          <w:u w:val="single"/>
        </w:rPr>
        <w:t xml:space="preserve">                                 </w:t>
      </w:r>
      <w:r>
        <w:rPr>
          <w:rFonts w:hint="eastAsia"/>
          <w:color w:val="auto"/>
          <w:szCs w:val="21"/>
          <w:highlight w:val="none"/>
        </w:rPr>
        <w:t>（盖单位章）</w:t>
      </w:r>
    </w:p>
    <w:p w14:paraId="58E0E2DF">
      <w:pPr>
        <w:topLinePunct/>
        <w:ind w:left="2310" w:leftChars="1100" w:firstLine="420"/>
        <w:rPr>
          <w:color w:val="auto"/>
          <w:szCs w:val="21"/>
          <w:highlight w:val="none"/>
        </w:rPr>
      </w:pPr>
      <w:r>
        <w:rPr>
          <w:rFonts w:hint="eastAsia"/>
          <w:color w:val="auto"/>
          <w:szCs w:val="21"/>
          <w:highlight w:val="none"/>
        </w:rPr>
        <w:t>授权代表：</w:t>
      </w:r>
      <w:r>
        <w:rPr>
          <w:color w:val="auto"/>
          <w:szCs w:val="21"/>
          <w:highlight w:val="none"/>
          <w:u w:val="single"/>
        </w:rPr>
        <w:t xml:space="preserve">                       </w:t>
      </w:r>
      <w:r>
        <w:rPr>
          <w:rFonts w:hint="eastAsia"/>
          <w:color w:val="auto"/>
          <w:szCs w:val="21"/>
          <w:highlight w:val="none"/>
        </w:rPr>
        <w:t>（签名）</w:t>
      </w:r>
    </w:p>
    <w:p w14:paraId="32127F2C">
      <w:pPr>
        <w:topLinePunct/>
        <w:ind w:left="2310" w:leftChars="1100" w:firstLine="420"/>
        <w:rPr>
          <w:color w:val="auto"/>
          <w:szCs w:val="21"/>
          <w:highlight w:val="none"/>
        </w:rPr>
      </w:pPr>
      <w:r>
        <w:rPr>
          <w:rFonts w:hint="eastAsia"/>
          <w:color w:val="auto"/>
          <w:szCs w:val="21"/>
          <w:highlight w:val="none"/>
        </w:rPr>
        <w:t>成员一名称：</w:t>
      </w:r>
      <w:r>
        <w:rPr>
          <w:color w:val="auto"/>
          <w:szCs w:val="21"/>
          <w:highlight w:val="none"/>
          <w:u w:val="single"/>
        </w:rPr>
        <w:t xml:space="preserve">                                 </w:t>
      </w:r>
      <w:r>
        <w:rPr>
          <w:rFonts w:hint="eastAsia"/>
          <w:color w:val="auto"/>
          <w:szCs w:val="21"/>
          <w:highlight w:val="none"/>
        </w:rPr>
        <w:t>（盖单位章）</w:t>
      </w:r>
    </w:p>
    <w:p w14:paraId="698A1C28">
      <w:pPr>
        <w:topLinePunct/>
        <w:ind w:left="2310" w:leftChars="1100" w:firstLine="420"/>
        <w:rPr>
          <w:color w:val="auto"/>
          <w:szCs w:val="21"/>
          <w:highlight w:val="none"/>
        </w:rPr>
      </w:pPr>
      <w:r>
        <w:rPr>
          <w:rFonts w:hint="eastAsia"/>
          <w:color w:val="auto"/>
          <w:szCs w:val="21"/>
          <w:highlight w:val="none"/>
        </w:rPr>
        <w:t>授权代表：</w:t>
      </w:r>
      <w:r>
        <w:rPr>
          <w:color w:val="auto"/>
          <w:szCs w:val="21"/>
          <w:highlight w:val="none"/>
          <w:u w:val="single"/>
        </w:rPr>
        <w:t xml:space="preserve">                       </w:t>
      </w:r>
      <w:r>
        <w:rPr>
          <w:rFonts w:hint="eastAsia"/>
          <w:color w:val="auto"/>
          <w:szCs w:val="21"/>
          <w:highlight w:val="none"/>
        </w:rPr>
        <w:t>（签名）</w:t>
      </w:r>
    </w:p>
    <w:p w14:paraId="57C2A55D">
      <w:pPr>
        <w:topLinePunct/>
        <w:ind w:left="2310" w:leftChars="1100" w:firstLine="420"/>
        <w:rPr>
          <w:color w:val="auto"/>
          <w:szCs w:val="21"/>
          <w:highlight w:val="none"/>
        </w:rPr>
      </w:pPr>
      <w:r>
        <w:rPr>
          <w:rFonts w:hint="eastAsia"/>
          <w:color w:val="auto"/>
          <w:szCs w:val="21"/>
          <w:highlight w:val="none"/>
        </w:rPr>
        <w:t>成员二名称：</w:t>
      </w:r>
      <w:r>
        <w:rPr>
          <w:color w:val="auto"/>
          <w:szCs w:val="21"/>
          <w:highlight w:val="none"/>
          <w:u w:val="single"/>
        </w:rPr>
        <w:t xml:space="preserve">                                 </w:t>
      </w:r>
      <w:r>
        <w:rPr>
          <w:rFonts w:hint="eastAsia"/>
          <w:color w:val="auto"/>
          <w:szCs w:val="21"/>
          <w:highlight w:val="none"/>
        </w:rPr>
        <w:t>（盖单位章）</w:t>
      </w:r>
    </w:p>
    <w:p w14:paraId="5794898A">
      <w:pPr>
        <w:topLinePunct/>
        <w:ind w:left="2310" w:leftChars="1100" w:firstLine="420"/>
        <w:rPr>
          <w:color w:val="auto"/>
          <w:szCs w:val="21"/>
          <w:highlight w:val="none"/>
        </w:rPr>
      </w:pPr>
      <w:r>
        <w:rPr>
          <w:rFonts w:hint="eastAsia"/>
          <w:color w:val="auto"/>
          <w:szCs w:val="21"/>
          <w:highlight w:val="none"/>
        </w:rPr>
        <w:t>授权代表：</w:t>
      </w:r>
      <w:r>
        <w:rPr>
          <w:color w:val="auto"/>
          <w:szCs w:val="21"/>
          <w:highlight w:val="none"/>
          <w:u w:val="single"/>
        </w:rPr>
        <w:t xml:space="preserve">                       </w:t>
      </w:r>
      <w:r>
        <w:rPr>
          <w:rFonts w:hint="eastAsia"/>
          <w:color w:val="auto"/>
          <w:szCs w:val="21"/>
          <w:highlight w:val="none"/>
        </w:rPr>
        <w:t>（签名）</w:t>
      </w:r>
    </w:p>
    <w:p w14:paraId="455844AF">
      <w:pPr>
        <w:topLinePunct/>
        <w:ind w:left="2310" w:leftChars="1100" w:firstLine="420"/>
        <w:rPr>
          <w:color w:val="auto"/>
          <w:szCs w:val="21"/>
          <w:highlight w:val="none"/>
        </w:rPr>
      </w:pPr>
      <w:r>
        <w:rPr>
          <w:color w:val="auto"/>
          <w:szCs w:val="21"/>
          <w:highlight w:val="none"/>
        </w:rPr>
        <w:t xml:space="preserve">…… </w:t>
      </w:r>
    </w:p>
    <w:p w14:paraId="3C65DED5">
      <w:pPr>
        <w:topLinePunct/>
        <w:ind w:left="2310" w:leftChars="1100" w:firstLine="420"/>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r>
        <w:rPr>
          <w:rFonts w:ascii="宋体" w:hAnsi="宋体" w:cs="宋体"/>
          <w:color w:val="auto"/>
          <w:szCs w:val="21"/>
          <w:highlight w:val="none"/>
        </w:rPr>
        <w:br w:type="page"/>
      </w:r>
    </w:p>
    <w:p w14:paraId="74E1E0E1">
      <w:pPr>
        <w:spacing w:before="100" w:beforeAutospacing="1" w:after="100" w:afterAutospacing="1" w:line="276" w:lineRule="auto"/>
        <w:outlineLvl w:val="4"/>
        <w:rPr>
          <w:rFonts w:ascii="宋体" w:hAnsi="宋体"/>
          <w:color w:val="auto"/>
          <w:szCs w:val="21"/>
          <w:highlight w:val="none"/>
        </w:rPr>
      </w:pPr>
      <w:r>
        <w:rPr>
          <w:rFonts w:hint="eastAsia" w:ascii="宋体" w:hAnsi="宋体"/>
          <w:color w:val="auto"/>
          <w:szCs w:val="21"/>
          <w:highlight w:val="none"/>
        </w:rPr>
        <w:t>附件二</w:t>
      </w:r>
      <w:r>
        <w:rPr>
          <w:rFonts w:ascii="宋体" w:hAnsi="宋体"/>
          <w:color w:val="auto"/>
          <w:szCs w:val="21"/>
          <w:highlight w:val="none"/>
        </w:rPr>
        <w:t>：部分资格材料格式要求</w:t>
      </w:r>
      <w:r>
        <w:rPr>
          <w:rFonts w:hint="eastAsia" w:ascii="宋体" w:hAnsi="宋体"/>
          <w:color w:val="auto"/>
          <w:szCs w:val="21"/>
          <w:highlight w:val="none"/>
        </w:rPr>
        <w:t>——无重大违法记录声明格式</w:t>
      </w:r>
    </w:p>
    <w:p w14:paraId="2D455E4D">
      <w:pPr>
        <w:spacing w:line="276" w:lineRule="auto"/>
        <w:jc w:val="center"/>
        <w:rPr>
          <w:b/>
          <w:color w:val="auto"/>
          <w:szCs w:val="21"/>
          <w:highlight w:val="none"/>
        </w:rPr>
      </w:pPr>
      <w:r>
        <w:rPr>
          <w:rFonts w:hint="eastAsia"/>
          <w:b/>
          <w:color w:val="auto"/>
          <w:szCs w:val="21"/>
          <w:highlight w:val="none"/>
        </w:rPr>
        <w:t>无重大违法记录声明</w:t>
      </w:r>
    </w:p>
    <w:p w14:paraId="7A0D8129">
      <w:pPr>
        <w:spacing w:before="100" w:beforeAutospacing="1" w:after="100" w:afterAutospacing="1"/>
        <w:rPr>
          <w:rFonts w:ascii="宋体" w:hAnsi="宋体"/>
          <w:color w:val="auto"/>
          <w:szCs w:val="21"/>
          <w:highlight w:val="none"/>
        </w:rPr>
      </w:pPr>
      <w:r>
        <w:rPr>
          <w:rFonts w:hint="eastAsia" w:ascii="宋体" w:hAnsi="宋体"/>
          <w:b/>
          <w:color w:val="auto"/>
          <w:szCs w:val="21"/>
          <w:highlight w:val="none"/>
        </w:rPr>
        <w:t>武汉理工大学、</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DOCVARIABLE 招标机构名称 </w:instrText>
      </w:r>
      <w:r>
        <w:rPr>
          <w:rFonts w:hint="eastAsia" w:ascii="宋体" w:hAnsi="宋体"/>
          <w:b/>
          <w:color w:val="auto"/>
          <w:szCs w:val="21"/>
          <w:highlight w:val="none"/>
        </w:rPr>
        <w:fldChar w:fldCharType="separate"/>
      </w:r>
      <w:r>
        <w:rPr>
          <w:rFonts w:hint="eastAsia" w:ascii="宋体" w:hAnsi="宋体"/>
          <w:b/>
          <w:color w:val="auto"/>
          <w:szCs w:val="21"/>
          <w:highlight w:val="none"/>
        </w:rPr>
        <w:t>${招标机构名称}</w:t>
      </w:r>
      <w:r>
        <w:rPr>
          <w:rFonts w:hint="eastAsia" w:ascii="宋体" w:hAnsi="宋体"/>
          <w:b/>
          <w:color w:val="auto"/>
          <w:szCs w:val="21"/>
          <w:highlight w:val="none"/>
        </w:rPr>
        <w:fldChar w:fldCharType="end"/>
      </w:r>
      <w:r>
        <w:rPr>
          <w:rFonts w:hint="eastAsia" w:ascii="宋体" w:hAnsi="宋体"/>
          <w:color w:val="auto"/>
          <w:szCs w:val="21"/>
          <w:highlight w:val="none"/>
        </w:rPr>
        <w:t>：</w:t>
      </w:r>
    </w:p>
    <w:p w14:paraId="02923E6F">
      <w:pPr>
        <w:spacing w:before="100" w:beforeAutospacing="1" w:after="100" w:afterAutospacing="1"/>
        <w:ind w:firstLine="420" w:firstLineChars="200"/>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(投标人全称) 参加</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项目编号/包号</w:t>
      </w:r>
      <w:r>
        <w:rPr>
          <w:rFonts w:hint="eastAsia" w:ascii="宋体" w:hAnsi="宋体"/>
          <w:color w:val="auto"/>
          <w:szCs w:val="21"/>
          <w:highlight w:val="none"/>
        </w:rPr>
        <w:t>)的政府采购活动，本单位郑重声明如下：</w:t>
      </w:r>
    </w:p>
    <w:p w14:paraId="7AD90435">
      <w:pPr>
        <w:spacing w:before="100" w:beforeAutospacing="1" w:after="100" w:afterAutospacing="1"/>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rPr>
        <w:tab/>
      </w:r>
      <w:r>
        <w:rPr>
          <w:rFonts w:hint="eastAsia" w:ascii="宋体" w:hAnsi="宋体"/>
          <w:color w:val="auto"/>
          <w:szCs w:val="21"/>
          <w:highlight w:val="none"/>
        </w:rPr>
        <w:t>参加本项目政府采购活动前三年内，本单位未因违法经营受到刑事处罚或者责令停产停业、吊销许可证或者执照、较大数额罚款等行政处罚；</w:t>
      </w:r>
    </w:p>
    <w:p w14:paraId="3D6C7512">
      <w:pPr>
        <w:spacing w:before="100" w:beforeAutospacing="1" w:after="100" w:afterAutospacing="1"/>
        <w:ind w:firstLine="420" w:firstLineChars="200"/>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rPr>
        <w:tab/>
      </w:r>
      <w:r>
        <w:rPr>
          <w:rFonts w:hint="eastAsia" w:ascii="宋体" w:hAnsi="宋体"/>
          <w:color w:val="auto"/>
          <w:szCs w:val="21"/>
          <w:highlight w:val="none"/>
        </w:rPr>
        <w:t>参加本项目政府采购活动前三年内，本单位未受到过全国各级人民政府财政部门依法作出的禁止参加政府采购活动等行政处罚决定；</w:t>
      </w:r>
    </w:p>
    <w:p w14:paraId="2E8B1B83">
      <w:pPr>
        <w:spacing w:before="100" w:beforeAutospacing="1" w:after="100" w:afterAutospacing="1"/>
        <w:ind w:firstLine="420" w:firstLineChars="200"/>
        <w:rPr>
          <w:rFonts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rPr>
        <w:tab/>
      </w:r>
      <w:r>
        <w:rPr>
          <w:rFonts w:hint="eastAsia" w:ascii="宋体" w:hAnsi="宋体"/>
          <w:color w:val="auto"/>
          <w:szCs w:val="21"/>
          <w:highlight w:val="none"/>
        </w:rPr>
        <w:t>如上述声明内容不实，本单位自愿接受政府采购监管部门按照</w:t>
      </w:r>
      <w:r>
        <w:rPr>
          <w:rFonts w:hint="eastAsia" w:ascii="宋体" w:hAnsi="宋体"/>
          <w:bCs/>
          <w:color w:val="auto"/>
          <w:szCs w:val="21"/>
          <w:highlight w:val="none"/>
          <w:lang w:val="zh-CN"/>
        </w:rPr>
        <w:t>《中华人民共和国政府采购法》</w:t>
      </w:r>
      <w:r>
        <w:rPr>
          <w:rFonts w:hint="eastAsia" w:ascii="宋体" w:hAnsi="宋体"/>
          <w:color w:val="auto"/>
          <w:szCs w:val="21"/>
          <w:highlight w:val="none"/>
        </w:rPr>
        <w:t>关于提供虚假材料的规定给予处罚。</w:t>
      </w:r>
    </w:p>
    <w:p w14:paraId="7B603563">
      <w:pPr>
        <w:spacing w:before="100" w:beforeAutospacing="1" w:after="100" w:afterAutospacing="1"/>
        <w:ind w:firstLine="420" w:firstLineChars="200"/>
        <w:rPr>
          <w:rFonts w:ascii="宋体" w:hAnsi="宋体"/>
          <w:color w:val="auto"/>
          <w:szCs w:val="21"/>
          <w:highlight w:val="none"/>
        </w:rPr>
      </w:pPr>
      <w:r>
        <w:rPr>
          <w:rFonts w:hint="eastAsia" w:ascii="宋体" w:hAnsi="宋体"/>
          <w:color w:val="auto"/>
          <w:szCs w:val="21"/>
          <w:highlight w:val="none"/>
        </w:rPr>
        <w:t>我方保证上述信息的完整、客观、真实、准确，并愿意承担我方因提供虚假材料谋骗取中标、成交所引起的一切法律后果。</w:t>
      </w:r>
    </w:p>
    <w:p w14:paraId="6FD7815E">
      <w:pPr>
        <w:spacing w:before="100" w:beforeAutospacing="1" w:after="100" w:afterAutospacing="1" w:line="276" w:lineRule="auto"/>
        <w:ind w:firstLine="420" w:firstLineChars="200"/>
        <w:jc w:val="left"/>
        <w:rPr>
          <w:rFonts w:ascii="宋体" w:hAnsi="宋体"/>
          <w:color w:val="auto"/>
          <w:szCs w:val="21"/>
          <w:highlight w:val="none"/>
        </w:rPr>
      </w:pPr>
      <w:r>
        <w:rPr>
          <w:rFonts w:hint="eastAsia" w:ascii="宋体" w:hAnsi="宋体"/>
          <w:color w:val="auto"/>
          <w:szCs w:val="21"/>
          <w:highlight w:val="none"/>
        </w:rPr>
        <w:t>特此声明！</w:t>
      </w:r>
    </w:p>
    <w:p w14:paraId="70CAC574">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6D3AD3DB">
      <w:pPr>
        <w:spacing w:before="100" w:beforeAutospacing="1" w:after="100" w:afterAutospacing="1" w:line="276" w:lineRule="auto"/>
        <w:ind w:firstLine="2902" w:firstLineChars="1382"/>
        <w:rPr>
          <w:rFonts w:ascii="宋体" w:hAnsi="宋体"/>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3334DD7E">
      <w:pPr>
        <w:topLinePunct/>
        <w:ind w:left="2310" w:leftChars="1100" w:firstLine="420"/>
        <w:rPr>
          <w:rFonts w:ascii="宋体" w:hAnsi="宋体" w:cs="宋体"/>
          <w:color w:val="auto"/>
          <w:szCs w:val="21"/>
          <w:highlight w:val="none"/>
        </w:rPr>
      </w:pPr>
    </w:p>
    <w:p w14:paraId="6A326087">
      <w:pPr>
        <w:widowControl/>
        <w:jc w:val="left"/>
        <w:rPr>
          <w:rFonts w:ascii="宋体" w:hAnsi="宋体"/>
          <w:color w:val="auto"/>
          <w:szCs w:val="21"/>
          <w:highlight w:val="none"/>
        </w:rPr>
      </w:pPr>
      <w:bookmarkStart w:id="137" w:name="_Toc494665002"/>
      <w:bookmarkStart w:id="138" w:name="_Toc494745319"/>
      <w:bookmarkStart w:id="139" w:name="_Toc494665555"/>
      <w:bookmarkStart w:id="140" w:name="_Toc494702272"/>
      <w:bookmarkStart w:id="141" w:name="_Toc494721102"/>
      <w:bookmarkStart w:id="142" w:name="_Toc494665952"/>
      <w:r>
        <w:rPr>
          <w:rFonts w:ascii="宋体" w:hAnsi="宋体"/>
          <w:color w:val="auto"/>
          <w:szCs w:val="21"/>
          <w:highlight w:val="none"/>
        </w:rPr>
        <w:br w:type="page"/>
      </w:r>
    </w:p>
    <w:p w14:paraId="753705B5">
      <w:pPr>
        <w:snapToGrid w:val="0"/>
        <w:spacing w:before="100" w:beforeAutospacing="1" w:line="360" w:lineRule="auto"/>
        <w:outlineLvl w:val="4"/>
        <w:rPr>
          <w:color w:val="auto"/>
          <w:highlight w:val="none"/>
        </w:rPr>
      </w:pPr>
      <w:r>
        <w:rPr>
          <w:rFonts w:hint="eastAsia" w:ascii="宋体" w:hAnsi="宋体"/>
          <w:color w:val="auto"/>
          <w:szCs w:val="21"/>
          <w:highlight w:val="none"/>
        </w:rPr>
        <w:t>附件三</w:t>
      </w:r>
      <w:r>
        <w:rPr>
          <w:rFonts w:ascii="宋体" w:hAnsi="宋体"/>
          <w:color w:val="auto"/>
          <w:szCs w:val="21"/>
          <w:highlight w:val="none"/>
        </w:rPr>
        <w:t>：</w:t>
      </w:r>
      <w:bookmarkEnd w:id="137"/>
      <w:bookmarkEnd w:id="138"/>
      <w:bookmarkEnd w:id="139"/>
      <w:bookmarkEnd w:id="140"/>
      <w:bookmarkEnd w:id="141"/>
      <w:bookmarkEnd w:id="142"/>
      <w:bookmarkStart w:id="143" w:name="_Toc494745329"/>
      <w:bookmarkStart w:id="144" w:name="_Toc494665565"/>
      <w:bookmarkStart w:id="145" w:name="_Toc494721112"/>
      <w:bookmarkStart w:id="146" w:name="_Toc494665012"/>
      <w:bookmarkStart w:id="147" w:name="_Toc494665962"/>
      <w:bookmarkStart w:id="148" w:name="_Toc494702282"/>
      <w:r>
        <w:rPr>
          <w:rFonts w:ascii="宋体" w:hAnsi="宋体"/>
          <w:color w:val="auto"/>
          <w:szCs w:val="21"/>
          <w:highlight w:val="none"/>
        </w:rPr>
        <w:t>部分资格材料格式要求</w:t>
      </w:r>
      <w:r>
        <w:rPr>
          <w:rFonts w:hint="eastAsia" w:ascii="宋体" w:hAnsi="宋体"/>
          <w:color w:val="auto"/>
          <w:szCs w:val="21"/>
          <w:highlight w:val="none"/>
        </w:rPr>
        <w:t>——</w:t>
      </w:r>
      <w:r>
        <w:rPr>
          <w:rFonts w:hint="eastAsia"/>
          <w:color w:val="auto"/>
          <w:highlight w:val="none"/>
        </w:rPr>
        <w:t>投标人关联企业情况</w:t>
      </w:r>
    </w:p>
    <w:p w14:paraId="17753F4B">
      <w:pPr>
        <w:snapToGrid w:val="0"/>
        <w:spacing w:before="100" w:beforeAutospacing="1" w:line="360" w:lineRule="auto"/>
        <w:jc w:val="center"/>
        <w:rPr>
          <w:rFonts w:ascii="等线" w:hAnsi="等线"/>
          <w:color w:val="auto"/>
          <w:highlight w:val="none"/>
        </w:rPr>
      </w:pPr>
      <w:r>
        <w:rPr>
          <w:rFonts w:hint="eastAsia" w:ascii="等线" w:hAnsi="等线"/>
          <w:color w:val="auto"/>
          <w:highlight w:val="none"/>
        </w:rPr>
        <w:t>投标人关联企业情况</w:t>
      </w:r>
    </w:p>
    <w:p w14:paraId="65188440">
      <w:pPr>
        <w:widowControl/>
        <w:spacing w:line="360" w:lineRule="auto"/>
        <w:ind w:firstLine="420" w:firstLineChars="200"/>
        <w:rPr>
          <w:rFonts w:ascii="等线" w:hAnsi="等线"/>
          <w:color w:val="auto"/>
          <w:highlight w:val="none"/>
        </w:rPr>
      </w:pPr>
      <w:r>
        <w:rPr>
          <w:rFonts w:hint="eastAsia" w:ascii="等线" w:hAnsi="等线"/>
          <w:color w:val="auto"/>
          <w:highlight w:val="none"/>
        </w:rPr>
        <w:t>1.与我公司单位负责人为同一人的其他单位名称：</w:t>
      </w:r>
    </w:p>
    <w:p w14:paraId="2040E301">
      <w:pPr>
        <w:widowControl/>
        <w:spacing w:line="360" w:lineRule="auto"/>
        <w:ind w:firstLine="420" w:firstLineChars="200"/>
        <w:rPr>
          <w:rFonts w:ascii="等线" w:hAnsi="等线"/>
          <w:color w:val="auto"/>
          <w:highlight w:val="none"/>
        </w:rPr>
      </w:pPr>
      <w:r>
        <w:rPr>
          <w:rFonts w:hint="eastAsia" w:ascii="等线" w:hAnsi="等线"/>
          <w:color w:val="auto"/>
          <w:highlight w:val="none"/>
        </w:rPr>
        <w:t>口无;</w:t>
      </w:r>
    </w:p>
    <w:p w14:paraId="3B469B16">
      <w:pPr>
        <w:widowControl/>
        <w:spacing w:line="360" w:lineRule="auto"/>
        <w:ind w:firstLine="420" w:firstLineChars="200"/>
        <w:rPr>
          <w:rFonts w:ascii="等线" w:hAnsi="等线"/>
          <w:color w:val="auto"/>
          <w:highlight w:val="none"/>
          <w:u w:val="single"/>
        </w:rPr>
      </w:pPr>
      <w:r>
        <w:rPr>
          <w:rFonts w:hint="eastAsia" w:ascii="等线" w:hAnsi="等线"/>
          <w:color w:val="auto"/>
          <w:highlight w:val="none"/>
        </w:rPr>
        <w:t>口有:</w:t>
      </w:r>
      <w:r>
        <w:rPr>
          <w:rFonts w:ascii="等线" w:hAnsi="等线"/>
          <w:color w:val="auto"/>
          <w:highlight w:val="none"/>
          <w:u w:val="single"/>
        </w:rPr>
        <w:t xml:space="preserve">                                                                                                </w:t>
      </w:r>
    </w:p>
    <w:p w14:paraId="04A79C14">
      <w:pPr>
        <w:widowControl/>
        <w:spacing w:line="360" w:lineRule="auto"/>
        <w:ind w:firstLine="420" w:firstLineChars="200"/>
        <w:rPr>
          <w:rFonts w:ascii="等线" w:hAnsi="等线"/>
          <w:color w:val="auto"/>
          <w:highlight w:val="none"/>
          <w:u w:val="single"/>
        </w:rPr>
      </w:pPr>
      <w:r>
        <w:rPr>
          <w:rFonts w:ascii="等线" w:hAnsi="等线"/>
          <w:color w:val="auto"/>
          <w:highlight w:val="none"/>
          <w:u w:val="single"/>
        </w:rPr>
        <w:t xml:space="preserve">                                                                             </w:t>
      </w:r>
    </w:p>
    <w:p w14:paraId="437CC2C8">
      <w:pPr>
        <w:widowControl/>
        <w:spacing w:line="360" w:lineRule="auto"/>
        <w:ind w:firstLine="420" w:firstLineChars="200"/>
        <w:rPr>
          <w:rFonts w:ascii="等线" w:hAnsi="等线"/>
          <w:color w:val="auto"/>
          <w:highlight w:val="none"/>
        </w:rPr>
      </w:pPr>
      <w:r>
        <w:rPr>
          <w:rFonts w:hint="eastAsia" w:ascii="等线" w:hAnsi="等线"/>
          <w:color w:val="auto"/>
          <w:highlight w:val="none"/>
        </w:rPr>
        <w:t>2.与我公司存在控股、管理关系的其他单位的名称：</w:t>
      </w:r>
    </w:p>
    <w:p w14:paraId="149AB15A">
      <w:pPr>
        <w:widowControl/>
        <w:spacing w:line="360" w:lineRule="auto"/>
        <w:ind w:firstLine="420" w:firstLineChars="200"/>
        <w:rPr>
          <w:rFonts w:ascii="等线" w:hAnsi="等线"/>
          <w:color w:val="auto"/>
          <w:highlight w:val="none"/>
        </w:rPr>
      </w:pPr>
      <w:r>
        <w:rPr>
          <w:rFonts w:hint="eastAsia" w:ascii="等线" w:hAnsi="等线"/>
          <w:color w:val="auto"/>
          <w:highlight w:val="none"/>
        </w:rPr>
        <w:t>口无；</w:t>
      </w:r>
    </w:p>
    <w:p w14:paraId="4F07772A">
      <w:pPr>
        <w:widowControl/>
        <w:spacing w:line="360" w:lineRule="auto"/>
        <w:ind w:firstLine="420" w:firstLineChars="200"/>
        <w:rPr>
          <w:rFonts w:ascii="等线" w:hAnsi="等线"/>
          <w:color w:val="auto"/>
          <w:highlight w:val="none"/>
          <w:u w:val="single"/>
        </w:rPr>
      </w:pPr>
      <w:r>
        <w:rPr>
          <w:rFonts w:hint="eastAsia" w:ascii="等线" w:hAnsi="等线"/>
          <w:color w:val="auto"/>
          <w:highlight w:val="none"/>
        </w:rPr>
        <w:t>口有:</w:t>
      </w:r>
      <w:r>
        <w:rPr>
          <w:rFonts w:ascii="等线" w:hAnsi="等线"/>
          <w:color w:val="auto"/>
          <w:highlight w:val="none"/>
          <w:u w:val="single"/>
        </w:rPr>
        <w:t xml:space="preserve">                                                                                  </w:t>
      </w:r>
    </w:p>
    <w:p w14:paraId="21D5206E">
      <w:pPr>
        <w:widowControl/>
        <w:spacing w:line="360" w:lineRule="auto"/>
        <w:ind w:firstLine="420" w:firstLineChars="200"/>
        <w:rPr>
          <w:rFonts w:ascii="等线" w:hAnsi="等线"/>
          <w:color w:val="auto"/>
          <w:highlight w:val="none"/>
          <w:u w:val="single"/>
        </w:rPr>
      </w:pPr>
      <w:r>
        <w:rPr>
          <w:rFonts w:ascii="等线" w:hAnsi="等线"/>
          <w:color w:val="auto"/>
          <w:highlight w:val="none"/>
          <w:u w:val="single"/>
        </w:rPr>
        <w:t xml:space="preserve">                                                                            </w:t>
      </w:r>
    </w:p>
    <w:p w14:paraId="4A3B8941">
      <w:pPr>
        <w:widowControl/>
        <w:spacing w:line="360" w:lineRule="auto"/>
        <w:ind w:firstLine="420" w:firstLineChars="200"/>
        <w:rPr>
          <w:rFonts w:ascii="等线" w:hAnsi="等线"/>
          <w:color w:val="auto"/>
          <w:highlight w:val="none"/>
        </w:rPr>
      </w:pPr>
    </w:p>
    <w:p w14:paraId="58B1502C">
      <w:pPr>
        <w:widowControl/>
        <w:ind w:firstLine="420" w:firstLineChars="200"/>
        <w:rPr>
          <w:rFonts w:ascii="等线" w:hAnsi="等线"/>
          <w:color w:val="auto"/>
          <w:highlight w:val="none"/>
        </w:rPr>
      </w:pPr>
    </w:p>
    <w:p w14:paraId="6EBDDB0A">
      <w:pPr>
        <w:widowControl/>
        <w:snapToGrid w:val="0"/>
        <w:spacing w:before="100" w:beforeAutospacing="1" w:after="100" w:afterAutospacing="1"/>
        <w:ind w:firstLine="2902" w:firstLineChars="1382"/>
        <w:rPr>
          <w:rFonts w:ascii="宋体" w:hAnsi="宋体"/>
          <w:bCs/>
          <w:color w:val="auto"/>
          <w:szCs w:val="21"/>
          <w:highlight w:val="none"/>
          <w:lang w:val="zh-CN"/>
        </w:rPr>
      </w:pPr>
      <w:r>
        <w:rPr>
          <w:rFonts w:hint="eastAsia" w:ascii="宋体" w:hAnsi="宋体"/>
          <w:bCs/>
          <w:color w:val="auto"/>
          <w:szCs w:val="21"/>
          <w:highlight w:val="none"/>
          <w:lang w:val="zh-CN"/>
        </w:rPr>
        <w:t>投标人名称（公章）：</w:t>
      </w:r>
      <w:r>
        <w:rPr>
          <w:rFonts w:hint="eastAsia" w:ascii="宋体" w:hAnsi="宋体"/>
          <w:bCs/>
          <w:color w:val="auto"/>
          <w:szCs w:val="21"/>
          <w:highlight w:val="none"/>
          <w:u w:val="single"/>
          <w:lang w:val="zh-CN"/>
        </w:rPr>
        <w:t xml:space="preserve">                           </w:t>
      </w:r>
    </w:p>
    <w:p w14:paraId="546DB283">
      <w:pPr>
        <w:widowControl/>
        <w:snapToGrid w:val="0"/>
        <w:spacing w:before="100" w:beforeAutospacing="1" w:after="100" w:afterAutospacing="1"/>
        <w:ind w:firstLine="2902" w:firstLineChars="1382"/>
        <w:rPr>
          <w:rFonts w:ascii="等线" w:hAnsi="等线"/>
          <w:color w:val="auto"/>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5CF2562D">
      <w:pPr>
        <w:widowControl/>
        <w:ind w:firstLine="420" w:firstLineChars="200"/>
        <w:rPr>
          <w:rFonts w:ascii="等线" w:hAnsi="等线"/>
          <w:color w:val="auto"/>
          <w:highlight w:val="none"/>
        </w:rPr>
      </w:pPr>
    </w:p>
    <w:p w14:paraId="73CA9E46">
      <w:pPr>
        <w:widowControl/>
        <w:ind w:firstLine="420" w:firstLineChars="200"/>
        <w:rPr>
          <w:rFonts w:ascii="等线" w:hAnsi="等线"/>
          <w:color w:val="auto"/>
          <w:highlight w:val="none"/>
        </w:rPr>
      </w:pPr>
    </w:p>
    <w:p w14:paraId="56D0A547">
      <w:pPr>
        <w:widowControl/>
        <w:rPr>
          <w:rFonts w:ascii="等线" w:hAnsi="等线"/>
          <w:color w:val="auto"/>
          <w:highlight w:val="none"/>
        </w:rPr>
      </w:pPr>
      <w:r>
        <w:rPr>
          <w:rFonts w:hint="eastAsia" w:ascii="等线" w:hAnsi="等线"/>
          <w:color w:val="auto"/>
          <w:highlight w:val="none"/>
        </w:rPr>
        <w:t>说明:</w:t>
      </w:r>
    </w:p>
    <w:p w14:paraId="4867A5EE">
      <w:pPr>
        <w:widowControl/>
        <w:ind w:firstLine="140" w:firstLineChars="67"/>
        <w:rPr>
          <w:rFonts w:ascii="等线" w:hAnsi="等线"/>
          <w:color w:val="auto"/>
          <w:highlight w:val="none"/>
        </w:rPr>
      </w:pPr>
      <w:r>
        <w:rPr>
          <w:rFonts w:hint="eastAsia" w:ascii="等线" w:hAnsi="等线"/>
          <w:color w:val="auto"/>
          <w:highlight w:val="none"/>
        </w:rPr>
        <w:t>1.单位负责人指单位法定代表人或者法律、行政法规规定代表单位行使职权的主要负责人；</w:t>
      </w:r>
    </w:p>
    <w:p w14:paraId="489681B0">
      <w:pPr>
        <w:widowControl/>
        <w:ind w:firstLine="140" w:firstLineChars="67"/>
        <w:rPr>
          <w:rFonts w:ascii="等线" w:hAnsi="等线"/>
          <w:color w:val="auto"/>
          <w:highlight w:val="none"/>
        </w:rPr>
      </w:pPr>
      <w:r>
        <w:rPr>
          <w:rFonts w:hint="eastAsia" w:ascii="等线" w:hAnsi="等线"/>
          <w:color w:val="auto"/>
          <w:highlight w:val="none"/>
        </w:rPr>
        <w:t>2.控股、管理关系仅限于直接控股、直接管理关系，不包括间接的控股或管理关系。</w:t>
      </w:r>
    </w:p>
    <w:p w14:paraId="3A8E494D">
      <w:pPr>
        <w:spacing w:before="100" w:beforeAutospacing="1" w:after="100" w:afterAutospacing="1" w:line="276" w:lineRule="auto"/>
        <w:rPr>
          <w:rFonts w:ascii="宋体" w:hAnsi="宋体"/>
          <w:color w:val="auto"/>
          <w:szCs w:val="21"/>
          <w:highlight w:val="none"/>
        </w:rPr>
      </w:pPr>
    </w:p>
    <w:p w14:paraId="5122A790">
      <w:pPr>
        <w:widowControl/>
        <w:jc w:val="left"/>
        <w:rPr>
          <w:rFonts w:ascii="宋体" w:hAnsi="宋体"/>
          <w:color w:val="auto"/>
          <w:szCs w:val="21"/>
          <w:highlight w:val="none"/>
        </w:rPr>
      </w:pPr>
      <w:r>
        <w:rPr>
          <w:rFonts w:ascii="宋体" w:hAnsi="宋体"/>
          <w:color w:val="auto"/>
          <w:szCs w:val="21"/>
          <w:highlight w:val="none"/>
        </w:rPr>
        <w:br w:type="page"/>
      </w:r>
    </w:p>
    <w:p w14:paraId="16C93D5F">
      <w:pPr>
        <w:rPr>
          <w:color w:val="auto"/>
          <w:szCs w:val="21"/>
          <w:highlight w:val="none"/>
        </w:rPr>
      </w:pPr>
      <w:r>
        <w:rPr>
          <w:rFonts w:hint="eastAsia" w:ascii="宋体" w:hAnsi="宋体"/>
          <w:color w:val="auto"/>
          <w:szCs w:val="21"/>
          <w:highlight w:val="none"/>
        </w:rPr>
        <w:t>附件</w:t>
      </w:r>
      <w:r>
        <w:rPr>
          <w:rFonts w:hint="eastAsia" w:ascii="宋体" w:hAnsi="宋体"/>
          <w:color w:val="auto"/>
          <w:szCs w:val="21"/>
          <w:highlight w:val="none"/>
          <w:lang w:val="en-US" w:eastAsia="zh-CN"/>
        </w:rPr>
        <w:t>四</w:t>
      </w:r>
      <w:r>
        <w:rPr>
          <w:rFonts w:ascii="宋体" w:hAnsi="宋体"/>
          <w:color w:val="auto"/>
          <w:szCs w:val="21"/>
          <w:highlight w:val="none"/>
        </w:rPr>
        <w:t>：</w:t>
      </w:r>
      <w:r>
        <w:rPr>
          <w:rFonts w:hint="eastAsia"/>
          <w:color w:val="auto"/>
          <w:szCs w:val="21"/>
          <w:highlight w:val="none"/>
        </w:rPr>
        <w:t>节能环保产品清单及证明材料（没有则不填写此表）</w:t>
      </w:r>
    </w:p>
    <w:p w14:paraId="2FD56B48">
      <w:pPr>
        <w:spacing w:line="276" w:lineRule="auto"/>
        <w:jc w:val="center"/>
        <w:rPr>
          <w:rFonts w:ascii="宋体" w:hAnsi="宋体"/>
          <w:b/>
          <w:color w:val="auto"/>
          <w:szCs w:val="21"/>
          <w:highlight w:val="none"/>
        </w:rPr>
      </w:pPr>
      <w:r>
        <w:rPr>
          <w:rFonts w:hint="eastAsia" w:ascii="宋体" w:hAnsi="宋体"/>
          <w:b/>
          <w:color w:val="auto"/>
          <w:szCs w:val="21"/>
          <w:highlight w:val="none"/>
        </w:rPr>
        <w:t>节能环保产品清单及证明材料</w:t>
      </w:r>
    </w:p>
    <w:p w14:paraId="3E0D5D44">
      <w:pPr>
        <w:spacing w:line="276" w:lineRule="auto"/>
        <w:jc w:val="center"/>
        <w:rPr>
          <w:rFonts w:ascii="宋体" w:hAnsi="宋体"/>
          <w:b/>
          <w:color w:val="auto"/>
          <w:szCs w:val="21"/>
          <w:highlight w:val="none"/>
        </w:rPr>
      </w:pPr>
    </w:p>
    <w:p w14:paraId="54D9BE68">
      <w:pP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0A61FEBE">
      <w:pPr>
        <w:spacing w:line="276" w:lineRule="auto"/>
        <w:rPr>
          <w:rFonts w:ascii="宋体" w:hAnsi="宋体"/>
          <w:b/>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p>
    <w:p w14:paraId="634781E2">
      <w:pPr>
        <w:spacing w:line="276" w:lineRule="auto"/>
        <w:rPr>
          <w:rFonts w:ascii="宋体" w:hAnsi="宋体" w:cs="Arial"/>
          <w:b/>
          <w:color w:val="auto"/>
          <w:szCs w:val="21"/>
          <w:highlight w:val="none"/>
        </w:rPr>
      </w:pPr>
      <w:r>
        <w:rPr>
          <w:rFonts w:hint="eastAsia" w:ascii="宋体" w:hAnsi="宋体" w:cs="Arial"/>
          <w:b/>
          <w:color w:val="auto"/>
          <w:szCs w:val="21"/>
          <w:highlight w:val="none"/>
        </w:rPr>
        <w:t>1）节能产品</w:t>
      </w:r>
    </w:p>
    <w:tbl>
      <w:tblPr>
        <w:tblStyle w:val="21"/>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47"/>
      </w:tblGrid>
      <w:tr w14:paraId="1F70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368B2B5F">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18412237">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3AC050BD">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398643E5">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33B321E9">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2EF4A9F7">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12FBB071">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单价</w:t>
            </w:r>
          </w:p>
          <w:p w14:paraId="4854A107">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1B7649D4">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总价</w:t>
            </w:r>
          </w:p>
          <w:p w14:paraId="3E131778">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（万元）</w:t>
            </w:r>
          </w:p>
        </w:tc>
        <w:tc>
          <w:tcPr>
            <w:tcW w:w="1247" w:type="dxa"/>
            <w:tcBorders>
              <w:top w:val="single" w:color="auto" w:sz="4" w:space="0"/>
              <w:left w:val="single" w:color="auto" w:sz="4" w:space="0"/>
              <w:bottom w:val="single" w:color="auto" w:sz="4" w:space="0"/>
              <w:right w:val="single" w:color="auto" w:sz="4" w:space="0"/>
            </w:tcBorders>
            <w:vAlign w:val="center"/>
          </w:tcPr>
          <w:p w14:paraId="0EBF2426">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备注</w:t>
            </w:r>
          </w:p>
        </w:tc>
      </w:tr>
      <w:tr w14:paraId="46DBD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51B3A48A">
            <w:pPr>
              <w:numPr>
                <w:ilvl w:val="0"/>
                <w:numId w:val="59"/>
              </w:numP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tcPr>
          <w:p w14:paraId="716BAF29">
            <w:pPr>
              <w:snapToGrid w:val="0"/>
              <w:spacing w:line="276" w:lineRule="auto"/>
              <w:rPr>
                <w:rFonts w:ascii="宋体" w:hAnsi="宋体" w:cs="Arial"/>
                <w:color w:val="auto"/>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14:paraId="44B0E026">
            <w:pP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76382F65">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DBCE4A7">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7C75646">
            <w:pP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C55F9BE">
            <w:pP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28C39EC1">
            <w:pPr>
              <w:snapToGrid w:val="0"/>
              <w:spacing w:line="276" w:lineRule="auto"/>
              <w:jc w:val="center"/>
              <w:rPr>
                <w:rFonts w:ascii="宋体" w:hAnsi="宋体" w:cs="Arial"/>
                <w:color w:val="auto"/>
                <w:szCs w:val="21"/>
                <w:highlight w:val="none"/>
              </w:rPr>
            </w:pPr>
          </w:p>
        </w:tc>
        <w:tc>
          <w:tcPr>
            <w:tcW w:w="1247" w:type="dxa"/>
            <w:tcBorders>
              <w:top w:val="single" w:color="auto" w:sz="4" w:space="0"/>
              <w:left w:val="single" w:color="auto" w:sz="4" w:space="0"/>
              <w:bottom w:val="single" w:color="auto" w:sz="4" w:space="0"/>
              <w:right w:val="single" w:color="auto" w:sz="4" w:space="0"/>
            </w:tcBorders>
            <w:vAlign w:val="center"/>
          </w:tcPr>
          <w:p w14:paraId="10178301">
            <w:pPr>
              <w:snapToGrid w:val="0"/>
              <w:spacing w:line="276" w:lineRule="auto"/>
              <w:jc w:val="center"/>
              <w:rPr>
                <w:rFonts w:ascii="宋体" w:hAnsi="宋体" w:cs="Arial"/>
                <w:color w:val="auto"/>
                <w:szCs w:val="21"/>
                <w:highlight w:val="none"/>
              </w:rPr>
            </w:pPr>
          </w:p>
        </w:tc>
      </w:tr>
      <w:tr w14:paraId="6066E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7DD4D044">
            <w:pPr>
              <w:numPr>
                <w:ilvl w:val="0"/>
                <w:numId w:val="59"/>
              </w:numP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tcPr>
          <w:p w14:paraId="7FEA376F">
            <w:pPr>
              <w:snapToGrid w:val="0"/>
              <w:spacing w:line="276" w:lineRule="auto"/>
              <w:rPr>
                <w:rFonts w:ascii="宋体" w:hAnsi="宋体" w:cs="Arial"/>
                <w:color w:val="auto"/>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14:paraId="07952A60">
            <w:pP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50117EDA">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335E634">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AEFEB40">
            <w:pP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124908C">
            <w:pP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0BC47643">
            <w:pPr>
              <w:snapToGrid w:val="0"/>
              <w:spacing w:line="276" w:lineRule="auto"/>
              <w:jc w:val="center"/>
              <w:rPr>
                <w:rFonts w:ascii="宋体" w:hAnsi="宋体" w:cs="Arial"/>
                <w:color w:val="auto"/>
                <w:szCs w:val="21"/>
                <w:highlight w:val="none"/>
              </w:rPr>
            </w:pPr>
          </w:p>
        </w:tc>
        <w:tc>
          <w:tcPr>
            <w:tcW w:w="1247" w:type="dxa"/>
            <w:tcBorders>
              <w:top w:val="single" w:color="auto" w:sz="4" w:space="0"/>
              <w:left w:val="single" w:color="auto" w:sz="4" w:space="0"/>
              <w:bottom w:val="single" w:color="auto" w:sz="4" w:space="0"/>
              <w:right w:val="single" w:color="auto" w:sz="4" w:space="0"/>
            </w:tcBorders>
            <w:vAlign w:val="center"/>
          </w:tcPr>
          <w:p w14:paraId="75EDE97C">
            <w:pPr>
              <w:snapToGrid w:val="0"/>
              <w:spacing w:line="276" w:lineRule="auto"/>
              <w:jc w:val="center"/>
              <w:rPr>
                <w:rFonts w:ascii="宋体" w:hAnsi="宋体" w:cs="Arial"/>
                <w:color w:val="auto"/>
                <w:szCs w:val="21"/>
                <w:highlight w:val="none"/>
              </w:rPr>
            </w:pPr>
          </w:p>
        </w:tc>
      </w:tr>
      <w:tr w14:paraId="1DABC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63F53507">
            <w:pPr>
              <w:numPr>
                <w:ilvl w:val="0"/>
                <w:numId w:val="59"/>
              </w:numP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vAlign w:val="center"/>
          </w:tcPr>
          <w:p w14:paraId="2B43A92C">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w:t>
            </w:r>
          </w:p>
        </w:tc>
        <w:tc>
          <w:tcPr>
            <w:tcW w:w="851" w:type="dxa"/>
            <w:tcBorders>
              <w:top w:val="single" w:color="auto" w:sz="4" w:space="0"/>
              <w:left w:val="single" w:color="auto" w:sz="4" w:space="0"/>
              <w:bottom w:val="single" w:color="auto" w:sz="4" w:space="0"/>
              <w:right w:val="single" w:color="auto" w:sz="4" w:space="0"/>
            </w:tcBorders>
            <w:vAlign w:val="center"/>
          </w:tcPr>
          <w:p w14:paraId="5AD3DCDD">
            <w:pP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2AE51ED3">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2431B56">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AF3A1C0">
            <w:pP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EC72932">
            <w:pP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47F6E627">
            <w:pPr>
              <w:snapToGrid w:val="0"/>
              <w:spacing w:line="276" w:lineRule="auto"/>
              <w:jc w:val="center"/>
              <w:rPr>
                <w:rFonts w:ascii="宋体" w:hAnsi="宋体" w:cs="Arial"/>
                <w:color w:val="auto"/>
                <w:szCs w:val="21"/>
                <w:highlight w:val="none"/>
              </w:rPr>
            </w:pPr>
          </w:p>
        </w:tc>
        <w:tc>
          <w:tcPr>
            <w:tcW w:w="1247" w:type="dxa"/>
            <w:tcBorders>
              <w:top w:val="single" w:color="auto" w:sz="4" w:space="0"/>
              <w:left w:val="single" w:color="auto" w:sz="4" w:space="0"/>
              <w:bottom w:val="single" w:color="auto" w:sz="4" w:space="0"/>
              <w:right w:val="single" w:color="auto" w:sz="4" w:space="0"/>
            </w:tcBorders>
            <w:vAlign w:val="center"/>
          </w:tcPr>
          <w:p w14:paraId="3898A074">
            <w:pPr>
              <w:snapToGrid w:val="0"/>
              <w:spacing w:line="276" w:lineRule="auto"/>
              <w:jc w:val="center"/>
              <w:rPr>
                <w:rFonts w:ascii="宋体" w:hAnsi="宋体" w:cs="Arial"/>
                <w:color w:val="auto"/>
                <w:szCs w:val="21"/>
                <w:highlight w:val="none"/>
              </w:rPr>
            </w:pPr>
          </w:p>
        </w:tc>
      </w:tr>
    </w:tbl>
    <w:p w14:paraId="1BAA4075">
      <w:pPr>
        <w:spacing w:line="276" w:lineRule="auto"/>
        <w:rPr>
          <w:rFonts w:ascii="宋体" w:hAnsi="宋体" w:cs="Arial"/>
          <w:color w:val="auto"/>
          <w:szCs w:val="21"/>
          <w:highlight w:val="none"/>
        </w:rPr>
      </w:pPr>
    </w:p>
    <w:p w14:paraId="21E49744">
      <w:pPr>
        <w:spacing w:line="276" w:lineRule="auto"/>
        <w:rPr>
          <w:rFonts w:ascii="宋体" w:hAnsi="宋体" w:cs="Arial"/>
          <w:b/>
          <w:color w:val="auto"/>
          <w:szCs w:val="21"/>
          <w:highlight w:val="none"/>
        </w:rPr>
      </w:pPr>
      <w:r>
        <w:rPr>
          <w:rFonts w:hint="eastAsia" w:ascii="宋体" w:hAnsi="宋体" w:cs="Arial"/>
          <w:b/>
          <w:color w:val="auto"/>
          <w:szCs w:val="21"/>
          <w:highlight w:val="none"/>
        </w:rPr>
        <w:t>2）环保产品</w:t>
      </w:r>
    </w:p>
    <w:tbl>
      <w:tblPr>
        <w:tblStyle w:val="21"/>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96"/>
      </w:tblGrid>
      <w:tr w14:paraId="6BC7C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26ECC63D">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0E204E94">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4C99C61D">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3B891748">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3E8E8B15">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7843A51A">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122B8B8B">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单价</w:t>
            </w:r>
          </w:p>
          <w:p w14:paraId="2F0C2DF0">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2C31FA5F">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总价</w:t>
            </w:r>
          </w:p>
          <w:p w14:paraId="59305218">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（万元）</w:t>
            </w:r>
          </w:p>
        </w:tc>
        <w:tc>
          <w:tcPr>
            <w:tcW w:w="1296" w:type="dxa"/>
            <w:tcBorders>
              <w:top w:val="single" w:color="auto" w:sz="4" w:space="0"/>
              <w:left w:val="single" w:color="auto" w:sz="4" w:space="0"/>
              <w:bottom w:val="single" w:color="auto" w:sz="4" w:space="0"/>
              <w:right w:val="single" w:color="auto" w:sz="4" w:space="0"/>
            </w:tcBorders>
            <w:vAlign w:val="center"/>
          </w:tcPr>
          <w:p w14:paraId="15DE38EC">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备注</w:t>
            </w:r>
          </w:p>
        </w:tc>
      </w:tr>
      <w:tr w14:paraId="48706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0A7C6EB8">
            <w:pPr>
              <w:numPr>
                <w:ilvl w:val="0"/>
                <w:numId w:val="60"/>
              </w:numP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tcPr>
          <w:p w14:paraId="3680E28D">
            <w:pPr>
              <w:snapToGrid w:val="0"/>
              <w:spacing w:line="276" w:lineRule="auto"/>
              <w:rPr>
                <w:rFonts w:ascii="宋体" w:hAnsi="宋体" w:cs="Arial"/>
                <w:color w:val="auto"/>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14:paraId="6DA15087">
            <w:pP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66205973">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4E2333E">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EBFEF07">
            <w:pP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1A1923D">
            <w:pP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37496FB4">
            <w:pPr>
              <w:snapToGrid w:val="0"/>
              <w:spacing w:line="276" w:lineRule="auto"/>
              <w:jc w:val="center"/>
              <w:rPr>
                <w:rFonts w:ascii="宋体" w:hAnsi="宋体" w:cs="Arial"/>
                <w:color w:val="auto"/>
                <w:szCs w:val="21"/>
                <w:highlight w:val="none"/>
              </w:rPr>
            </w:pPr>
          </w:p>
        </w:tc>
        <w:tc>
          <w:tcPr>
            <w:tcW w:w="1296" w:type="dxa"/>
            <w:tcBorders>
              <w:top w:val="single" w:color="auto" w:sz="4" w:space="0"/>
              <w:left w:val="single" w:color="auto" w:sz="4" w:space="0"/>
              <w:bottom w:val="single" w:color="auto" w:sz="4" w:space="0"/>
              <w:right w:val="single" w:color="auto" w:sz="4" w:space="0"/>
            </w:tcBorders>
            <w:vAlign w:val="center"/>
          </w:tcPr>
          <w:p w14:paraId="25D1F391">
            <w:pPr>
              <w:snapToGrid w:val="0"/>
              <w:spacing w:line="276" w:lineRule="auto"/>
              <w:jc w:val="center"/>
              <w:rPr>
                <w:rFonts w:ascii="宋体" w:hAnsi="宋体" w:cs="Arial"/>
                <w:color w:val="auto"/>
                <w:szCs w:val="21"/>
                <w:highlight w:val="none"/>
              </w:rPr>
            </w:pPr>
          </w:p>
        </w:tc>
      </w:tr>
      <w:tr w14:paraId="5AD7C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545597DF">
            <w:pPr>
              <w:numPr>
                <w:ilvl w:val="0"/>
                <w:numId w:val="60"/>
              </w:numP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tcPr>
          <w:p w14:paraId="2C37CAD8">
            <w:pPr>
              <w:snapToGrid w:val="0"/>
              <w:spacing w:line="276" w:lineRule="auto"/>
              <w:rPr>
                <w:rFonts w:ascii="宋体" w:hAnsi="宋体" w:cs="Arial"/>
                <w:color w:val="auto"/>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14:paraId="4D911218">
            <w:pP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45A80EBE">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9693600">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F77D86D">
            <w:pP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41DEA5B">
            <w:pP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25CA9030">
            <w:pPr>
              <w:snapToGrid w:val="0"/>
              <w:spacing w:line="276" w:lineRule="auto"/>
              <w:jc w:val="center"/>
              <w:rPr>
                <w:rFonts w:ascii="宋体" w:hAnsi="宋体" w:cs="Arial"/>
                <w:color w:val="auto"/>
                <w:szCs w:val="21"/>
                <w:highlight w:val="none"/>
              </w:rPr>
            </w:pPr>
          </w:p>
        </w:tc>
        <w:tc>
          <w:tcPr>
            <w:tcW w:w="1296" w:type="dxa"/>
            <w:tcBorders>
              <w:top w:val="single" w:color="auto" w:sz="4" w:space="0"/>
              <w:left w:val="single" w:color="auto" w:sz="4" w:space="0"/>
              <w:bottom w:val="single" w:color="auto" w:sz="4" w:space="0"/>
              <w:right w:val="single" w:color="auto" w:sz="4" w:space="0"/>
            </w:tcBorders>
            <w:vAlign w:val="center"/>
          </w:tcPr>
          <w:p w14:paraId="5506D529">
            <w:pPr>
              <w:snapToGrid w:val="0"/>
              <w:spacing w:line="276" w:lineRule="auto"/>
              <w:jc w:val="center"/>
              <w:rPr>
                <w:rFonts w:ascii="宋体" w:hAnsi="宋体" w:cs="Arial"/>
                <w:color w:val="auto"/>
                <w:szCs w:val="21"/>
                <w:highlight w:val="none"/>
              </w:rPr>
            </w:pPr>
          </w:p>
        </w:tc>
      </w:tr>
      <w:tr w14:paraId="6CDF1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1C6D2ECA">
            <w:pPr>
              <w:numPr>
                <w:ilvl w:val="0"/>
                <w:numId w:val="60"/>
              </w:numP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tcPr>
          <w:p w14:paraId="0A5656B5">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w:t>
            </w:r>
          </w:p>
        </w:tc>
        <w:tc>
          <w:tcPr>
            <w:tcW w:w="851" w:type="dxa"/>
            <w:tcBorders>
              <w:top w:val="single" w:color="auto" w:sz="4" w:space="0"/>
              <w:left w:val="single" w:color="auto" w:sz="4" w:space="0"/>
              <w:bottom w:val="single" w:color="auto" w:sz="4" w:space="0"/>
              <w:right w:val="single" w:color="auto" w:sz="4" w:space="0"/>
            </w:tcBorders>
            <w:vAlign w:val="center"/>
          </w:tcPr>
          <w:p w14:paraId="7C15BE2F">
            <w:pP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613D4506">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36AED22">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2D6A394">
            <w:pP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C277829">
            <w:pP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08A8A086">
            <w:pPr>
              <w:snapToGrid w:val="0"/>
              <w:spacing w:line="276" w:lineRule="auto"/>
              <w:jc w:val="center"/>
              <w:rPr>
                <w:rFonts w:ascii="宋体" w:hAnsi="宋体" w:cs="Arial"/>
                <w:color w:val="auto"/>
                <w:szCs w:val="21"/>
                <w:highlight w:val="none"/>
              </w:rPr>
            </w:pPr>
          </w:p>
        </w:tc>
        <w:tc>
          <w:tcPr>
            <w:tcW w:w="1296" w:type="dxa"/>
            <w:tcBorders>
              <w:top w:val="single" w:color="auto" w:sz="4" w:space="0"/>
              <w:left w:val="single" w:color="auto" w:sz="4" w:space="0"/>
              <w:bottom w:val="single" w:color="auto" w:sz="4" w:space="0"/>
              <w:right w:val="single" w:color="auto" w:sz="4" w:space="0"/>
            </w:tcBorders>
            <w:vAlign w:val="center"/>
          </w:tcPr>
          <w:p w14:paraId="06EDA8CA">
            <w:pPr>
              <w:snapToGrid w:val="0"/>
              <w:spacing w:line="276" w:lineRule="auto"/>
              <w:jc w:val="center"/>
              <w:rPr>
                <w:rFonts w:ascii="宋体" w:hAnsi="宋体" w:cs="Arial"/>
                <w:color w:val="auto"/>
                <w:szCs w:val="21"/>
                <w:highlight w:val="none"/>
              </w:rPr>
            </w:pPr>
          </w:p>
        </w:tc>
      </w:tr>
    </w:tbl>
    <w:p w14:paraId="410B8CEE">
      <w:pPr>
        <w:spacing w:line="276" w:lineRule="auto"/>
        <w:rPr>
          <w:rFonts w:ascii="宋体" w:hAnsi="宋体" w:cs="Arial"/>
          <w:color w:val="auto"/>
          <w:szCs w:val="21"/>
          <w:highlight w:val="none"/>
        </w:rPr>
      </w:pPr>
      <w:r>
        <w:rPr>
          <w:rFonts w:hint="eastAsia" w:ascii="宋体" w:hAnsi="宋体" w:cs="Arial"/>
          <w:color w:val="auto"/>
          <w:szCs w:val="21"/>
          <w:highlight w:val="none"/>
        </w:rPr>
        <w:t>说明：投标人应将所提供产品中属于节能、环保产品分别列入上表中，并按要求提供《市场监管总局关于发布参与实施政府采购节能产品、环境标志产品认证机构名录的公告（2019年第16号）》中所列认证机构）出具的、处于有效期之内的节能、环保产品认证证书，未填写本表或证明资料不全的不予认定。</w:t>
      </w:r>
    </w:p>
    <w:p w14:paraId="5C693D3C">
      <w:pPr>
        <w:spacing w:line="276" w:lineRule="auto"/>
        <w:rPr>
          <w:rFonts w:ascii="宋体" w:hAnsi="宋体" w:cs="Arial"/>
          <w:color w:val="auto"/>
          <w:szCs w:val="21"/>
          <w:highlight w:val="none"/>
        </w:rPr>
      </w:pPr>
    </w:p>
    <w:p w14:paraId="327777BE">
      <w:pPr>
        <w:spacing w:line="360" w:lineRule="auto"/>
        <w:ind w:firstLine="3968" w:firstLineChars="1890"/>
        <w:rPr>
          <w:rFonts w:ascii="宋体" w:hAnsi="宋体" w:cs="Arial"/>
          <w:color w:val="auto"/>
          <w:szCs w:val="21"/>
          <w:highlight w:val="none"/>
        </w:rPr>
      </w:pPr>
      <w:r>
        <w:rPr>
          <w:rFonts w:hint="eastAsia" w:ascii="宋体" w:hAnsi="宋体" w:cs="Arial"/>
          <w:color w:val="auto"/>
          <w:szCs w:val="21"/>
          <w:highlight w:val="none"/>
        </w:rPr>
        <w:t>投标人名称（公章）：</w:t>
      </w:r>
      <w:r>
        <w:rPr>
          <w:rFonts w:hint="eastAsia" w:ascii="宋体" w:hAnsi="宋体"/>
          <w:color w:val="auto"/>
          <w:szCs w:val="21"/>
          <w:highlight w:val="none"/>
          <w:u w:val="single"/>
        </w:rPr>
        <w:t xml:space="preserve">       </w:t>
      </w:r>
    </w:p>
    <w:p w14:paraId="4B81D857">
      <w:pPr>
        <w:spacing w:line="360" w:lineRule="auto"/>
        <w:ind w:firstLine="3968" w:firstLineChars="1890"/>
        <w:rPr>
          <w:rFonts w:ascii="宋体" w:hAnsi="宋体"/>
          <w:bCs/>
          <w:color w:val="auto"/>
          <w:szCs w:val="21"/>
          <w:highlight w:val="none"/>
        </w:rPr>
      </w:pPr>
      <w:r>
        <w:rPr>
          <w:rFonts w:hint="eastAsia" w:ascii="宋体" w:hAnsi="宋体"/>
          <w:bCs/>
          <w:color w:val="auto"/>
          <w:szCs w:val="21"/>
          <w:highlight w:val="none"/>
        </w:rPr>
        <w:t>日期：</w:t>
      </w:r>
      <w:r>
        <w:rPr>
          <w:rFonts w:hint="eastAsia" w:ascii="宋体" w:hAnsi="宋体"/>
          <w:color w:val="auto"/>
          <w:szCs w:val="21"/>
          <w:highlight w:val="none"/>
          <w:u w:val="single"/>
        </w:rPr>
        <w:t xml:space="preserve">    </w:t>
      </w:r>
      <w:r>
        <w:rPr>
          <w:rFonts w:hint="eastAsia" w:ascii="宋体" w:hAnsi="宋体"/>
          <w:bCs/>
          <w:color w:val="auto"/>
          <w:szCs w:val="21"/>
          <w:highlight w:val="none"/>
        </w:rPr>
        <w:t>年</w:t>
      </w:r>
      <w:r>
        <w:rPr>
          <w:rFonts w:hint="eastAsia" w:ascii="宋体" w:hAnsi="宋体"/>
          <w:color w:val="auto"/>
          <w:szCs w:val="21"/>
          <w:highlight w:val="none"/>
          <w:u w:val="single"/>
        </w:rPr>
        <w:t xml:space="preserve">    </w:t>
      </w:r>
      <w:r>
        <w:rPr>
          <w:rFonts w:hint="eastAsia" w:ascii="宋体" w:hAnsi="宋体"/>
          <w:bCs/>
          <w:color w:val="auto"/>
          <w:szCs w:val="21"/>
          <w:highlight w:val="none"/>
        </w:rPr>
        <w:t>月</w:t>
      </w:r>
      <w:r>
        <w:rPr>
          <w:rFonts w:hint="eastAsia" w:ascii="宋体" w:hAnsi="宋体"/>
          <w:color w:val="auto"/>
          <w:szCs w:val="21"/>
          <w:highlight w:val="none"/>
          <w:u w:val="single"/>
        </w:rPr>
        <w:t xml:space="preserve">    </w:t>
      </w:r>
      <w:r>
        <w:rPr>
          <w:rFonts w:hint="eastAsia" w:ascii="宋体" w:hAnsi="宋体"/>
          <w:bCs/>
          <w:color w:val="auto"/>
          <w:szCs w:val="21"/>
          <w:highlight w:val="none"/>
        </w:rPr>
        <w:t>日</w:t>
      </w:r>
    </w:p>
    <w:p w14:paraId="08E235B6">
      <w:pPr>
        <w:widowControl/>
        <w:jc w:val="left"/>
        <w:rPr>
          <w:rFonts w:ascii="宋体" w:hAnsi="宋体" w:cs="Courier New"/>
          <w:color w:val="auto"/>
          <w:szCs w:val="21"/>
          <w:highlight w:val="none"/>
        </w:rPr>
      </w:pPr>
      <w:r>
        <w:rPr>
          <w:rFonts w:ascii="宋体" w:hAnsi="宋体"/>
          <w:bCs/>
          <w:color w:val="auto"/>
          <w:kern w:val="0"/>
          <w:szCs w:val="21"/>
          <w:highlight w:val="none"/>
        </w:rPr>
        <w:br w:type="page"/>
      </w:r>
    </w:p>
    <w:p w14:paraId="3C393103">
      <w:pPr>
        <w:ind w:firstLine="0"/>
        <w:rPr>
          <w:color w:val="auto"/>
          <w:szCs w:val="21"/>
          <w:highlight w:val="none"/>
        </w:rPr>
      </w:pPr>
    </w:p>
    <w:p w14:paraId="6C8105C2">
      <w:pPr>
        <w:pStyle w:val="30"/>
        <w:numPr>
          <w:ilvl w:val="0"/>
          <w:numId w:val="58"/>
        </w:numPr>
        <w:spacing w:line="276" w:lineRule="auto"/>
        <w:ind w:firstLineChars="0"/>
        <w:outlineLvl w:val="2"/>
        <w:rPr>
          <w:color w:val="auto"/>
          <w:szCs w:val="21"/>
          <w:highlight w:val="none"/>
        </w:rPr>
      </w:pPr>
      <w:r>
        <w:rPr>
          <w:rFonts w:hint="eastAsia"/>
          <w:color w:val="auto"/>
          <w:szCs w:val="21"/>
          <w:highlight w:val="none"/>
        </w:rPr>
        <w:t>项目负责人、技术负责人简历表</w:t>
      </w:r>
      <w:r>
        <w:rPr>
          <w:rFonts w:hint="eastAsia" w:ascii="宋体" w:hAnsi="宋体" w:cs="Courier New"/>
          <w:color w:val="auto"/>
          <w:szCs w:val="21"/>
          <w:highlight w:val="none"/>
        </w:rPr>
        <w:t>及证明材料</w:t>
      </w:r>
      <w:r>
        <w:rPr>
          <w:rFonts w:hint="eastAsia"/>
          <w:color w:val="auto"/>
          <w:szCs w:val="21"/>
          <w:highlight w:val="none"/>
        </w:rPr>
        <w:t>（如需</w:t>
      </w:r>
      <w:r>
        <w:rPr>
          <w:color w:val="auto"/>
          <w:szCs w:val="21"/>
          <w:highlight w:val="none"/>
        </w:rPr>
        <w:t>）</w:t>
      </w:r>
    </w:p>
    <w:p w14:paraId="1CA774D7">
      <w:pPr>
        <w:spacing w:line="276" w:lineRule="auto"/>
        <w:jc w:val="center"/>
        <w:rPr>
          <w:rFonts w:ascii="宋体" w:hAnsi="宋体"/>
          <w:b/>
          <w:bCs/>
          <w:color w:val="auto"/>
          <w:kern w:val="0"/>
          <w:szCs w:val="21"/>
          <w:highlight w:val="none"/>
        </w:rPr>
      </w:pPr>
      <w:r>
        <w:rPr>
          <w:rFonts w:hint="eastAsia" w:ascii="宋体" w:hAnsi="宋体"/>
          <w:b/>
          <w:bCs/>
          <w:color w:val="auto"/>
          <w:kern w:val="0"/>
          <w:szCs w:val="21"/>
          <w:highlight w:val="none"/>
        </w:rPr>
        <w:t>项目负责人、技术负责人简历表</w:t>
      </w:r>
      <w:bookmarkEnd w:id="143"/>
      <w:bookmarkEnd w:id="144"/>
      <w:bookmarkEnd w:id="145"/>
      <w:bookmarkEnd w:id="146"/>
      <w:bookmarkEnd w:id="147"/>
      <w:bookmarkEnd w:id="148"/>
    </w:p>
    <w:p w14:paraId="2CB392F9">
      <w:pP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1588BC29">
      <w:pP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p>
    <w:tbl>
      <w:tblPr>
        <w:tblStyle w:val="21"/>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0"/>
        <w:gridCol w:w="306"/>
        <w:gridCol w:w="1224"/>
        <w:gridCol w:w="612"/>
        <w:gridCol w:w="918"/>
        <w:gridCol w:w="918"/>
        <w:gridCol w:w="612"/>
        <w:gridCol w:w="1224"/>
        <w:gridCol w:w="306"/>
        <w:gridCol w:w="1530"/>
      </w:tblGrid>
      <w:tr w14:paraId="48947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0144E777">
            <w:pP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姓    名</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2F7C58E7">
            <w:pPr>
              <w:autoSpaceDE w:val="0"/>
              <w:autoSpaceDN w:val="0"/>
              <w:adjustRightInd w:val="0"/>
              <w:spacing w:line="276" w:lineRule="auto"/>
              <w:ind w:right="285" w:rightChars="136"/>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56193DE0">
            <w:pPr>
              <w:autoSpaceDE w:val="0"/>
              <w:autoSpaceDN w:val="0"/>
              <w:adjustRightInd w:val="0"/>
              <w:spacing w:line="276" w:lineRule="auto"/>
              <w:ind w:right="-128" w:rightChars="-61"/>
              <w:jc w:val="center"/>
              <w:rPr>
                <w:rFonts w:ascii="宋体" w:hAnsi="宋体"/>
                <w:color w:val="auto"/>
                <w:kern w:val="0"/>
                <w:szCs w:val="21"/>
                <w:highlight w:val="none"/>
              </w:rPr>
            </w:pPr>
            <w:r>
              <w:rPr>
                <w:rFonts w:hint="eastAsia" w:ascii="宋体" w:hAnsi="宋体"/>
                <w:color w:val="auto"/>
                <w:kern w:val="0"/>
                <w:szCs w:val="21"/>
                <w:highlight w:val="none"/>
              </w:rPr>
              <w:t>性    别</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824FD52">
            <w:pPr>
              <w:autoSpaceDE w:val="0"/>
              <w:autoSpaceDN w:val="0"/>
              <w:adjustRightInd w:val="0"/>
              <w:spacing w:line="276" w:lineRule="auto"/>
              <w:ind w:right="285" w:rightChars="136"/>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3C8C967">
            <w:pPr>
              <w:autoSpaceDE w:val="0"/>
              <w:autoSpaceDN w:val="0"/>
              <w:adjustRightInd w:val="0"/>
              <w:spacing w:line="276" w:lineRule="auto"/>
              <w:ind w:right="2" w:rightChars="1"/>
              <w:jc w:val="center"/>
              <w:rPr>
                <w:rFonts w:ascii="宋体" w:hAnsi="宋体"/>
                <w:color w:val="auto"/>
                <w:kern w:val="0"/>
                <w:szCs w:val="21"/>
                <w:highlight w:val="none"/>
              </w:rPr>
            </w:pPr>
            <w:r>
              <w:rPr>
                <w:rFonts w:hint="eastAsia" w:ascii="宋体" w:hAnsi="宋体"/>
                <w:color w:val="auto"/>
                <w:kern w:val="0"/>
                <w:szCs w:val="21"/>
                <w:highlight w:val="none"/>
              </w:rPr>
              <w:t>年    龄</w:t>
            </w:r>
          </w:p>
        </w:tc>
        <w:tc>
          <w:tcPr>
            <w:tcW w:w="1530" w:type="dxa"/>
            <w:tcBorders>
              <w:top w:val="single" w:color="auto" w:sz="4" w:space="0"/>
              <w:left w:val="single" w:color="auto" w:sz="4" w:space="0"/>
              <w:bottom w:val="single" w:color="auto" w:sz="4" w:space="0"/>
              <w:right w:val="single" w:color="auto" w:sz="4" w:space="0"/>
            </w:tcBorders>
            <w:vAlign w:val="center"/>
          </w:tcPr>
          <w:p w14:paraId="54253A48">
            <w:pPr>
              <w:autoSpaceDE w:val="0"/>
              <w:autoSpaceDN w:val="0"/>
              <w:adjustRightInd w:val="0"/>
              <w:spacing w:line="276" w:lineRule="auto"/>
              <w:ind w:right="285" w:rightChars="136"/>
              <w:jc w:val="center"/>
              <w:rPr>
                <w:rFonts w:ascii="宋体" w:hAnsi="宋体"/>
                <w:color w:val="auto"/>
                <w:kern w:val="0"/>
                <w:szCs w:val="21"/>
                <w:highlight w:val="none"/>
              </w:rPr>
            </w:pPr>
          </w:p>
        </w:tc>
      </w:tr>
      <w:tr w14:paraId="5C304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4272EE43">
            <w:pP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职    务</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500490EE">
            <w:pPr>
              <w:autoSpaceDE w:val="0"/>
              <w:autoSpaceDN w:val="0"/>
              <w:adjustRightInd w:val="0"/>
              <w:spacing w:line="276" w:lineRule="auto"/>
              <w:ind w:right="285" w:rightChars="136"/>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18F1A1AF">
            <w:pPr>
              <w:autoSpaceDE w:val="0"/>
              <w:autoSpaceDN w:val="0"/>
              <w:adjustRightInd w:val="0"/>
              <w:spacing w:line="276" w:lineRule="auto"/>
              <w:ind w:right="-84" w:rightChars="-40"/>
              <w:jc w:val="center"/>
              <w:rPr>
                <w:rFonts w:ascii="宋体" w:hAnsi="宋体"/>
                <w:color w:val="auto"/>
                <w:kern w:val="0"/>
                <w:szCs w:val="21"/>
                <w:highlight w:val="none"/>
              </w:rPr>
            </w:pPr>
            <w:r>
              <w:rPr>
                <w:rFonts w:hint="eastAsia" w:ascii="宋体" w:hAnsi="宋体"/>
                <w:color w:val="auto"/>
                <w:kern w:val="0"/>
                <w:szCs w:val="21"/>
                <w:highlight w:val="none"/>
              </w:rPr>
              <w:t>职    称</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9970D3E">
            <w:pPr>
              <w:autoSpaceDE w:val="0"/>
              <w:autoSpaceDN w:val="0"/>
              <w:adjustRightInd w:val="0"/>
              <w:spacing w:line="276" w:lineRule="auto"/>
              <w:ind w:right="285" w:rightChars="136"/>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6224A374">
            <w:pPr>
              <w:autoSpaceDE w:val="0"/>
              <w:autoSpaceDN w:val="0"/>
              <w:adjustRightInd w:val="0"/>
              <w:spacing w:line="276" w:lineRule="auto"/>
              <w:ind w:right="2" w:rightChars="1"/>
              <w:jc w:val="center"/>
              <w:rPr>
                <w:rFonts w:ascii="宋体" w:hAnsi="宋体"/>
                <w:color w:val="auto"/>
                <w:kern w:val="0"/>
                <w:szCs w:val="21"/>
                <w:highlight w:val="none"/>
              </w:rPr>
            </w:pPr>
            <w:r>
              <w:rPr>
                <w:rFonts w:hint="eastAsia" w:ascii="宋体" w:hAnsi="宋体"/>
                <w:color w:val="auto"/>
                <w:kern w:val="0"/>
                <w:szCs w:val="21"/>
                <w:highlight w:val="none"/>
              </w:rPr>
              <w:t>学    历</w:t>
            </w:r>
          </w:p>
        </w:tc>
        <w:tc>
          <w:tcPr>
            <w:tcW w:w="1530" w:type="dxa"/>
            <w:tcBorders>
              <w:top w:val="single" w:color="auto" w:sz="4" w:space="0"/>
              <w:left w:val="single" w:color="auto" w:sz="4" w:space="0"/>
              <w:bottom w:val="single" w:color="auto" w:sz="4" w:space="0"/>
              <w:right w:val="single" w:color="auto" w:sz="4" w:space="0"/>
            </w:tcBorders>
            <w:vAlign w:val="center"/>
          </w:tcPr>
          <w:p w14:paraId="75B9E493">
            <w:pPr>
              <w:autoSpaceDE w:val="0"/>
              <w:autoSpaceDN w:val="0"/>
              <w:adjustRightInd w:val="0"/>
              <w:spacing w:line="276" w:lineRule="auto"/>
              <w:ind w:right="2" w:rightChars="1"/>
              <w:jc w:val="center"/>
              <w:rPr>
                <w:rFonts w:ascii="宋体" w:hAnsi="宋体"/>
                <w:color w:val="auto"/>
                <w:kern w:val="0"/>
                <w:szCs w:val="21"/>
                <w:highlight w:val="none"/>
              </w:rPr>
            </w:pPr>
          </w:p>
        </w:tc>
      </w:tr>
      <w:tr w14:paraId="1867E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30" w:type="dxa"/>
            <w:tcBorders>
              <w:top w:val="single" w:color="auto" w:sz="4" w:space="0"/>
              <w:left w:val="single" w:color="auto" w:sz="4" w:space="0"/>
              <w:bottom w:val="single" w:color="auto" w:sz="4" w:space="0"/>
              <w:right w:val="single" w:color="auto" w:sz="4" w:space="0"/>
            </w:tcBorders>
            <w:vAlign w:val="center"/>
          </w:tcPr>
          <w:p w14:paraId="16BDDBDF">
            <w:pP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参加工作</w:t>
            </w:r>
          </w:p>
          <w:p w14:paraId="0D99C634">
            <w:pP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时间</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6573C217">
            <w:pPr>
              <w:autoSpaceDE w:val="0"/>
              <w:autoSpaceDN w:val="0"/>
              <w:adjustRightInd w:val="0"/>
              <w:spacing w:line="276" w:lineRule="auto"/>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EEDB70C">
            <w:pP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从事本行业工作年限</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6B48A60E">
            <w:pPr>
              <w:autoSpaceDE w:val="0"/>
              <w:autoSpaceDN w:val="0"/>
              <w:adjustRightInd w:val="0"/>
              <w:spacing w:line="276" w:lineRule="auto"/>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52C77DF6">
            <w:pP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个人专业资质及证书</w:t>
            </w:r>
          </w:p>
        </w:tc>
        <w:tc>
          <w:tcPr>
            <w:tcW w:w="1530" w:type="dxa"/>
            <w:tcBorders>
              <w:top w:val="single" w:color="auto" w:sz="4" w:space="0"/>
              <w:left w:val="single" w:color="auto" w:sz="4" w:space="0"/>
              <w:bottom w:val="single" w:color="auto" w:sz="4" w:space="0"/>
              <w:right w:val="single" w:color="auto" w:sz="4" w:space="0"/>
            </w:tcBorders>
            <w:vAlign w:val="center"/>
          </w:tcPr>
          <w:p w14:paraId="028EE640">
            <w:pPr>
              <w:autoSpaceDE w:val="0"/>
              <w:autoSpaceDN w:val="0"/>
              <w:adjustRightInd w:val="0"/>
              <w:spacing w:line="276" w:lineRule="auto"/>
              <w:jc w:val="center"/>
              <w:rPr>
                <w:rFonts w:ascii="宋体" w:hAnsi="宋体"/>
                <w:color w:val="auto"/>
                <w:kern w:val="0"/>
                <w:szCs w:val="21"/>
                <w:highlight w:val="none"/>
              </w:rPr>
            </w:pPr>
          </w:p>
        </w:tc>
      </w:tr>
      <w:tr w14:paraId="5048B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60B70586">
            <w:pPr>
              <w:autoSpaceDE w:val="0"/>
              <w:autoSpaceDN w:val="0"/>
              <w:adjustRightInd w:val="0"/>
              <w:spacing w:line="276" w:lineRule="auto"/>
              <w:ind w:right="285" w:rightChars="136"/>
              <w:jc w:val="center"/>
              <w:rPr>
                <w:rFonts w:ascii="宋体" w:hAnsi="宋体"/>
                <w:color w:val="auto"/>
                <w:kern w:val="0"/>
                <w:szCs w:val="21"/>
                <w:highlight w:val="none"/>
              </w:rPr>
            </w:pPr>
            <w:r>
              <w:rPr>
                <w:rFonts w:hint="eastAsia" w:ascii="宋体" w:hAnsi="宋体"/>
                <w:color w:val="auto"/>
                <w:kern w:val="0"/>
                <w:szCs w:val="21"/>
                <w:highlight w:val="none"/>
              </w:rPr>
              <w:t>个人简介</w:t>
            </w:r>
          </w:p>
        </w:tc>
      </w:tr>
      <w:tr w14:paraId="51D16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1"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790B72C5">
            <w:pPr>
              <w:autoSpaceDE w:val="0"/>
              <w:autoSpaceDN w:val="0"/>
              <w:adjustRightInd w:val="0"/>
              <w:spacing w:line="276" w:lineRule="auto"/>
              <w:ind w:right="285" w:rightChars="136"/>
              <w:jc w:val="center"/>
              <w:rPr>
                <w:rFonts w:ascii="宋体" w:hAnsi="宋体"/>
                <w:color w:val="auto"/>
                <w:kern w:val="0"/>
                <w:szCs w:val="21"/>
                <w:highlight w:val="none"/>
              </w:rPr>
            </w:pPr>
          </w:p>
        </w:tc>
      </w:tr>
      <w:tr w14:paraId="339C3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0A3A3FEF">
            <w:pPr>
              <w:autoSpaceDE w:val="0"/>
              <w:autoSpaceDN w:val="0"/>
              <w:adjustRightInd w:val="0"/>
              <w:spacing w:line="276" w:lineRule="auto"/>
              <w:ind w:right="285" w:rightChars="136"/>
              <w:jc w:val="center"/>
              <w:rPr>
                <w:rFonts w:ascii="宋体" w:hAnsi="宋体"/>
                <w:color w:val="auto"/>
                <w:kern w:val="0"/>
                <w:szCs w:val="21"/>
                <w:highlight w:val="none"/>
              </w:rPr>
            </w:pPr>
            <w:r>
              <w:rPr>
                <w:rFonts w:hint="eastAsia" w:ascii="宋体" w:hAnsi="宋体"/>
                <w:color w:val="auto"/>
                <w:kern w:val="0"/>
                <w:szCs w:val="21"/>
                <w:highlight w:val="none"/>
              </w:rPr>
              <w:t>类似项目经验</w:t>
            </w:r>
          </w:p>
        </w:tc>
      </w:tr>
      <w:tr w14:paraId="3ED02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46546B46">
            <w:pPr>
              <w:autoSpaceDE w:val="0"/>
              <w:autoSpaceDN w:val="0"/>
              <w:adjustRightInd w:val="0"/>
              <w:spacing w:line="276" w:lineRule="auto"/>
              <w:ind w:right="-79" w:rightChars="-38"/>
              <w:jc w:val="center"/>
              <w:rPr>
                <w:rFonts w:ascii="宋体" w:hAnsi="宋体"/>
                <w:color w:val="auto"/>
                <w:kern w:val="0"/>
                <w:szCs w:val="21"/>
                <w:highlight w:val="none"/>
              </w:rPr>
            </w:pPr>
            <w:r>
              <w:rPr>
                <w:rFonts w:hint="eastAsia" w:ascii="宋体" w:hAnsi="宋体"/>
                <w:color w:val="auto"/>
                <w:kern w:val="0"/>
                <w:szCs w:val="21"/>
                <w:highlight w:val="none"/>
              </w:rPr>
              <w:t>项目单位</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C979679">
            <w:pPr>
              <w:autoSpaceDE w:val="0"/>
              <w:autoSpaceDN w:val="0"/>
              <w:adjustRightInd w:val="0"/>
              <w:spacing w:line="276" w:lineRule="auto"/>
              <w:ind w:right="-79" w:rightChars="-38"/>
              <w:jc w:val="center"/>
              <w:rPr>
                <w:rFonts w:ascii="宋体" w:hAnsi="宋体"/>
                <w:color w:val="auto"/>
                <w:kern w:val="0"/>
                <w:szCs w:val="21"/>
                <w:highlight w:val="none"/>
              </w:rPr>
            </w:pPr>
            <w:r>
              <w:rPr>
                <w:rFonts w:hint="eastAsia" w:ascii="宋体" w:hAnsi="宋体"/>
                <w:color w:val="auto"/>
                <w:kern w:val="0"/>
                <w:szCs w:val="21"/>
                <w:highlight w:val="none"/>
              </w:rPr>
              <w:t>项目名称</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1A6BF15">
            <w:pPr>
              <w:autoSpaceDE w:val="0"/>
              <w:autoSpaceDN w:val="0"/>
              <w:adjustRightInd w:val="0"/>
              <w:spacing w:line="276" w:lineRule="auto"/>
              <w:ind w:right="-79" w:rightChars="-38"/>
              <w:jc w:val="center"/>
              <w:rPr>
                <w:rFonts w:ascii="宋体" w:hAnsi="宋体"/>
                <w:color w:val="auto"/>
                <w:kern w:val="0"/>
                <w:szCs w:val="21"/>
                <w:highlight w:val="none"/>
              </w:rPr>
            </w:pPr>
            <w:r>
              <w:rPr>
                <w:rFonts w:hint="eastAsia" w:ascii="宋体" w:hAnsi="宋体"/>
                <w:color w:val="auto"/>
                <w:kern w:val="0"/>
                <w:szCs w:val="21"/>
                <w:highlight w:val="none"/>
              </w:rPr>
              <w:t>项目内容</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E37DCCB">
            <w:pPr>
              <w:autoSpaceDE w:val="0"/>
              <w:autoSpaceDN w:val="0"/>
              <w:adjustRightInd w:val="0"/>
              <w:spacing w:line="276" w:lineRule="auto"/>
              <w:ind w:right="-79" w:rightChars="-38"/>
              <w:jc w:val="center"/>
              <w:rPr>
                <w:rFonts w:ascii="宋体" w:hAnsi="宋体"/>
                <w:color w:val="auto"/>
                <w:kern w:val="0"/>
                <w:szCs w:val="21"/>
                <w:highlight w:val="none"/>
              </w:rPr>
            </w:pPr>
            <w:r>
              <w:rPr>
                <w:rFonts w:hint="eastAsia" w:ascii="宋体" w:hAnsi="宋体"/>
                <w:color w:val="auto"/>
                <w:kern w:val="0"/>
                <w:szCs w:val="21"/>
                <w:highlight w:val="none"/>
              </w:rPr>
              <w:t>项目金额</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BA16B87">
            <w:pPr>
              <w:autoSpaceDE w:val="0"/>
              <w:autoSpaceDN w:val="0"/>
              <w:adjustRightInd w:val="0"/>
              <w:spacing w:line="276" w:lineRule="auto"/>
              <w:ind w:right="-79" w:rightChars="-38"/>
              <w:jc w:val="center"/>
              <w:rPr>
                <w:rFonts w:ascii="宋体" w:hAnsi="宋体"/>
                <w:color w:val="auto"/>
                <w:kern w:val="0"/>
                <w:szCs w:val="21"/>
                <w:highlight w:val="none"/>
              </w:rPr>
            </w:pPr>
            <w:r>
              <w:rPr>
                <w:rFonts w:hint="eastAsia" w:ascii="宋体" w:hAnsi="宋体"/>
                <w:color w:val="auto"/>
                <w:kern w:val="0"/>
                <w:szCs w:val="21"/>
                <w:highlight w:val="none"/>
              </w:rPr>
              <w:t>项目时间</w:t>
            </w:r>
          </w:p>
        </w:tc>
      </w:tr>
      <w:tr w14:paraId="2D60C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3595DEB4">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FFDB7D5">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77E28E2">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9D89D88">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2645C22">
            <w:pPr>
              <w:autoSpaceDE w:val="0"/>
              <w:autoSpaceDN w:val="0"/>
              <w:adjustRightInd w:val="0"/>
              <w:spacing w:line="276" w:lineRule="auto"/>
              <w:ind w:right="-79" w:rightChars="-38"/>
              <w:jc w:val="center"/>
              <w:rPr>
                <w:rFonts w:ascii="宋体" w:hAnsi="宋体"/>
                <w:color w:val="auto"/>
                <w:kern w:val="0"/>
                <w:szCs w:val="21"/>
                <w:highlight w:val="none"/>
              </w:rPr>
            </w:pPr>
          </w:p>
        </w:tc>
      </w:tr>
      <w:tr w14:paraId="722BE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7CB7BE94">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FA32D75">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092460D">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9986B2E">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202798F">
            <w:pPr>
              <w:autoSpaceDE w:val="0"/>
              <w:autoSpaceDN w:val="0"/>
              <w:adjustRightInd w:val="0"/>
              <w:spacing w:line="276" w:lineRule="auto"/>
              <w:ind w:right="-79" w:rightChars="-38"/>
              <w:jc w:val="center"/>
              <w:rPr>
                <w:rFonts w:ascii="宋体" w:hAnsi="宋体"/>
                <w:color w:val="auto"/>
                <w:kern w:val="0"/>
                <w:szCs w:val="21"/>
                <w:highlight w:val="none"/>
              </w:rPr>
            </w:pPr>
          </w:p>
        </w:tc>
      </w:tr>
      <w:tr w14:paraId="07D05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14102992">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09146DB">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328B0FA">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2BF39FE">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E9EFFF7">
            <w:pPr>
              <w:autoSpaceDE w:val="0"/>
              <w:autoSpaceDN w:val="0"/>
              <w:adjustRightInd w:val="0"/>
              <w:spacing w:line="276" w:lineRule="auto"/>
              <w:ind w:right="-79" w:rightChars="-38"/>
              <w:jc w:val="center"/>
              <w:rPr>
                <w:rFonts w:ascii="宋体" w:hAnsi="宋体"/>
                <w:color w:val="auto"/>
                <w:kern w:val="0"/>
                <w:szCs w:val="21"/>
                <w:highlight w:val="none"/>
              </w:rPr>
            </w:pPr>
          </w:p>
        </w:tc>
      </w:tr>
      <w:tr w14:paraId="27802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3B465CB2">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9EC5BFC">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A53CC49">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E1170BE">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FD0C04D">
            <w:pPr>
              <w:autoSpaceDE w:val="0"/>
              <w:autoSpaceDN w:val="0"/>
              <w:adjustRightInd w:val="0"/>
              <w:spacing w:line="276" w:lineRule="auto"/>
              <w:ind w:right="-79" w:rightChars="-38"/>
              <w:jc w:val="center"/>
              <w:rPr>
                <w:rFonts w:ascii="宋体" w:hAnsi="宋体"/>
                <w:color w:val="auto"/>
                <w:kern w:val="0"/>
                <w:szCs w:val="21"/>
                <w:highlight w:val="none"/>
              </w:rPr>
            </w:pPr>
          </w:p>
        </w:tc>
      </w:tr>
      <w:tr w14:paraId="61947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33E09435">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3FA68E2">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BBDE778">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95201BF">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95BFF80">
            <w:pPr>
              <w:autoSpaceDE w:val="0"/>
              <w:autoSpaceDN w:val="0"/>
              <w:adjustRightInd w:val="0"/>
              <w:spacing w:line="276" w:lineRule="auto"/>
              <w:ind w:right="-79" w:rightChars="-38"/>
              <w:jc w:val="center"/>
              <w:rPr>
                <w:rFonts w:ascii="宋体" w:hAnsi="宋体"/>
                <w:color w:val="auto"/>
                <w:kern w:val="0"/>
                <w:szCs w:val="21"/>
                <w:highlight w:val="none"/>
              </w:rPr>
            </w:pPr>
          </w:p>
        </w:tc>
      </w:tr>
    </w:tbl>
    <w:p w14:paraId="5B41345F">
      <w:pPr>
        <w:spacing w:line="276" w:lineRule="auto"/>
        <w:ind w:left="619" w:hanging="619" w:hangingChars="295"/>
        <w:jc w:val="left"/>
        <w:rPr>
          <w:rFonts w:ascii="宋体" w:hAnsi="宋体"/>
          <w:color w:val="auto"/>
          <w:szCs w:val="21"/>
          <w:highlight w:val="none"/>
          <w:lang w:val="zh-CN"/>
        </w:rPr>
      </w:pPr>
      <w:r>
        <w:rPr>
          <w:rFonts w:hint="eastAsia" w:ascii="宋体" w:hAnsi="宋体"/>
          <w:color w:val="auto"/>
          <w:szCs w:val="21"/>
          <w:highlight w:val="none"/>
        </w:rPr>
        <w:t>说明</w:t>
      </w:r>
      <w:r>
        <w:rPr>
          <w:rFonts w:hint="eastAsia" w:ascii="宋体" w:hAnsi="宋体"/>
          <w:color w:val="auto"/>
          <w:szCs w:val="21"/>
          <w:highlight w:val="none"/>
          <w:lang w:val="zh-CN"/>
        </w:rPr>
        <w:t>：投标文件应附完整的相关证明材料清晰复印件加盖投标人公章，</w:t>
      </w:r>
      <w:r>
        <w:rPr>
          <w:rFonts w:hint="eastAsia" w:ascii="宋体" w:hAnsi="宋体" w:cs="Corbel"/>
          <w:color w:val="auto"/>
          <w:szCs w:val="21"/>
          <w:highlight w:val="none"/>
          <w:lang w:val="zh-CN"/>
        </w:rPr>
        <w:t>未按照要求详细完整填写此表，</w:t>
      </w:r>
      <w:r>
        <w:rPr>
          <w:rFonts w:hint="eastAsia" w:ascii="宋体" w:hAnsi="宋体"/>
          <w:color w:val="auto"/>
          <w:szCs w:val="21"/>
          <w:highlight w:val="none"/>
          <w:lang w:val="zh-CN"/>
        </w:rPr>
        <w:t>导致的后果由投标人自行承担。</w:t>
      </w:r>
    </w:p>
    <w:p w14:paraId="466F39E3">
      <w:pPr>
        <w:spacing w:line="276" w:lineRule="auto"/>
        <w:jc w:val="left"/>
        <w:rPr>
          <w:rFonts w:ascii="宋体" w:hAnsi="宋体"/>
          <w:color w:val="auto"/>
          <w:szCs w:val="21"/>
          <w:highlight w:val="none"/>
          <w:lang w:val="zh-CN"/>
        </w:rPr>
      </w:pPr>
    </w:p>
    <w:p w14:paraId="0111E0C9">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0E4B796E">
      <w:pPr>
        <w:spacing w:before="100" w:beforeAutospacing="1" w:after="100" w:afterAutospacing="1" w:line="276" w:lineRule="auto"/>
        <w:ind w:firstLine="2902" w:firstLineChars="1382"/>
        <w:rPr>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5E061D20">
      <w:pPr>
        <w:pStyle w:val="30"/>
        <w:numPr>
          <w:ilvl w:val="0"/>
          <w:numId w:val="58"/>
        </w:numPr>
        <w:spacing w:line="276" w:lineRule="auto"/>
        <w:ind w:firstLineChars="0"/>
        <w:outlineLvl w:val="2"/>
        <w:rPr>
          <w:color w:val="auto"/>
          <w:szCs w:val="21"/>
          <w:highlight w:val="none"/>
        </w:rPr>
      </w:pPr>
      <w:r>
        <w:rPr>
          <w:color w:val="auto"/>
          <w:kern w:val="0"/>
          <w:szCs w:val="21"/>
          <w:highlight w:val="none"/>
        </w:rPr>
        <w:br w:type="page"/>
      </w:r>
      <w:bookmarkStart w:id="149" w:name="_Toc494665566"/>
      <w:bookmarkStart w:id="150" w:name="_Toc494745330"/>
      <w:bookmarkStart w:id="151" w:name="_Toc238276251"/>
      <w:bookmarkStart w:id="152" w:name="_Toc494721113"/>
      <w:bookmarkStart w:id="153" w:name="_Toc494702283"/>
      <w:bookmarkStart w:id="154" w:name="_Toc494665963"/>
      <w:bookmarkStart w:id="155" w:name="_Toc236473307"/>
      <w:bookmarkStart w:id="156" w:name="_Toc494665013"/>
      <w:r>
        <w:rPr>
          <w:rFonts w:hint="eastAsia"/>
          <w:color w:val="auto"/>
          <w:szCs w:val="21"/>
          <w:highlight w:val="none"/>
        </w:rPr>
        <w:t>项目组成员一览表及证明材料（如需</w:t>
      </w:r>
      <w:r>
        <w:rPr>
          <w:color w:val="auto"/>
          <w:szCs w:val="21"/>
          <w:highlight w:val="none"/>
        </w:rPr>
        <w:t>）</w:t>
      </w:r>
    </w:p>
    <w:bookmarkEnd w:id="149"/>
    <w:bookmarkEnd w:id="150"/>
    <w:bookmarkEnd w:id="151"/>
    <w:bookmarkEnd w:id="152"/>
    <w:bookmarkEnd w:id="153"/>
    <w:bookmarkEnd w:id="154"/>
    <w:bookmarkEnd w:id="155"/>
    <w:bookmarkEnd w:id="156"/>
    <w:p w14:paraId="3FCEA0CB">
      <w:pPr>
        <w:spacing w:line="276" w:lineRule="auto"/>
        <w:jc w:val="center"/>
        <w:rPr>
          <w:rFonts w:ascii="宋体" w:hAnsi="宋体"/>
          <w:b/>
          <w:color w:val="auto"/>
          <w:szCs w:val="21"/>
          <w:highlight w:val="none"/>
        </w:rPr>
      </w:pPr>
      <w:r>
        <w:rPr>
          <w:rFonts w:hint="eastAsia"/>
          <w:b/>
          <w:color w:val="auto"/>
          <w:szCs w:val="21"/>
          <w:highlight w:val="none"/>
        </w:rPr>
        <w:t>项目组成员一览表及证明材料</w:t>
      </w:r>
    </w:p>
    <w:p w14:paraId="7BE5C583">
      <w:pP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p>
    <w:p w14:paraId="0EE077AB">
      <w:pP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p>
    <w:tbl>
      <w:tblPr>
        <w:tblStyle w:val="21"/>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92"/>
        <w:gridCol w:w="1134"/>
        <w:gridCol w:w="1134"/>
        <w:gridCol w:w="1418"/>
        <w:gridCol w:w="1843"/>
        <w:gridCol w:w="1842"/>
      </w:tblGrid>
      <w:tr w14:paraId="48F8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F1F1F1"/>
            <w:vAlign w:val="center"/>
          </w:tcPr>
          <w:p w14:paraId="60EF5FE2">
            <w:pPr>
              <w:spacing w:line="276" w:lineRule="auto"/>
              <w:jc w:val="center"/>
              <w:rPr>
                <w:rFonts w:ascii="宋体" w:hAnsi="宋体"/>
                <w:color w:val="auto"/>
                <w:szCs w:val="21"/>
                <w:highlight w:val="none"/>
              </w:rPr>
            </w:pPr>
            <w:r>
              <w:rPr>
                <w:rFonts w:hint="eastAsia" w:ascii="宋体" w:hAnsi="宋体"/>
                <w:color w:val="auto"/>
                <w:szCs w:val="21"/>
                <w:highlight w:val="none"/>
              </w:rPr>
              <w:t>序号</w:t>
            </w:r>
          </w:p>
        </w:tc>
        <w:tc>
          <w:tcPr>
            <w:tcW w:w="992" w:type="dxa"/>
            <w:tcBorders>
              <w:top w:val="single" w:color="auto" w:sz="4" w:space="0"/>
              <w:left w:val="single" w:color="auto" w:sz="4" w:space="0"/>
              <w:bottom w:val="single" w:color="auto" w:sz="4" w:space="0"/>
              <w:right w:val="single" w:color="auto" w:sz="4" w:space="0"/>
            </w:tcBorders>
            <w:shd w:val="clear" w:color="auto" w:fill="F1F1F1"/>
            <w:vAlign w:val="center"/>
          </w:tcPr>
          <w:p w14:paraId="11CD3893">
            <w:pPr>
              <w:spacing w:line="276" w:lineRule="auto"/>
              <w:jc w:val="center"/>
              <w:rPr>
                <w:rFonts w:ascii="宋体" w:hAnsi="宋体"/>
                <w:color w:val="auto"/>
                <w:szCs w:val="21"/>
                <w:highlight w:val="none"/>
              </w:rPr>
            </w:pPr>
            <w:r>
              <w:rPr>
                <w:rFonts w:hint="eastAsia" w:ascii="宋体" w:hAnsi="宋体"/>
                <w:color w:val="auto"/>
                <w:szCs w:val="21"/>
                <w:highlight w:val="none"/>
              </w:rPr>
              <w:t>姓 名</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22DB0466">
            <w:pPr>
              <w:spacing w:line="276" w:lineRule="auto"/>
              <w:jc w:val="center"/>
              <w:rPr>
                <w:rFonts w:ascii="宋体" w:hAnsi="宋体"/>
                <w:color w:val="auto"/>
                <w:szCs w:val="21"/>
                <w:highlight w:val="none"/>
              </w:rPr>
            </w:pPr>
            <w:r>
              <w:rPr>
                <w:rFonts w:hint="eastAsia" w:ascii="宋体" w:hAnsi="宋体"/>
                <w:color w:val="auto"/>
                <w:szCs w:val="21"/>
                <w:highlight w:val="none"/>
              </w:rPr>
              <w:t>专 业</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71291ADA">
            <w:pPr>
              <w:spacing w:line="276" w:lineRule="auto"/>
              <w:jc w:val="center"/>
              <w:rPr>
                <w:rFonts w:ascii="宋体" w:hAnsi="宋体"/>
                <w:color w:val="auto"/>
                <w:szCs w:val="21"/>
                <w:highlight w:val="none"/>
              </w:rPr>
            </w:pPr>
            <w:r>
              <w:rPr>
                <w:rFonts w:hint="eastAsia" w:ascii="宋体" w:hAnsi="宋体"/>
                <w:color w:val="auto"/>
                <w:szCs w:val="21"/>
                <w:highlight w:val="none"/>
              </w:rPr>
              <w:t>年 龄</w:t>
            </w:r>
          </w:p>
        </w:tc>
        <w:tc>
          <w:tcPr>
            <w:tcW w:w="1418" w:type="dxa"/>
            <w:tcBorders>
              <w:top w:val="single" w:color="auto" w:sz="4" w:space="0"/>
              <w:left w:val="single" w:color="auto" w:sz="4" w:space="0"/>
              <w:bottom w:val="single" w:color="auto" w:sz="4" w:space="0"/>
              <w:right w:val="single" w:color="auto" w:sz="4" w:space="0"/>
            </w:tcBorders>
            <w:shd w:val="clear" w:color="auto" w:fill="F1F1F1"/>
            <w:vAlign w:val="center"/>
          </w:tcPr>
          <w:p w14:paraId="6B85CA72">
            <w:pPr>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从事本行业工作年限</w:t>
            </w:r>
          </w:p>
        </w:tc>
        <w:tc>
          <w:tcPr>
            <w:tcW w:w="1843" w:type="dxa"/>
            <w:tcBorders>
              <w:top w:val="single" w:color="auto" w:sz="4" w:space="0"/>
              <w:left w:val="single" w:color="auto" w:sz="4" w:space="0"/>
              <w:bottom w:val="single" w:color="auto" w:sz="4" w:space="0"/>
              <w:right w:val="single" w:color="auto" w:sz="4" w:space="0"/>
            </w:tcBorders>
            <w:shd w:val="clear" w:color="auto" w:fill="F1F1F1"/>
            <w:vAlign w:val="center"/>
          </w:tcPr>
          <w:p w14:paraId="2146CEEC">
            <w:pPr>
              <w:spacing w:line="276" w:lineRule="auto"/>
              <w:jc w:val="center"/>
              <w:rPr>
                <w:rFonts w:ascii="宋体" w:hAnsi="宋体"/>
                <w:color w:val="auto"/>
                <w:szCs w:val="21"/>
                <w:highlight w:val="none"/>
              </w:rPr>
            </w:pPr>
            <w:r>
              <w:rPr>
                <w:rFonts w:hint="eastAsia" w:ascii="宋体" w:hAnsi="宋体"/>
                <w:color w:val="auto"/>
                <w:szCs w:val="21"/>
                <w:highlight w:val="none"/>
              </w:rPr>
              <w:t>在本项目中承担的工作</w:t>
            </w:r>
          </w:p>
        </w:tc>
        <w:tc>
          <w:tcPr>
            <w:tcW w:w="1842" w:type="dxa"/>
            <w:tcBorders>
              <w:top w:val="single" w:color="auto" w:sz="4" w:space="0"/>
              <w:left w:val="single" w:color="auto" w:sz="4" w:space="0"/>
              <w:bottom w:val="single" w:color="auto" w:sz="4" w:space="0"/>
              <w:right w:val="single" w:color="auto" w:sz="4" w:space="0"/>
            </w:tcBorders>
            <w:shd w:val="clear" w:color="auto" w:fill="F1F1F1"/>
            <w:vAlign w:val="center"/>
          </w:tcPr>
          <w:p w14:paraId="44963AB2">
            <w:pPr>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个人专业资质及证书</w:t>
            </w:r>
          </w:p>
        </w:tc>
      </w:tr>
      <w:tr w14:paraId="3F2FC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27F2693B">
            <w:pPr>
              <w:spacing w:line="276" w:lineRule="auto"/>
              <w:jc w:val="center"/>
              <w:rPr>
                <w:rFonts w:ascii="宋体" w:hAnsi="宋体"/>
                <w:color w:val="auto"/>
                <w:szCs w:val="21"/>
                <w:highlight w:val="none"/>
              </w:rPr>
            </w:pPr>
            <w:r>
              <w:rPr>
                <w:rFonts w:hint="eastAsia" w:ascii="宋体" w:hAnsi="宋体"/>
                <w:color w:val="auto"/>
                <w:szCs w:val="21"/>
                <w:highlight w:val="none"/>
              </w:rPr>
              <w:t>1</w:t>
            </w:r>
          </w:p>
        </w:tc>
        <w:tc>
          <w:tcPr>
            <w:tcW w:w="992" w:type="dxa"/>
            <w:tcBorders>
              <w:top w:val="single" w:color="auto" w:sz="4" w:space="0"/>
              <w:left w:val="single" w:color="auto" w:sz="4" w:space="0"/>
              <w:bottom w:val="single" w:color="auto" w:sz="4" w:space="0"/>
              <w:right w:val="single" w:color="auto" w:sz="4" w:space="0"/>
            </w:tcBorders>
            <w:vAlign w:val="center"/>
          </w:tcPr>
          <w:p w14:paraId="204237B9">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F35D603">
            <w:pPr>
              <w:spacing w:line="276" w:lineRule="auto"/>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8246337">
            <w:pPr>
              <w:spacing w:line="276" w:lineRule="auto"/>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2038B76">
            <w:pPr>
              <w:spacing w:line="276" w:lineRule="auto"/>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176718FE">
            <w:pPr>
              <w:spacing w:line="276" w:lineRule="auto"/>
              <w:rPr>
                <w:rFonts w:ascii="宋体" w:hAnsi="宋体"/>
                <w:color w:val="auto"/>
                <w:szCs w:val="21"/>
                <w:highlight w:val="none"/>
              </w:rPr>
            </w:pPr>
            <w:r>
              <w:rPr>
                <w:rFonts w:hint="eastAsia" w:ascii="宋体" w:hAnsi="宋体"/>
                <w:color w:val="auto"/>
                <w:szCs w:val="21"/>
                <w:highlight w:val="none"/>
              </w:rPr>
              <w:t>项目负责人</w:t>
            </w:r>
          </w:p>
        </w:tc>
        <w:tc>
          <w:tcPr>
            <w:tcW w:w="1842" w:type="dxa"/>
            <w:tcBorders>
              <w:top w:val="single" w:color="auto" w:sz="4" w:space="0"/>
              <w:left w:val="single" w:color="auto" w:sz="4" w:space="0"/>
              <w:bottom w:val="single" w:color="auto" w:sz="4" w:space="0"/>
              <w:right w:val="single" w:color="auto" w:sz="4" w:space="0"/>
            </w:tcBorders>
            <w:vAlign w:val="center"/>
          </w:tcPr>
          <w:p w14:paraId="3200B999">
            <w:pPr>
              <w:spacing w:line="276" w:lineRule="auto"/>
              <w:rPr>
                <w:rFonts w:ascii="宋体" w:hAnsi="宋体"/>
                <w:color w:val="auto"/>
                <w:szCs w:val="21"/>
                <w:highlight w:val="none"/>
              </w:rPr>
            </w:pPr>
          </w:p>
        </w:tc>
      </w:tr>
      <w:tr w14:paraId="2E6DF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6AD95649">
            <w:pPr>
              <w:spacing w:line="276" w:lineRule="auto"/>
              <w:jc w:val="center"/>
              <w:rPr>
                <w:rFonts w:ascii="宋体" w:hAnsi="宋体"/>
                <w:color w:val="auto"/>
                <w:szCs w:val="21"/>
                <w:highlight w:val="none"/>
              </w:rPr>
            </w:pPr>
            <w:r>
              <w:rPr>
                <w:rFonts w:hint="eastAsia" w:ascii="宋体" w:hAnsi="宋体"/>
                <w:color w:val="auto"/>
                <w:szCs w:val="21"/>
                <w:highlight w:val="none"/>
              </w:rPr>
              <w:t>2</w:t>
            </w:r>
          </w:p>
        </w:tc>
        <w:tc>
          <w:tcPr>
            <w:tcW w:w="992" w:type="dxa"/>
            <w:tcBorders>
              <w:top w:val="single" w:color="auto" w:sz="4" w:space="0"/>
              <w:left w:val="single" w:color="auto" w:sz="4" w:space="0"/>
              <w:bottom w:val="single" w:color="auto" w:sz="4" w:space="0"/>
              <w:right w:val="single" w:color="auto" w:sz="4" w:space="0"/>
            </w:tcBorders>
            <w:vAlign w:val="center"/>
          </w:tcPr>
          <w:p w14:paraId="33558E49">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99CA47C">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9A51808">
            <w:pP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ACE9E04">
            <w:pP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4F4AA218">
            <w:pP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1796E8E5">
            <w:pPr>
              <w:spacing w:line="276" w:lineRule="auto"/>
              <w:jc w:val="center"/>
              <w:rPr>
                <w:rFonts w:ascii="宋体" w:hAnsi="宋体"/>
                <w:color w:val="auto"/>
                <w:szCs w:val="21"/>
                <w:highlight w:val="none"/>
              </w:rPr>
            </w:pPr>
          </w:p>
        </w:tc>
      </w:tr>
      <w:tr w14:paraId="22A49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5CCDA869">
            <w:pPr>
              <w:spacing w:line="276" w:lineRule="auto"/>
              <w:jc w:val="center"/>
              <w:rPr>
                <w:rFonts w:ascii="宋体" w:hAnsi="宋体"/>
                <w:color w:val="auto"/>
                <w:szCs w:val="21"/>
                <w:highlight w:val="none"/>
              </w:rPr>
            </w:pPr>
            <w:r>
              <w:rPr>
                <w:rFonts w:hint="eastAsia" w:ascii="宋体" w:hAnsi="宋体"/>
                <w:color w:val="auto"/>
                <w:szCs w:val="21"/>
                <w:highlight w:val="none"/>
              </w:rPr>
              <w:t>3</w:t>
            </w:r>
          </w:p>
        </w:tc>
        <w:tc>
          <w:tcPr>
            <w:tcW w:w="992" w:type="dxa"/>
            <w:tcBorders>
              <w:top w:val="single" w:color="auto" w:sz="4" w:space="0"/>
              <w:left w:val="single" w:color="auto" w:sz="4" w:space="0"/>
              <w:bottom w:val="single" w:color="auto" w:sz="4" w:space="0"/>
              <w:right w:val="single" w:color="auto" w:sz="4" w:space="0"/>
            </w:tcBorders>
            <w:vAlign w:val="center"/>
          </w:tcPr>
          <w:p w14:paraId="19629285">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AF10AB3">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705A86D">
            <w:pP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2AE43B4B">
            <w:pP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36E7DA53">
            <w:pP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5472EB99">
            <w:pPr>
              <w:spacing w:line="276" w:lineRule="auto"/>
              <w:jc w:val="center"/>
              <w:rPr>
                <w:rFonts w:ascii="宋体" w:hAnsi="宋体"/>
                <w:color w:val="auto"/>
                <w:szCs w:val="21"/>
                <w:highlight w:val="none"/>
              </w:rPr>
            </w:pPr>
          </w:p>
        </w:tc>
      </w:tr>
      <w:tr w14:paraId="020E8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23777561">
            <w:pPr>
              <w:spacing w:line="276" w:lineRule="auto"/>
              <w:jc w:val="center"/>
              <w:rPr>
                <w:rFonts w:ascii="宋体" w:hAnsi="宋体"/>
                <w:color w:val="auto"/>
                <w:szCs w:val="21"/>
                <w:highlight w:val="none"/>
              </w:rPr>
            </w:pPr>
            <w:r>
              <w:rPr>
                <w:rFonts w:hint="eastAsia" w:ascii="宋体" w:hAnsi="宋体"/>
                <w:color w:val="auto"/>
                <w:szCs w:val="21"/>
                <w:highlight w:val="none"/>
              </w:rPr>
              <w:t>4</w:t>
            </w:r>
          </w:p>
        </w:tc>
        <w:tc>
          <w:tcPr>
            <w:tcW w:w="992" w:type="dxa"/>
            <w:tcBorders>
              <w:top w:val="single" w:color="auto" w:sz="4" w:space="0"/>
              <w:left w:val="single" w:color="auto" w:sz="4" w:space="0"/>
              <w:bottom w:val="single" w:color="auto" w:sz="4" w:space="0"/>
              <w:right w:val="single" w:color="auto" w:sz="4" w:space="0"/>
            </w:tcBorders>
            <w:vAlign w:val="center"/>
          </w:tcPr>
          <w:p w14:paraId="1574750C">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A34BECC">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D5AAA0C">
            <w:pP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B150D55">
            <w:pP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6FFD5492">
            <w:pP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36C47C1E">
            <w:pPr>
              <w:spacing w:line="276" w:lineRule="auto"/>
              <w:jc w:val="center"/>
              <w:rPr>
                <w:rFonts w:ascii="宋体" w:hAnsi="宋体"/>
                <w:color w:val="auto"/>
                <w:szCs w:val="21"/>
                <w:highlight w:val="none"/>
              </w:rPr>
            </w:pPr>
          </w:p>
        </w:tc>
      </w:tr>
      <w:tr w14:paraId="3F37A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17885612">
            <w:pPr>
              <w:spacing w:line="276" w:lineRule="auto"/>
              <w:jc w:val="center"/>
              <w:rPr>
                <w:rFonts w:ascii="宋体" w:hAnsi="宋体"/>
                <w:color w:val="auto"/>
                <w:szCs w:val="21"/>
                <w:highlight w:val="none"/>
              </w:rPr>
            </w:pPr>
            <w:r>
              <w:rPr>
                <w:rFonts w:hint="eastAsia" w:ascii="宋体" w:hAnsi="宋体"/>
                <w:color w:val="auto"/>
                <w:szCs w:val="21"/>
                <w:highlight w:val="none"/>
              </w:rPr>
              <w:t>5</w:t>
            </w:r>
          </w:p>
        </w:tc>
        <w:tc>
          <w:tcPr>
            <w:tcW w:w="992" w:type="dxa"/>
            <w:tcBorders>
              <w:top w:val="single" w:color="auto" w:sz="4" w:space="0"/>
              <w:left w:val="single" w:color="auto" w:sz="4" w:space="0"/>
              <w:bottom w:val="single" w:color="auto" w:sz="4" w:space="0"/>
              <w:right w:val="single" w:color="auto" w:sz="4" w:space="0"/>
            </w:tcBorders>
            <w:vAlign w:val="center"/>
          </w:tcPr>
          <w:p w14:paraId="62785896">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24763DA">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F206092">
            <w:pP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4F96D6B">
            <w:pP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7BDE6B53">
            <w:pP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644F15B1">
            <w:pPr>
              <w:spacing w:line="276" w:lineRule="auto"/>
              <w:jc w:val="center"/>
              <w:rPr>
                <w:rFonts w:ascii="宋体" w:hAnsi="宋体"/>
                <w:color w:val="auto"/>
                <w:szCs w:val="21"/>
                <w:highlight w:val="none"/>
              </w:rPr>
            </w:pPr>
          </w:p>
        </w:tc>
      </w:tr>
      <w:tr w14:paraId="05F52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07BC2FBD">
            <w:pPr>
              <w:spacing w:line="276" w:lineRule="auto"/>
              <w:jc w:val="center"/>
              <w:rPr>
                <w:rFonts w:ascii="宋体" w:hAnsi="宋体"/>
                <w:color w:val="auto"/>
                <w:szCs w:val="21"/>
                <w:highlight w:val="none"/>
              </w:rPr>
            </w:pPr>
            <w:r>
              <w:rPr>
                <w:rFonts w:hint="eastAsia" w:ascii="宋体" w:hAnsi="宋体"/>
                <w:color w:val="auto"/>
                <w:szCs w:val="21"/>
                <w:highlight w:val="none"/>
              </w:rPr>
              <w:t>6</w:t>
            </w:r>
          </w:p>
        </w:tc>
        <w:tc>
          <w:tcPr>
            <w:tcW w:w="992" w:type="dxa"/>
            <w:tcBorders>
              <w:top w:val="single" w:color="auto" w:sz="4" w:space="0"/>
              <w:left w:val="single" w:color="auto" w:sz="4" w:space="0"/>
              <w:bottom w:val="single" w:color="auto" w:sz="4" w:space="0"/>
              <w:right w:val="single" w:color="auto" w:sz="4" w:space="0"/>
            </w:tcBorders>
            <w:vAlign w:val="center"/>
          </w:tcPr>
          <w:p w14:paraId="7CF77480">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15652C9">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E1B3D77">
            <w:pP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51DE7BF">
            <w:pP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7FED5E50">
            <w:pP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715E43FF">
            <w:pPr>
              <w:spacing w:line="276" w:lineRule="auto"/>
              <w:jc w:val="center"/>
              <w:rPr>
                <w:rFonts w:ascii="宋体" w:hAnsi="宋体"/>
                <w:color w:val="auto"/>
                <w:szCs w:val="21"/>
                <w:highlight w:val="none"/>
              </w:rPr>
            </w:pPr>
          </w:p>
        </w:tc>
      </w:tr>
      <w:tr w14:paraId="6BA53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448E5CB9">
            <w:pPr>
              <w:spacing w:line="276" w:lineRule="auto"/>
              <w:jc w:val="center"/>
              <w:rPr>
                <w:rFonts w:ascii="宋体" w:hAnsi="宋体"/>
                <w:b/>
                <w:color w:val="auto"/>
                <w:szCs w:val="21"/>
                <w:highlight w:val="none"/>
              </w:rPr>
            </w:pPr>
            <w:r>
              <w:rPr>
                <w:rFonts w:hint="eastAsia" w:ascii="宋体" w:hAnsi="宋体"/>
                <w:b/>
                <w:color w:val="auto"/>
                <w:szCs w:val="21"/>
                <w:highlight w:val="none"/>
              </w:rPr>
              <w:t>…</w:t>
            </w:r>
          </w:p>
        </w:tc>
        <w:tc>
          <w:tcPr>
            <w:tcW w:w="992" w:type="dxa"/>
            <w:tcBorders>
              <w:top w:val="single" w:color="auto" w:sz="4" w:space="0"/>
              <w:left w:val="single" w:color="auto" w:sz="4" w:space="0"/>
              <w:bottom w:val="single" w:color="auto" w:sz="4" w:space="0"/>
              <w:right w:val="single" w:color="auto" w:sz="4" w:space="0"/>
            </w:tcBorders>
            <w:vAlign w:val="center"/>
          </w:tcPr>
          <w:p w14:paraId="5692771C">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EDE8277">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E3FC4B8">
            <w:pP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64B6B71D">
            <w:pP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2A1A9D91">
            <w:pP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25A173AA">
            <w:pPr>
              <w:spacing w:line="276" w:lineRule="auto"/>
              <w:jc w:val="center"/>
              <w:rPr>
                <w:rFonts w:ascii="宋体" w:hAnsi="宋体"/>
                <w:color w:val="auto"/>
                <w:szCs w:val="21"/>
                <w:highlight w:val="none"/>
              </w:rPr>
            </w:pPr>
          </w:p>
        </w:tc>
      </w:tr>
    </w:tbl>
    <w:p w14:paraId="74196376">
      <w:pPr>
        <w:spacing w:line="276" w:lineRule="auto"/>
        <w:ind w:left="630" w:hanging="630" w:hangingChars="300"/>
        <w:jc w:val="left"/>
        <w:rPr>
          <w:rFonts w:ascii="宋体" w:hAnsi="宋体"/>
          <w:color w:val="auto"/>
          <w:szCs w:val="21"/>
          <w:highlight w:val="none"/>
          <w:lang w:val="zh-CN"/>
        </w:rPr>
      </w:pPr>
      <w:r>
        <w:rPr>
          <w:rFonts w:hint="eastAsia" w:ascii="宋体" w:hAnsi="宋体"/>
          <w:color w:val="auto"/>
          <w:szCs w:val="21"/>
          <w:highlight w:val="none"/>
          <w:lang w:val="zh-CN"/>
        </w:rPr>
        <w:t>说明：投标文件应附完整的相关证明材料清晰复印件并加盖投标人公章，</w:t>
      </w:r>
      <w:r>
        <w:rPr>
          <w:rFonts w:hint="eastAsia" w:ascii="宋体" w:hAnsi="宋体" w:cs="Corbel"/>
          <w:color w:val="auto"/>
          <w:szCs w:val="21"/>
          <w:highlight w:val="none"/>
          <w:lang w:val="zh-CN"/>
        </w:rPr>
        <w:t>未按照要求详细完整填写此表，</w:t>
      </w:r>
      <w:r>
        <w:rPr>
          <w:rFonts w:hint="eastAsia" w:ascii="宋体" w:hAnsi="宋体"/>
          <w:color w:val="auto"/>
          <w:szCs w:val="21"/>
          <w:highlight w:val="none"/>
          <w:lang w:val="zh-CN"/>
        </w:rPr>
        <w:t>导致的后果由投标人自行承担。</w:t>
      </w:r>
    </w:p>
    <w:p w14:paraId="0556F977">
      <w:pPr>
        <w:spacing w:line="276" w:lineRule="auto"/>
        <w:jc w:val="left"/>
        <w:rPr>
          <w:rFonts w:ascii="宋体" w:hAnsi="宋体"/>
          <w:color w:val="auto"/>
          <w:szCs w:val="21"/>
          <w:highlight w:val="none"/>
          <w:lang w:val="zh-CN"/>
        </w:rPr>
      </w:pPr>
    </w:p>
    <w:p w14:paraId="624B5A1C">
      <w:pPr>
        <w:spacing w:line="276" w:lineRule="auto"/>
        <w:jc w:val="left"/>
        <w:rPr>
          <w:rFonts w:ascii="宋体" w:hAnsi="宋体"/>
          <w:color w:val="auto"/>
          <w:szCs w:val="21"/>
          <w:highlight w:val="none"/>
          <w:lang w:val="zh-CN"/>
        </w:rPr>
      </w:pPr>
    </w:p>
    <w:p w14:paraId="4EEB9C91">
      <w:pPr>
        <w:spacing w:line="276" w:lineRule="auto"/>
        <w:jc w:val="left"/>
        <w:rPr>
          <w:rFonts w:ascii="宋体" w:hAnsi="宋体"/>
          <w:color w:val="auto"/>
          <w:szCs w:val="21"/>
          <w:highlight w:val="none"/>
          <w:lang w:val="zh-CN"/>
        </w:rPr>
      </w:pPr>
    </w:p>
    <w:p w14:paraId="324B4363">
      <w:pPr>
        <w:spacing w:line="276" w:lineRule="auto"/>
        <w:jc w:val="left"/>
        <w:rPr>
          <w:rFonts w:ascii="宋体" w:hAnsi="宋体"/>
          <w:color w:val="auto"/>
          <w:szCs w:val="21"/>
          <w:highlight w:val="none"/>
          <w:lang w:val="zh-CN"/>
        </w:rPr>
      </w:pPr>
    </w:p>
    <w:p w14:paraId="2C3FF907">
      <w:pPr>
        <w:spacing w:line="276" w:lineRule="auto"/>
        <w:jc w:val="left"/>
        <w:rPr>
          <w:rFonts w:ascii="宋体" w:hAnsi="宋体"/>
          <w:color w:val="auto"/>
          <w:szCs w:val="21"/>
          <w:highlight w:val="none"/>
          <w:lang w:val="zh-CN"/>
        </w:rPr>
      </w:pPr>
    </w:p>
    <w:p w14:paraId="5FC1831B">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65CF5D87">
      <w:pPr>
        <w:spacing w:before="100" w:beforeAutospacing="1" w:after="100" w:afterAutospacing="1" w:line="276" w:lineRule="auto"/>
        <w:ind w:firstLine="2902" w:firstLineChars="1382"/>
        <w:rPr>
          <w:rFonts w:hAnsi="宋体"/>
          <w:bCs/>
          <w:color w:val="auto"/>
          <w:szCs w:val="21"/>
          <w:highlight w:val="none"/>
          <w:u w:val="singl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262E067D">
      <w:pPr>
        <w:pStyle w:val="30"/>
        <w:numPr>
          <w:ilvl w:val="0"/>
          <w:numId w:val="58"/>
        </w:numPr>
        <w:spacing w:line="276" w:lineRule="auto"/>
        <w:ind w:firstLineChars="0"/>
        <w:outlineLvl w:val="2"/>
        <w:rPr>
          <w:color w:val="auto"/>
          <w:szCs w:val="21"/>
          <w:highlight w:val="none"/>
        </w:rPr>
      </w:pPr>
      <w:r>
        <w:rPr>
          <w:color w:val="auto"/>
          <w:kern w:val="0"/>
          <w:szCs w:val="21"/>
          <w:highlight w:val="none"/>
        </w:rPr>
        <w:br w:type="page"/>
      </w:r>
      <w:r>
        <w:rPr>
          <w:rFonts w:hint="eastAsia"/>
          <w:color w:val="auto"/>
          <w:szCs w:val="21"/>
          <w:highlight w:val="none"/>
        </w:rPr>
        <w:t>类似项目业绩表</w:t>
      </w:r>
      <w:r>
        <w:rPr>
          <w:rFonts w:hint="eastAsia" w:ascii="宋体" w:hAnsi="宋体" w:cs="Courier New"/>
          <w:color w:val="auto"/>
          <w:szCs w:val="21"/>
          <w:highlight w:val="none"/>
        </w:rPr>
        <w:t>及证明材料</w:t>
      </w:r>
      <w:r>
        <w:rPr>
          <w:rFonts w:hint="eastAsia"/>
          <w:color w:val="auto"/>
          <w:szCs w:val="21"/>
          <w:highlight w:val="none"/>
        </w:rPr>
        <w:t>（如需</w:t>
      </w:r>
      <w:r>
        <w:rPr>
          <w:color w:val="auto"/>
          <w:szCs w:val="21"/>
          <w:highlight w:val="none"/>
        </w:rPr>
        <w:t>）</w:t>
      </w:r>
    </w:p>
    <w:p w14:paraId="40F49657">
      <w:pPr>
        <w:spacing w:line="276" w:lineRule="auto"/>
        <w:jc w:val="center"/>
        <w:rPr>
          <w:b/>
          <w:color w:val="auto"/>
          <w:szCs w:val="21"/>
          <w:highlight w:val="none"/>
        </w:rPr>
      </w:pPr>
      <w:r>
        <w:rPr>
          <w:rFonts w:hint="eastAsia"/>
          <w:b/>
          <w:color w:val="auto"/>
          <w:szCs w:val="21"/>
          <w:highlight w:val="none"/>
        </w:rPr>
        <w:t>类似项目业绩表</w:t>
      </w:r>
    </w:p>
    <w:p w14:paraId="05A2BC67">
      <w:pPr>
        <w:spacing w:line="276" w:lineRule="auto"/>
        <w:jc w:val="center"/>
        <w:rPr>
          <w:b/>
          <w:color w:val="auto"/>
          <w:szCs w:val="21"/>
          <w:highlight w:val="none"/>
        </w:rPr>
      </w:pPr>
    </w:p>
    <w:p w14:paraId="4368AD2B">
      <w:pP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3E92D914">
      <w:pP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p>
    <w:tbl>
      <w:tblPr>
        <w:tblStyle w:val="2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7"/>
        <w:gridCol w:w="1138"/>
        <w:gridCol w:w="1276"/>
        <w:gridCol w:w="1550"/>
        <w:gridCol w:w="1001"/>
        <w:gridCol w:w="1276"/>
        <w:gridCol w:w="996"/>
        <w:gridCol w:w="1276"/>
        <w:gridCol w:w="838"/>
      </w:tblGrid>
      <w:tr w14:paraId="12580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5"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5EB0891B">
            <w:pP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138" w:type="dxa"/>
            <w:tcBorders>
              <w:top w:val="single" w:color="auto" w:sz="4" w:space="0"/>
              <w:left w:val="single" w:color="auto" w:sz="4" w:space="0"/>
              <w:bottom w:val="single" w:color="auto" w:sz="4" w:space="0"/>
              <w:right w:val="single" w:color="auto" w:sz="4" w:space="0"/>
            </w:tcBorders>
            <w:vAlign w:val="center"/>
          </w:tcPr>
          <w:p w14:paraId="65A586E7">
            <w:pP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业主单位</w:t>
            </w:r>
          </w:p>
        </w:tc>
        <w:tc>
          <w:tcPr>
            <w:tcW w:w="1276" w:type="dxa"/>
            <w:tcBorders>
              <w:top w:val="single" w:color="auto" w:sz="4" w:space="0"/>
              <w:left w:val="single" w:color="auto" w:sz="4" w:space="0"/>
              <w:bottom w:val="single" w:color="auto" w:sz="4" w:space="0"/>
              <w:right w:val="single" w:color="auto" w:sz="4" w:space="0"/>
            </w:tcBorders>
            <w:vAlign w:val="center"/>
          </w:tcPr>
          <w:p w14:paraId="5DF2E34A">
            <w:pPr>
              <w:spacing w:line="276" w:lineRule="auto"/>
              <w:jc w:val="center"/>
              <w:rPr>
                <w:rFonts w:ascii="宋体" w:hAnsi="宋体" w:cs="宋体"/>
                <w:color w:val="auto"/>
                <w:szCs w:val="21"/>
                <w:highlight w:val="none"/>
              </w:rPr>
            </w:pPr>
            <w:r>
              <w:rPr>
                <w:rFonts w:hint="eastAsia" w:ascii="宋体" w:hAnsi="宋体" w:cs="宋体"/>
                <w:color w:val="auto"/>
                <w:szCs w:val="21"/>
                <w:highlight w:val="none"/>
              </w:rPr>
              <w:t>业主单位</w:t>
            </w:r>
          </w:p>
          <w:p w14:paraId="34C431A7">
            <w:pP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rPr>
              <w:t>联系人、电话</w:t>
            </w:r>
          </w:p>
        </w:tc>
        <w:tc>
          <w:tcPr>
            <w:tcW w:w="1550" w:type="dxa"/>
            <w:tcBorders>
              <w:top w:val="single" w:color="auto" w:sz="4" w:space="0"/>
              <w:left w:val="single" w:color="auto" w:sz="4" w:space="0"/>
              <w:bottom w:val="single" w:color="auto" w:sz="4" w:space="0"/>
              <w:right w:val="single" w:color="auto" w:sz="4" w:space="0"/>
            </w:tcBorders>
            <w:vAlign w:val="center"/>
          </w:tcPr>
          <w:p w14:paraId="5B5CE29C">
            <w:pPr>
              <w:spacing w:line="276" w:lineRule="auto"/>
              <w:jc w:val="center"/>
              <w:rPr>
                <w:rFonts w:ascii="宋体" w:hAnsi="宋体"/>
                <w:color w:val="auto"/>
                <w:szCs w:val="21"/>
                <w:highlight w:val="none"/>
              </w:rPr>
            </w:pPr>
            <w:r>
              <w:rPr>
                <w:rFonts w:hint="eastAsia" w:ascii="宋体" w:hAnsi="宋体" w:cs="宋体"/>
                <w:color w:val="auto"/>
                <w:szCs w:val="21"/>
                <w:highlight w:val="none"/>
                <w:lang w:val="zh-CN"/>
              </w:rPr>
              <w:t>项目名称</w:t>
            </w:r>
          </w:p>
        </w:tc>
        <w:tc>
          <w:tcPr>
            <w:tcW w:w="1001" w:type="dxa"/>
            <w:tcBorders>
              <w:top w:val="single" w:color="auto" w:sz="4" w:space="0"/>
              <w:left w:val="single" w:color="auto" w:sz="4" w:space="0"/>
              <w:bottom w:val="single" w:color="auto" w:sz="4" w:space="0"/>
              <w:right w:val="single" w:color="auto" w:sz="4" w:space="0"/>
            </w:tcBorders>
            <w:vAlign w:val="center"/>
          </w:tcPr>
          <w:p w14:paraId="19779D79">
            <w:pPr>
              <w:spacing w:line="276" w:lineRule="auto"/>
              <w:jc w:val="center"/>
              <w:rPr>
                <w:rFonts w:ascii="宋体" w:hAnsi="宋体"/>
                <w:color w:val="auto"/>
                <w:szCs w:val="21"/>
                <w:highlight w:val="none"/>
              </w:rPr>
            </w:pPr>
            <w:r>
              <w:rPr>
                <w:rFonts w:hint="eastAsia" w:ascii="宋体" w:hAnsi="宋体"/>
                <w:color w:val="auto"/>
                <w:szCs w:val="21"/>
                <w:highlight w:val="none"/>
              </w:rPr>
              <w:t>项目经理</w:t>
            </w:r>
          </w:p>
        </w:tc>
        <w:tc>
          <w:tcPr>
            <w:tcW w:w="1276" w:type="dxa"/>
            <w:tcBorders>
              <w:top w:val="single" w:color="auto" w:sz="4" w:space="0"/>
              <w:left w:val="single" w:color="auto" w:sz="4" w:space="0"/>
              <w:bottom w:val="single" w:color="auto" w:sz="4" w:space="0"/>
              <w:right w:val="single" w:color="auto" w:sz="4" w:space="0"/>
            </w:tcBorders>
            <w:vAlign w:val="center"/>
          </w:tcPr>
          <w:p w14:paraId="37A238C7">
            <w:pPr>
              <w:spacing w:line="276" w:lineRule="auto"/>
              <w:jc w:val="center"/>
              <w:rPr>
                <w:rFonts w:ascii="宋体" w:hAnsi="宋体"/>
                <w:color w:val="auto"/>
                <w:szCs w:val="21"/>
                <w:highlight w:val="none"/>
              </w:rPr>
            </w:pPr>
            <w:r>
              <w:rPr>
                <w:rFonts w:hint="eastAsia" w:ascii="宋体" w:hAnsi="宋体"/>
                <w:color w:val="auto"/>
                <w:szCs w:val="21"/>
                <w:highlight w:val="none"/>
              </w:rPr>
              <w:t>项目</w:t>
            </w:r>
            <w:r>
              <w:rPr>
                <w:rFonts w:ascii="宋体" w:hAnsi="宋体"/>
                <w:color w:val="auto"/>
                <w:szCs w:val="21"/>
                <w:highlight w:val="none"/>
              </w:rPr>
              <w:t>内容</w:t>
            </w:r>
          </w:p>
        </w:tc>
        <w:tc>
          <w:tcPr>
            <w:tcW w:w="996" w:type="dxa"/>
            <w:tcBorders>
              <w:top w:val="single" w:color="auto" w:sz="4" w:space="0"/>
              <w:left w:val="single" w:color="auto" w:sz="4" w:space="0"/>
              <w:bottom w:val="single" w:color="auto" w:sz="4" w:space="0"/>
              <w:right w:val="single" w:color="auto" w:sz="4" w:space="0"/>
            </w:tcBorders>
            <w:vAlign w:val="center"/>
          </w:tcPr>
          <w:p w14:paraId="3F363905">
            <w:pPr>
              <w:spacing w:line="276" w:lineRule="auto"/>
              <w:jc w:val="center"/>
              <w:rPr>
                <w:rFonts w:ascii="宋体" w:hAnsi="宋体"/>
                <w:color w:val="auto"/>
                <w:szCs w:val="21"/>
                <w:highlight w:val="none"/>
              </w:rPr>
            </w:pPr>
            <w:r>
              <w:rPr>
                <w:rFonts w:hint="eastAsia" w:ascii="宋体" w:hAnsi="宋体"/>
                <w:color w:val="auto"/>
                <w:szCs w:val="21"/>
                <w:highlight w:val="none"/>
              </w:rPr>
              <w:t>合同金额</w:t>
            </w:r>
          </w:p>
        </w:tc>
        <w:tc>
          <w:tcPr>
            <w:tcW w:w="1276" w:type="dxa"/>
            <w:tcBorders>
              <w:top w:val="single" w:color="auto" w:sz="4" w:space="0"/>
              <w:left w:val="single" w:color="auto" w:sz="4" w:space="0"/>
              <w:bottom w:val="single" w:color="auto" w:sz="4" w:space="0"/>
              <w:right w:val="single" w:color="auto" w:sz="4" w:space="0"/>
            </w:tcBorders>
            <w:vAlign w:val="center"/>
          </w:tcPr>
          <w:p w14:paraId="502C2BCC">
            <w:pPr>
              <w:spacing w:line="276" w:lineRule="auto"/>
              <w:jc w:val="center"/>
              <w:rPr>
                <w:rFonts w:ascii="宋体" w:hAnsi="宋体"/>
                <w:color w:val="auto"/>
                <w:szCs w:val="21"/>
                <w:highlight w:val="none"/>
              </w:rPr>
            </w:pPr>
            <w:r>
              <w:rPr>
                <w:rFonts w:hint="eastAsia" w:ascii="宋体" w:hAnsi="宋体"/>
                <w:color w:val="auto"/>
                <w:szCs w:val="21"/>
                <w:highlight w:val="none"/>
              </w:rPr>
              <w:t>合同签订日期</w:t>
            </w:r>
          </w:p>
        </w:tc>
        <w:tc>
          <w:tcPr>
            <w:tcW w:w="838" w:type="dxa"/>
            <w:tcBorders>
              <w:top w:val="single" w:color="auto" w:sz="4" w:space="0"/>
              <w:left w:val="single" w:color="auto" w:sz="4" w:space="0"/>
              <w:bottom w:val="single" w:color="auto" w:sz="4" w:space="0"/>
              <w:right w:val="single" w:color="auto" w:sz="4" w:space="0"/>
            </w:tcBorders>
            <w:vAlign w:val="center"/>
          </w:tcPr>
          <w:p w14:paraId="4FDEB661">
            <w:pPr>
              <w:spacing w:line="276" w:lineRule="auto"/>
              <w:jc w:val="center"/>
              <w:rPr>
                <w:rFonts w:ascii="宋体" w:hAnsi="宋体"/>
                <w:color w:val="auto"/>
                <w:szCs w:val="21"/>
                <w:highlight w:val="none"/>
              </w:rPr>
            </w:pPr>
            <w:r>
              <w:rPr>
                <w:rFonts w:hint="eastAsia" w:ascii="宋体" w:hAnsi="宋体"/>
                <w:color w:val="auto"/>
                <w:szCs w:val="21"/>
                <w:highlight w:val="none"/>
              </w:rPr>
              <w:t>备注</w:t>
            </w:r>
          </w:p>
        </w:tc>
      </w:tr>
      <w:tr w14:paraId="0EEFF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0AAF9401">
            <w:pP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1</w:t>
            </w:r>
          </w:p>
        </w:tc>
        <w:tc>
          <w:tcPr>
            <w:tcW w:w="1138" w:type="dxa"/>
            <w:tcBorders>
              <w:top w:val="single" w:color="auto" w:sz="4" w:space="0"/>
              <w:left w:val="single" w:color="auto" w:sz="4" w:space="0"/>
              <w:bottom w:val="single" w:color="auto" w:sz="4" w:space="0"/>
              <w:right w:val="single" w:color="auto" w:sz="4" w:space="0"/>
            </w:tcBorders>
            <w:vAlign w:val="center"/>
          </w:tcPr>
          <w:p w14:paraId="6B7504FD">
            <w:pPr>
              <w:autoSpaceDE w:val="0"/>
              <w:autoSpaceDN w:val="0"/>
              <w:spacing w:line="276" w:lineRule="auto"/>
              <w:jc w:val="center"/>
              <w:rPr>
                <w:rFonts w:ascii="宋体" w:hAnsi="宋体" w:cs="宋体"/>
                <w:color w:val="auto"/>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E731693">
            <w:pPr>
              <w:autoSpaceDE w:val="0"/>
              <w:autoSpaceDN w:val="0"/>
              <w:spacing w:line="276" w:lineRule="auto"/>
              <w:jc w:val="center"/>
              <w:rPr>
                <w:rFonts w:ascii="宋体" w:hAnsi="宋体" w:cs="宋体"/>
                <w:color w:val="auto"/>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2D9FE368">
            <w:pPr>
              <w:autoSpaceDE w:val="0"/>
              <w:autoSpaceDN w:val="0"/>
              <w:spacing w:line="276" w:lineRule="auto"/>
              <w:jc w:val="center"/>
              <w:rPr>
                <w:rFonts w:ascii="宋体" w:hAnsi="宋体" w:cs="宋体"/>
                <w:color w:val="auto"/>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45E65059">
            <w:pP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289156F3">
            <w:pPr>
              <w:spacing w:line="276" w:lineRule="auto"/>
              <w:jc w:val="center"/>
              <w:rPr>
                <w:rFonts w:ascii="宋体" w:hAnsi="宋体" w:cs="宋体"/>
                <w:color w:val="auto"/>
                <w:kern w:val="0"/>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4A018DEB">
            <w:pP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2D4B5B4">
            <w:pPr>
              <w:spacing w:line="276" w:lineRule="auto"/>
              <w:jc w:val="center"/>
              <w:rPr>
                <w:rFonts w:ascii="宋体" w:hAnsi="宋体" w:cs="宋体"/>
                <w:color w:val="auto"/>
                <w:kern w:val="0"/>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617D2878">
            <w:pPr>
              <w:spacing w:line="276" w:lineRule="auto"/>
              <w:jc w:val="center"/>
              <w:rPr>
                <w:rFonts w:ascii="宋体" w:hAnsi="宋体" w:cs="宋体"/>
                <w:color w:val="auto"/>
                <w:kern w:val="0"/>
                <w:szCs w:val="21"/>
                <w:highlight w:val="none"/>
                <w:lang w:val="zh-CN"/>
              </w:rPr>
            </w:pPr>
          </w:p>
        </w:tc>
      </w:tr>
      <w:tr w14:paraId="63D7A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58DB2F13">
            <w:pPr>
              <w:autoSpaceDE w:val="0"/>
              <w:autoSpaceDN w:val="0"/>
              <w:spacing w:line="276" w:lineRule="auto"/>
              <w:ind w:right="126"/>
              <w:jc w:val="center"/>
              <w:rPr>
                <w:rFonts w:ascii="宋体" w:hAnsi="宋体" w:cs="宋体"/>
                <w:color w:val="auto"/>
                <w:szCs w:val="21"/>
                <w:highlight w:val="none"/>
                <w:lang w:val="zh-CN"/>
              </w:rPr>
            </w:pPr>
            <w:r>
              <w:rPr>
                <w:rFonts w:hint="eastAsia" w:ascii="宋体" w:hAnsi="宋体" w:cs="宋体"/>
                <w:color w:val="auto"/>
                <w:szCs w:val="21"/>
                <w:highlight w:val="none"/>
                <w:lang w:val="zh-CN"/>
              </w:rPr>
              <w:t>2</w:t>
            </w:r>
          </w:p>
        </w:tc>
        <w:tc>
          <w:tcPr>
            <w:tcW w:w="1138" w:type="dxa"/>
            <w:tcBorders>
              <w:top w:val="single" w:color="auto" w:sz="4" w:space="0"/>
              <w:left w:val="single" w:color="auto" w:sz="4" w:space="0"/>
              <w:bottom w:val="single" w:color="auto" w:sz="4" w:space="0"/>
              <w:right w:val="single" w:color="auto" w:sz="4" w:space="0"/>
            </w:tcBorders>
            <w:vAlign w:val="center"/>
          </w:tcPr>
          <w:p w14:paraId="311CC75A">
            <w:pPr>
              <w:autoSpaceDE w:val="0"/>
              <w:autoSpaceDN w:val="0"/>
              <w:spacing w:line="276" w:lineRule="auto"/>
              <w:ind w:right="126"/>
              <w:jc w:val="center"/>
              <w:rPr>
                <w:rFonts w:ascii="宋体" w:hAnsi="宋体" w:cs="宋体"/>
                <w:color w:val="auto"/>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2E39D037">
            <w:pPr>
              <w:autoSpaceDE w:val="0"/>
              <w:autoSpaceDN w:val="0"/>
              <w:spacing w:line="276" w:lineRule="auto"/>
              <w:ind w:right="126"/>
              <w:jc w:val="center"/>
              <w:rPr>
                <w:rFonts w:ascii="宋体" w:hAnsi="宋体" w:cs="宋体"/>
                <w:color w:val="auto"/>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1979E81B">
            <w:pPr>
              <w:autoSpaceDE w:val="0"/>
              <w:autoSpaceDN w:val="0"/>
              <w:spacing w:line="276" w:lineRule="auto"/>
              <w:jc w:val="center"/>
              <w:rPr>
                <w:rFonts w:ascii="宋体" w:hAnsi="宋体" w:cs="宋体"/>
                <w:color w:val="auto"/>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720F71CF">
            <w:pP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7DC4881">
            <w:pPr>
              <w:spacing w:line="276" w:lineRule="auto"/>
              <w:jc w:val="center"/>
              <w:rPr>
                <w:rFonts w:ascii="宋体" w:hAnsi="宋体" w:cs="宋体"/>
                <w:color w:val="auto"/>
                <w:kern w:val="0"/>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432E1C55">
            <w:pP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1CE08F69">
            <w:pPr>
              <w:spacing w:line="276" w:lineRule="auto"/>
              <w:jc w:val="center"/>
              <w:rPr>
                <w:rFonts w:ascii="宋体" w:hAnsi="宋体" w:cs="宋体"/>
                <w:color w:val="auto"/>
                <w:kern w:val="0"/>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52B8AA7F">
            <w:pPr>
              <w:spacing w:line="276" w:lineRule="auto"/>
              <w:jc w:val="center"/>
              <w:rPr>
                <w:rFonts w:ascii="宋体" w:hAnsi="宋体" w:cs="宋体"/>
                <w:color w:val="auto"/>
                <w:kern w:val="0"/>
                <w:szCs w:val="21"/>
                <w:highlight w:val="none"/>
                <w:lang w:val="zh-CN"/>
              </w:rPr>
            </w:pPr>
          </w:p>
        </w:tc>
      </w:tr>
      <w:tr w14:paraId="074B9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14CE0170">
            <w:pP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3</w:t>
            </w:r>
          </w:p>
        </w:tc>
        <w:tc>
          <w:tcPr>
            <w:tcW w:w="1138" w:type="dxa"/>
            <w:tcBorders>
              <w:top w:val="single" w:color="auto" w:sz="4" w:space="0"/>
              <w:left w:val="single" w:color="auto" w:sz="4" w:space="0"/>
              <w:bottom w:val="single" w:color="auto" w:sz="4" w:space="0"/>
              <w:right w:val="single" w:color="auto" w:sz="4" w:space="0"/>
            </w:tcBorders>
            <w:vAlign w:val="center"/>
          </w:tcPr>
          <w:p w14:paraId="3E9F83BF">
            <w:pPr>
              <w:autoSpaceDE w:val="0"/>
              <w:autoSpaceDN w:val="0"/>
              <w:spacing w:line="276" w:lineRule="auto"/>
              <w:jc w:val="center"/>
              <w:rPr>
                <w:rFonts w:ascii="宋体" w:hAnsi="宋体" w:cs="宋体"/>
                <w:color w:val="auto"/>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1201D484">
            <w:pPr>
              <w:autoSpaceDE w:val="0"/>
              <w:autoSpaceDN w:val="0"/>
              <w:spacing w:line="276" w:lineRule="auto"/>
              <w:jc w:val="center"/>
              <w:rPr>
                <w:rFonts w:ascii="宋体" w:hAnsi="宋体" w:cs="宋体"/>
                <w:color w:val="auto"/>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54A98BB2">
            <w:pPr>
              <w:autoSpaceDE w:val="0"/>
              <w:autoSpaceDN w:val="0"/>
              <w:spacing w:line="276" w:lineRule="auto"/>
              <w:jc w:val="center"/>
              <w:rPr>
                <w:rFonts w:ascii="宋体" w:hAnsi="宋体" w:cs="宋体"/>
                <w:color w:val="auto"/>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16886E61">
            <w:pP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B94D119">
            <w:pPr>
              <w:spacing w:line="276" w:lineRule="auto"/>
              <w:jc w:val="center"/>
              <w:rPr>
                <w:rFonts w:ascii="宋体" w:hAnsi="宋体" w:cs="宋体"/>
                <w:color w:val="auto"/>
                <w:kern w:val="0"/>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70AA2CD7">
            <w:pP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7020EBD">
            <w:pPr>
              <w:spacing w:line="276" w:lineRule="auto"/>
              <w:jc w:val="center"/>
              <w:rPr>
                <w:rFonts w:ascii="宋体" w:hAnsi="宋体" w:cs="宋体"/>
                <w:color w:val="auto"/>
                <w:kern w:val="0"/>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36872CCC">
            <w:pPr>
              <w:spacing w:line="276" w:lineRule="auto"/>
              <w:jc w:val="center"/>
              <w:rPr>
                <w:rFonts w:ascii="宋体" w:hAnsi="宋体" w:cs="宋体"/>
                <w:color w:val="auto"/>
                <w:kern w:val="0"/>
                <w:szCs w:val="21"/>
                <w:highlight w:val="none"/>
                <w:lang w:val="zh-CN"/>
              </w:rPr>
            </w:pPr>
          </w:p>
        </w:tc>
      </w:tr>
      <w:tr w14:paraId="3ABCC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8"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0D385E7D">
            <w:pP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w:t>
            </w:r>
          </w:p>
        </w:tc>
        <w:tc>
          <w:tcPr>
            <w:tcW w:w="1138" w:type="dxa"/>
            <w:tcBorders>
              <w:top w:val="single" w:color="auto" w:sz="4" w:space="0"/>
              <w:left w:val="single" w:color="auto" w:sz="4" w:space="0"/>
              <w:bottom w:val="single" w:color="auto" w:sz="4" w:space="0"/>
              <w:right w:val="single" w:color="auto" w:sz="4" w:space="0"/>
            </w:tcBorders>
            <w:vAlign w:val="center"/>
          </w:tcPr>
          <w:p w14:paraId="0D1906B8">
            <w:pPr>
              <w:autoSpaceDE w:val="0"/>
              <w:autoSpaceDN w:val="0"/>
              <w:spacing w:line="276" w:lineRule="auto"/>
              <w:jc w:val="center"/>
              <w:rPr>
                <w:rFonts w:ascii="宋体" w:hAnsi="宋体" w:cs="宋体"/>
                <w:color w:val="auto"/>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A5727ED">
            <w:pPr>
              <w:autoSpaceDE w:val="0"/>
              <w:autoSpaceDN w:val="0"/>
              <w:spacing w:line="276" w:lineRule="auto"/>
              <w:jc w:val="center"/>
              <w:rPr>
                <w:rFonts w:ascii="宋体" w:hAnsi="宋体" w:cs="宋体"/>
                <w:color w:val="auto"/>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6E513CE5">
            <w:pPr>
              <w:autoSpaceDE w:val="0"/>
              <w:autoSpaceDN w:val="0"/>
              <w:spacing w:line="276" w:lineRule="auto"/>
              <w:jc w:val="center"/>
              <w:rPr>
                <w:rFonts w:ascii="宋体" w:hAnsi="宋体" w:cs="宋体"/>
                <w:color w:val="auto"/>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1FBAEB5B">
            <w:pP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27ED2016">
            <w:pPr>
              <w:spacing w:line="276" w:lineRule="auto"/>
              <w:jc w:val="center"/>
              <w:rPr>
                <w:rFonts w:ascii="宋体" w:hAnsi="宋体" w:cs="宋体"/>
                <w:color w:val="auto"/>
                <w:kern w:val="0"/>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694D8F9C">
            <w:pP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02B12F76">
            <w:pPr>
              <w:spacing w:line="276" w:lineRule="auto"/>
              <w:jc w:val="center"/>
              <w:rPr>
                <w:rFonts w:ascii="宋体" w:hAnsi="宋体" w:cs="宋体"/>
                <w:color w:val="auto"/>
                <w:kern w:val="0"/>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5D3347CE">
            <w:pPr>
              <w:spacing w:line="276" w:lineRule="auto"/>
              <w:jc w:val="center"/>
              <w:rPr>
                <w:rFonts w:ascii="宋体" w:hAnsi="宋体" w:cs="宋体"/>
                <w:color w:val="auto"/>
                <w:kern w:val="0"/>
                <w:szCs w:val="21"/>
                <w:highlight w:val="none"/>
                <w:lang w:val="zh-CN"/>
              </w:rPr>
            </w:pPr>
          </w:p>
        </w:tc>
      </w:tr>
    </w:tbl>
    <w:p w14:paraId="0E192547">
      <w:pPr>
        <w:spacing w:line="276" w:lineRule="auto"/>
        <w:ind w:left="955" w:hanging="955" w:hangingChars="455"/>
        <w:jc w:val="left"/>
        <w:rPr>
          <w:rFonts w:ascii="宋体" w:hAnsi="宋体"/>
          <w:color w:val="auto"/>
          <w:szCs w:val="21"/>
          <w:highlight w:val="none"/>
        </w:rPr>
      </w:pPr>
    </w:p>
    <w:p w14:paraId="0E515611">
      <w:pPr>
        <w:spacing w:line="276" w:lineRule="auto"/>
        <w:ind w:left="955" w:hanging="955" w:hangingChars="455"/>
        <w:jc w:val="left"/>
        <w:rPr>
          <w:rFonts w:ascii="宋体" w:hAnsi="宋体"/>
          <w:color w:val="auto"/>
          <w:szCs w:val="21"/>
          <w:highlight w:val="none"/>
        </w:rPr>
      </w:pPr>
      <w:r>
        <w:rPr>
          <w:rFonts w:hint="eastAsia" w:ascii="宋体" w:hAnsi="宋体"/>
          <w:color w:val="auto"/>
          <w:szCs w:val="21"/>
          <w:highlight w:val="none"/>
        </w:rPr>
        <w:t>说明：1．每个项目应单独附相关证明材料（如中标通知书或合同首页、合同金额所在页、合同签字盖章页扫描件</w:t>
      </w:r>
      <w:r>
        <w:rPr>
          <w:rFonts w:ascii="宋体" w:hAnsi="宋体"/>
          <w:color w:val="auto"/>
          <w:szCs w:val="21"/>
          <w:highlight w:val="none"/>
        </w:rPr>
        <w:t>）</w:t>
      </w:r>
      <w:r>
        <w:rPr>
          <w:rFonts w:hint="eastAsia" w:ascii="宋体" w:hAnsi="宋体"/>
          <w:color w:val="auto"/>
          <w:szCs w:val="21"/>
          <w:highlight w:val="none"/>
        </w:rPr>
        <w:t>，</w:t>
      </w:r>
      <w:r>
        <w:rPr>
          <w:rFonts w:hint="eastAsia" w:ascii="宋体" w:hAnsi="宋体" w:cs="Corbel"/>
          <w:color w:val="auto"/>
          <w:szCs w:val="21"/>
          <w:highlight w:val="none"/>
        </w:rPr>
        <w:t>未按照要求提供</w:t>
      </w:r>
      <w:r>
        <w:rPr>
          <w:rFonts w:hint="eastAsia" w:ascii="宋体" w:hAnsi="宋体"/>
          <w:color w:val="auto"/>
          <w:szCs w:val="21"/>
          <w:highlight w:val="none"/>
        </w:rPr>
        <w:t>导致的后果由投标人自行承担。</w:t>
      </w:r>
    </w:p>
    <w:p w14:paraId="242E249F">
      <w:pP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2．项目内容应详细说明所承担的具体工作内容等。</w:t>
      </w:r>
    </w:p>
    <w:p w14:paraId="5144E0DA">
      <w:pP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3.</w:t>
      </w:r>
      <w:r>
        <w:rPr>
          <w:rFonts w:hint="eastAsia" w:ascii="宋体" w:hAnsi="宋体"/>
          <w:b/>
          <w:color w:val="auto"/>
          <w:szCs w:val="21"/>
          <w:highlight w:val="none"/>
        </w:rPr>
        <w:t>如采购</w:t>
      </w:r>
      <w:r>
        <w:rPr>
          <w:rFonts w:ascii="宋体" w:hAnsi="宋体"/>
          <w:b/>
          <w:color w:val="auto"/>
          <w:szCs w:val="21"/>
          <w:highlight w:val="none"/>
        </w:rPr>
        <w:t>需求或评审条款</w:t>
      </w:r>
      <w:r>
        <w:rPr>
          <w:rFonts w:hint="eastAsia" w:ascii="宋体" w:hAnsi="宋体"/>
          <w:b/>
          <w:color w:val="auto"/>
          <w:szCs w:val="21"/>
          <w:highlight w:val="none"/>
        </w:rPr>
        <w:t>要求</w:t>
      </w:r>
      <w:r>
        <w:rPr>
          <w:rFonts w:ascii="宋体" w:hAnsi="宋体"/>
          <w:b/>
          <w:color w:val="auto"/>
          <w:szCs w:val="21"/>
          <w:highlight w:val="none"/>
        </w:rPr>
        <w:t>提供</w:t>
      </w:r>
      <w:r>
        <w:rPr>
          <w:rFonts w:hint="eastAsia" w:ascii="宋体" w:hAnsi="宋体"/>
          <w:b/>
          <w:color w:val="auto"/>
          <w:szCs w:val="21"/>
          <w:highlight w:val="none"/>
        </w:rPr>
        <w:t>用户</w:t>
      </w:r>
      <w:r>
        <w:rPr>
          <w:rFonts w:ascii="宋体" w:hAnsi="宋体"/>
          <w:b/>
          <w:color w:val="auto"/>
          <w:szCs w:val="21"/>
          <w:highlight w:val="none"/>
        </w:rPr>
        <w:t>评价，请依照此表格式自制《</w:t>
      </w:r>
      <w:r>
        <w:rPr>
          <w:rFonts w:hint="eastAsia" w:ascii="宋体" w:hAnsi="宋体"/>
          <w:b/>
          <w:color w:val="auto"/>
          <w:szCs w:val="21"/>
          <w:highlight w:val="none"/>
        </w:rPr>
        <w:t>类似项目业绩</w:t>
      </w:r>
      <w:r>
        <w:rPr>
          <w:rFonts w:ascii="宋体" w:hAnsi="宋体"/>
          <w:b/>
          <w:color w:val="auto"/>
          <w:szCs w:val="21"/>
          <w:highlight w:val="none"/>
        </w:rPr>
        <w:t>用户评价表》</w:t>
      </w:r>
      <w:r>
        <w:rPr>
          <w:rFonts w:hint="eastAsia" w:ascii="宋体" w:hAnsi="宋体"/>
          <w:b/>
          <w:color w:val="auto"/>
          <w:szCs w:val="21"/>
          <w:highlight w:val="none"/>
        </w:rPr>
        <w:t>，</w:t>
      </w:r>
      <w:r>
        <w:rPr>
          <w:rFonts w:ascii="宋体" w:hAnsi="宋体"/>
          <w:b/>
          <w:color w:val="auto"/>
          <w:szCs w:val="21"/>
          <w:highlight w:val="none"/>
        </w:rPr>
        <w:t>并</w:t>
      </w:r>
      <w:r>
        <w:rPr>
          <w:rFonts w:hint="eastAsia" w:ascii="宋体" w:hAnsi="宋体"/>
          <w:b/>
          <w:color w:val="auto"/>
          <w:szCs w:val="21"/>
          <w:highlight w:val="none"/>
        </w:rPr>
        <w:t>按</w:t>
      </w:r>
      <w:r>
        <w:rPr>
          <w:rFonts w:ascii="宋体" w:hAnsi="宋体"/>
          <w:b/>
          <w:color w:val="auto"/>
          <w:szCs w:val="21"/>
          <w:highlight w:val="none"/>
        </w:rPr>
        <w:t>项目逐一</w:t>
      </w:r>
      <w:r>
        <w:rPr>
          <w:rFonts w:hint="eastAsia" w:ascii="宋体" w:hAnsi="宋体"/>
          <w:b/>
          <w:color w:val="auto"/>
          <w:szCs w:val="21"/>
          <w:highlight w:val="none"/>
        </w:rPr>
        <w:t>附业主</w:t>
      </w:r>
      <w:r>
        <w:rPr>
          <w:rFonts w:ascii="宋体" w:hAnsi="宋体"/>
          <w:b/>
          <w:color w:val="auto"/>
          <w:szCs w:val="21"/>
          <w:highlight w:val="none"/>
        </w:rPr>
        <w:t>评价材料</w:t>
      </w:r>
      <w:r>
        <w:rPr>
          <w:rFonts w:hint="eastAsia" w:ascii="宋体" w:hAnsi="宋体"/>
          <w:b/>
          <w:color w:val="auto"/>
          <w:szCs w:val="21"/>
          <w:highlight w:val="none"/>
        </w:rPr>
        <w:t>（需业主</w:t>
      </w:r>
      <w:r>
        <w:rPr>
          <w:rFonts w:ascii="宋体" w:hAnsi="宋体"/>
          <w:b/>
          <w:color w:val="auto"/>
          <w:szCs w:val="21"/>
          <w:highlight w:val="none"/>
        </w:rPr>
        <w:t>单位盖章）扫描件</w:t>
      </w:r>
      <w:r>
        <w:rPr>
          <w:rFonts w:ascii="宋体" w:hAnsi="宋体"/>
          <w:color w:val="auto"/>
          <w:szCs w:val="21"/>
          <w:highlight w:val="none"/>
        </w:rPr>
        <w:t>。</w:t>
      </w:r>
    </w:p>
    <w:p w14:paraId="464C276E">
      <w:pPr>
        <w:spacing w:line="276" w:lineRule="auto"/>
        <w:ind w:firstLine="630" w:firstLineChars="300"/>
        <w:rPr>
          <w:rFonts w:ascii="宋体" w:hAnsi="宋体"/>
          <w:color w:val="auto"/>
          <w:szCs w:val="21"/>
          <w:highlight w:val="none"/>
        </w:rPr>
      </w:pPr>
    </w:p>
    <w:p w14:paraId="4C9DE3E5">
      <w:pPr>
        <w:spacing w:line="276" w:lineRule="auto"/>
        <w:ind w:firstLine="630" w:firstLineChars="300"/>
        <w:rPr>
          <w:rFonts w:ascii="宋体" w:hAnsi="宋体"/>
          <w:color w:val="auto"/>
          <w:szCs w:val="21"/>
          <w:highlight w:val="none"/>
        </w:rPr>
      </w:pPr>
    </w:p>
    <w:p w14:paraId="3225709A">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723F7D59">
      <w:pPr>
        <w:spacing w:before="100" w:beforeAutospacing="1" w:after="100" w:afterAutospacing="1" w:line="276" w:lineRule="auto"/>
        <w:ind w:firstLine="2902" w:firstLineChars="1382"/>
        <w:rPr>
          <w:rFonts w:ascii="宋体" w:hAnsi="宋体"/>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27764777">
      <w:pPr>
        <w:pStyle w:val="30"/>
        <w:numPr>
          <w:ilvl w:val="0"/>
          <w:numId w:val="58"/>
        </w:numPr>
        <w:spacing w:line="276" w:lineRule="auto"/>
        <w:ind w:firstLineChars="0"/>
        <w:outlineLvl w:val="2"/>
        <w:rPr>
          <w:color w:val="auto"/>
          <w:szCs w:val="21"/>
          <w:highlight w:val="none"/>
        </w:rPr>
      </w:pPr>
      <w:r>
        <w:rPr>
          <w:rFonts w:hint="eastAsia" w:ascii="宋体" w:hAnsi="宋体"/>
          <w:color w:val="auto"/>
          <w:kern w:val="0"/>
          <w:szCs w:val="21"/>
          <w:highlight w:val="none"/>
        </w:rPr>
        <w:br w:type="page"/>
      </w:r>
      <w:r>
        <w:rPr>
          <w:rFonts w:hint="eastAsia"/>
          <w:color w:val="auto"/>
          <w:szCs w:val="21"/>
          <w:highlight w:val="none"/>
        </w:rPr>
        <w:t>技术、服务及商务文件</w:t>
      </w:r>
    </w:p>
    <w:p w14:paraId="2FDA3315">
      <w:pPr>
        <w:autoSpaceDE w:val="0"/>
        <w:autoSpaceDN w:val="0"/>
        <w:adjustRightInd w:val="0"/>
        <w:spacing w:before="156" w:beforeLines="50" w:after="156" w:afterLines="50" w:line="276" w:lineRule="auto"/>
        <w:jc w:val="center"/>
        <w:rPr>
          <w:rFonts w:ascii="宋体" w:hAnsi="宋体"/>
          <w:b/>
          <w:color w:val="auto"/>
          <w:kern w:val="0"/>
          <w:szCs w:val="21"/>
          <w:highlight w:val="none"/>
        </w:rPr>
      </w:pPr>
      <w:r>
        <w:rPr>
          <w:rFonts w:hint="eastAsia"/>
          <w:b/>
          <w:color w:val="auto"/>
          <w:szCs w:val="21"/>
          <w:highlight w:val="none"/>
        </w:rPr>
        <w:t>技术、服务及商务文件</w:t>
      </w:r>
    </w:p>
    <w:p w14:paraId="19813672">
      <w:pPr>
        <w:autoSpaceDE w:val="0"/>
        <w:autoSpaceDN w:val="0"/>
        <w:adjustRightInd w:val="0"/>
        <w:rPr>
          <w:rFonts w:ascii="宋体" w:hAnsi="宋体"/>
          <w:color w:val="auto"/>
          <w:kern w:val="0"/>
          <w:szCs w:val="21"/>
          <w:highlight w:val="none"/>
        </w:rPr>
      </w:pPr>
    </w:p>
    <w:p w14:paraId="106F7C14">
      <w:pPr>
        <w:autoSpaceDE w:val="0"/>
        <w:autoSpaceDN w:val="0"/>
        <w:adjustRightInd w:val="0"/>
        <w:rPr>
          <w:rFonts w:ascii="宋体" w:hAnsi="宋体"/>
          <w:bCs/>
          <w:color w:val="auto"/>
          <w:kern w:val="0"/>
          <w:szCs w:val="21"/>
          <w:highlight w:val="none"/>
        </w:rPr>
      </w:pPr>
      <w:r>
        <w:rPr>
          <w:rFonts w:hint="eastAsia" w:ascii="宋体" w:hAnsi="宋体"/>
          <w:bCs/>
          <w:color w:val="auto"/>
          <w:kern w:val="0"/>
          <w:szCs w:val="21"/>
          <w:highlight w:val="none"/>
        </w:rPr>
        <w:t>（一）由投标人根据第三章 技术、服务及商务要求自行编写，格式</w:t>
      </w:r>
      <w:r>
        <w:rPr>
          <w:rFonts w:ascii="宋体" w:hAnsi="宋体"/>
          <w:bCs/>
          <w:color w:val="auto"/>
          <w:kern w:val="0"/>
          <w:szCs w:val="21"/>
          <w:highlight w:val="none"/>
        </w:rPr>
        <w:t>自拟</w:t>
      </w:r>
    </w:p>
    <w:p w14:paraId="402B6781">
      <w:pPr>
        <w:autoSpaceDE w:val="0"/>
        <w:autoSpaceDN w:val="0"/>
        <w:adjustRightInd w:val="0"/>
        <w:ind w:firstLine="420" w:firstLineChars="200"/>
        <w:rPr>
          <w:rFonts w:ascii="宋体" w:hAnsi="宋体"/>
          <w:bCs/>
          <w:color w:val="auto"/>
          <w:kern w:val="0"/>
          <w:szCs w:val="21"/>
          <w:highlight w:val="none"/>
        </w:rPr>
      </w:pPr>
    </w:p>
    <w:p w14:paraId="43F2049C">
      <w:pPr>
        <w:autoSpaceDE w:val="0"/>
        <w:autoSpaceDN w:val="0"/>
        <w:adjustRightInd w:val="0"/>
        <w:rPr>
          <w:rFonts w:ascii="宋体" w:hAnsi="宋体"/>
          <w:bCs/>
          <w:color w:val="auto"/>
          <w:kern w:val="0"/>
          <w:szCs w:val="21"/>
          <w:highlight w:val="none"/>
        </w:rPr>
      </w:pPr>
      <w:r>
        <w:rPr>
          <w:rFonts w:hint="eastAsia" w:ascii="宋体" w:hAnsi="宋体"/>
          <w:bCs/>
          <w:color w:val="auto"/>
          <w:kern w:val="0"/>
          <w:szCs w:val="21"/>
          <w:highlight w:val="none"/>
        </w:rPr>
        <w:t>（二</w:t>
      </w:r>
      <w:r>
        <w:rPr>
          <w:rFonts w:ascii="宋体" w:hAnsi="宋体"/>
          <w:bCs/>
          <w:color w:val="auto"/>
          <w:kern w:val="0"/>
          <w:szCs w:val="21"/>
          <w:highlight w:val="none"/>
        </w:rPr>
        <w:t>）</w:t>
      </w:r>
      <w:r>
        <w:rPr>
          <w:rFonts w:hint="eastAsia" w:ascii="宋体" w:hAnsi="宋体"/>
          <w:bCs/>
          <w:color w:val="auto"/>
          <w:kern w:val="0"/>
          <w:szCs w:val="21"/>
          <w:highlight w:val="none"/>
        </w:rPr>
        <w:t>招标文件要求或投标人认为需提供的其他材料或情况说明（如有</w:t>
      </w:r>
      <w:r>
        <w:rPr>
          <w:rFonts w:ascii="宋体" w:hAnsi="宋体"/>
          <w:bCs/>
          <w:color w:val="auto"/>
          <w:kern w:val="0"/>
          <w:szCs w:val="21"/>
          <w:highlight w:val="none"/>
        </w:rPr>
        <w:t>）</w:t>
      </w:r>
    </w:p>
    <w:p w14:paraId="17B49936">
      <w:pPr>
        <w:widowControl/>
        <w:jc w:val="left"/>
        <w:rPr>
          <w:rFonts w:ascii="宋体" w:hAnsi="宋体"/>
          <w:bCs/>
          <w:color w:val="auto"/>
          <w:szCs w:val="21"/>
          <w:highlight w:val="none"/>
        </w:rPr>
      </w:pPr>
    </w:p>
    <w:sectPr>
      <w:footerReference r:id="rId5" w:type="default"/>
      <w:type w:val="continuous"/>
      <w:pgSz w:w="11906" w:h="16838"/>
      <w:pgMar w:top="1134" w:right="1191" w:bottom="1134" w:left="1191" w:header="851" w:footer="624" w:gutter="0"/>
      <w:pgNumType w:fmt="numberInDash"/>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仿宋体">
    <w:altName w:val="仿宋"/>
    <w:panose1 w:val="00000000000000000000"/>
    <w:charset w:val="86"/>
    <w:family w:val="auto"/>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Noto Sans Mono CJK JP Regular">
    <w:altName w:val="Arial"/>
    <w:panose1 w:val="00000000000000000000"/>
    <w:charset w:val="00"/>
    <w:family w:val="swiss"/>
    <w:pitch w:val="default"/>
    <w:sig w:usb0="00000000"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Helvetica">
    <w:panose1 w:val="020B0504020202030204"/>
    <w:charset w:val="00"/>
    <w:family w:val="swiss"/>
    <w:pitch w:val="default"/>
    <w:sig w:usb0="00000007" w:usb1="00000000" w:usb2="00000000" w:usb3="00000000" w:csb0="00000093" w:csb1="00000000"/>
  </w:font>
  <w:font w:name="Segoe UI Symbol">
    <w:panose1 w:val="020B0502040204020203"/>
    <w:charset w:val="00"/>
    <w:family w:val="swiss"/>
    <w:pitch w:val="default"/>
    <w:sig w:usb0="8000006F" w:usb1="1200FBEF" w:usb2="0064C000" w:usb3="00000002" w:csb0="00000001" w:csb1="4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Corbel">
    <w:panose1 w:val="020B0503020204020204"/>
    <w:charset w:val="00"/>
    <w:family w:val="swiss"/>
    <w:pitch w:val="default"/>
    <w:sig w:usb0="A00002EF" w:usb1="4000A44B" w:usb2="00000000" w:usb3="00000000" w:csb0="2000019F" w:csb1="00000000"/>
  </w:font>
  <w:font w:name="微软雅黑">
    <w:panose1 w:val="020B0503020204020204"/>
    <w:charset w:val="86"/>
    <w:family w:val="auto"/>
    <w:pitch w:val="default"/>
    <w:sig w:usb0="80000287" w:usb1="280F3C52" w:usb2="00000016" w:usb3="00000000" w:csb0="0004001F" w:csb1="00000000"/>
  </w:font>
  <w:font w:name="Wingdings">
    <w:panose1 w:val="05000000000000000000"/>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752F0">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FD13CE">
                          <w:pPr>
                            <w:pStyle w:val="1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BFD13CE">
                    <w:pPr>
                      <w:pStyle w:val="13"/>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F4DD1">
    <w:pPr>
      <w:pStyle w:val="1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5B417F">
                          <w:pPr>
                            <w:pStyle w:val="13"/>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65B417F">
                    <w:pPr>
                      <w:pStyle w:val="13"/>
                    </w:pPr>
                    <w:r>
                      <w:fldChar w:fldCharType="begin"/>
                    </w:r>
                    <w:r>
                      <w:instrText xml:space="preserve"> PAGE  \* MERGEFORMAT </w:instrText>
                    </w:r>
                    <w:r>
                      <w:fldChar w:fldCharType="separate"/>
                    </w:r>
                    <w:r>
                      <w:t>38</w:t>
                    </w:r>
                    <w:r>
                      <w:fldChar w:fldCharType="end"/>
                    </w:r>
                  </w:p>
                </w:txbxContent>
              </v:textbox>
            </v:shape>
          </w:pict>
        </mc:Fallback>
      </mc:AlternateContent>
    </w:r>
  </w:p>
  <w:p w14:paraId="33A06864">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692BE">
    <w:pPr>
      <w:ind w:left="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2993E2"/>
    <w:multiLevelType w:val="singleLevel"/>
    <w:tmpl w:val="C32993E2"/>
    <w:lvl w:ilvl="0" w:tentative="0">
      <w:start w:val="1"/>
      <w:numFmt w:val="decimal"/>
      <w:suff w:val="nothing"/>
      <w:lvlText w:val="（%1）"/>
      <w:lvlJc w:val="left"/>
    </w:lvl>
  </w:abstractNum>
  <w:abstractNum w:abstractNumId="1">
    <w:nsid w:val="0000000B"/>
    <w:multiLevelType w:val="multilevel"/>
    <w:tmpl w:val="0000000B"/>
    <w:lvl w:ilvl="0" w:tentative="0">
      <w:start w:val="10"/>
      <w:numFmt w:val="japaneseCounting"/>
      <w:lvlText w:val="第%1条"/>
      <w:lvlJc w:val="left"/>
      <w:pPr>
        <w:tabs>
          <w:tab w:val="left" w:pos="720"/>
        </w:tabs>
        <w:ind w:left="720" w:hanging="7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0317788"/>
    <w:multiLevelType w:val="multilevel"/>
    <w:tmpl w:val="00317788"/>
    <w:lvl w:ilvl="0" w:tentative="0">
      <w:start w:val="1"/>
      <w:numFmt w:val="decimal"/>
      <w:lvlText w:val="2.%1"/>
      <w:lvlJc w:val="left"/>
      <w:pPr>
        <w:ind w:left="3681" w:hanging="420"/>
      </w:pPr>
      <w:rPr>
        <w:rFonts w:hint="eastAsia"/>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3">
    <w:nsid w:val="0068509E"/>
    <w:multiLevelType w:val="multilevel"/>
    <w:tmpl w:val="0068509E"/>
    <w:lvl w:ilvl="0" w:tentative="0">
      <w:start w:val="1"/>
      <w:numFmt w:val="decimal"/>
      <w:lvlText w:val="34.%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3226416"/>
    <w:multiLevelType w:val="multilevel"/>
    <w:tmpl w:val="03226416"/>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52D2EA3"/>
    <w:multiLevelType w:val="multilevel"/>
    <w:tmpl w:val="052D2EA3"/>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6">
    <w:nsid w:val="080979C2"/>
    <w:multiLevelType w:val="multilevel"/>
    <w:tmpl w:val="080979C2"/>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7">
    <w:nsid w:val="08112400"/>
    <w:multiLevelType w:val="multilevel"/>
    <w:tmpl w:val="08112400"/>
    <w:lvl w:ilvl="0" w:tentative="0">
      <w:start w:val="1"/>
      <w:numFmt w:val="decimal"/>
      <w:lvlText w:val="8.%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8">
    <w:nsid w:val="092D2B91"/>
    <w:multiLevelType w:val="multilevel"/>
    <w:tmpl w:val="092D2B91"/>
    <w:lvl w:ilvl="0" w:tentative="0">
      <w:start w:val="1"/>
      <w:numFmt w:val="decimal"/>
      <w:lvlText w:val="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5B0181"/>
    <w:multiLevelType w:val="multilevel"/>
    <w:tmpl w:val="0A5B0181"/>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10">
    <w:nsid w:val="0CEC658C"/>
    <w:multiLevelType w:val="multilevel"/>
    <w:tmpl w:val="0CEC658C"/>
    <w:lvl w:ilvl="0" w:tentative="0">
      <w:start w:val="1"/>
      <w:numFmt w:val="decimal"/>
      <w:lvlText w:val="%1）"/>
      <w:lvlJc w:val="left"/>
      <w:pPr>
        <w:ind w:left="420" w:hanging="420"/>
      </w:pPr>
      <w:rPr>
        <w:rFonts w:hint="eastAsia" w:ascii="宋体" w:hAnsi="宋体" w:eastAsia="宋体"/>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EB600DC"/>
    <w:multiLevelType w:val="multilevel"/>
    <w:tmpl w:val="0EB600DC"/>
    <w:lvl w:ilvl="0" w:tentative="0">
      <w:start w:val="1"/>
      <w:numFmt w:val="decimal"/>
      <w:lvlText w:val="26.%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F196355"/>
    <w:multiLevelType w:val="multilevel"/>
    <w:tmpl w:val="0F196355"/>
    <w:lvl w:ilvl="0" w:tentative="0">
      <w:start w:val="1"/>
      <w:numFmt w:val="decimal"/>
      <w:lvlText w:val="15.%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FB13F38"/>
    <w:multiLevelType w:val="multilevel"/>
    <w:tmpl w:val="0FB13F38"/>
    <w:lvl w:ilvl="0" w:tentative="0">
      <w:start w:val="1"/>
      <w:numFmt w:val="decimal"/>
      <w:lvlText w:val="%1）"/>
      <w:lvlJc w:val="left"/>
      <w:pPr>
        <w:ind w:left="420" w:hanging="420"/>
      </w:pPr>
      <w:rPr>
        <w:rFonts w:hint="eastAsia"/>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2F3169F"/>
    <w:multiLevelType w:val="multilevel"/>
    <w:tmpl w:val="12F3169F"/>
    <w:lvl w:ilvl="0" w:tentative="0">
      <w:start w:val="1"/>
      <w:numFmt w:val="decimal"/>
      <w:lvlText w:val="18.%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5F76080"/>
    <w:multiLevelType w:val="multilevel"/>
    <w:tmpl w:val="15F76080"/>
    <w:lvl w:ilvl="0" w:tentative="0">
      <w:start w:val="1"/>
      <w:numFmt w:val="decimal"/>
      <w:lvlText w:val="3.%1"/>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16">
    <w:nsid w:val="16962145"/>
    <w:multiLevelType w:val="multilevel"/>
    <w:tmpl w:val="16962145"/>
    <w:lvl w:ilvl="0" w:tentative="0">
      <w:start w:val="1"/>
      <w:numFmt w:val="decimal"/>
      <w:lvlText w:val="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5015415"/>
    <w:multiLevelType w:val="multilevel"/>
    <w:tmpl w:val="25015415"/>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abstractNum w:abstractNumId="18">
    <w:nsid w:val="251B2B6C"/>
    <w:multiLevelType w:val="multilevel"/>
    <w:tmpl w:val="251B2B6C"/>
    <w:lvl w:ilvl="0" w:tentative="0">
      <w:start w:val="1"/>
      <w:numFmt w:val="chineseCountingThousand"/>
      <w:lvlText w:val="（%1） "/>
      <w:lvlJc w:val="left"/>
      <w:pPr>
        <w:ind w:left="902" w:hanging="420"/>
      </w:pPr>
      <w:rPr>
        <w:b/>
        <w:strike w:val="0"/>
        <w:dstrike w:val="0"/>
        <w:u w:val="none"/>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9">
    <w:nsid w:val="25684573"/>
    <w:multiLevelType w:val="multilevel"/>
    <w:tmpl w:val="25684573"/>
    <w:lvl w:ilvl="0" w:tentative="0">
      <w:start w:val="1"/>
      <w:numFmt w:val="decimal"/>
      <w:lvlText w:val="%1）"/>
      <w:lvlJc w:val="left"/>
      <w:pPr>
        <w:ind w:left="420" w:hanging="420"/>
      </w:pPr>
      <w:rPr>
        <w:rFonts w:hint="eastAsia" w:ascii="宋体" w:hAnsi="宋体" w:eastAsia="宋体"/>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279A794F"/>
    <w:multiLevelType w:val="multilevel"/>
    <w:tmpl w:val="279A794F"/>
    <w:lvl w:ilvl="0" w:tentative="0">
      <w:start w:val="1"/>
      <w:numFmt w:val="decimal"/>
      <w:lvlText w:val="3.%1 "/>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1">
    <w:nsid w:val="29735AF9"/>
    <w:multiLevelType w:val="multilevel"/>
    <w:tmpl w:val="29735AF9"/>
    <w:lvl w:ilvl="0" w:tentative="0">
      <w:start w:val="1"/>
      <w:numFmt w:val="decimal"/>
      <w:lvlText w:val="11.%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2ABF2833"/>
    <w:multiLevelType w:val="multilevel"/>
    <w:tmpl w:val="2ABF2833"/>
    <w:lvl w:ilvl="0" w:tentative="0">
      <w:start w:val="1"/>
      <w:numFmt w:val="decimal"/>
      <w:lvlText w:val="1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2CC65A04"/>
    <w:multiLevelType w:val="multilevel"/>
    <w:tmpl w:val="2CC65A04"/>
    <w:lvl w:ilvl="0" w:tentative="0">
      <w:start w:val="1"/>
      <w:numFmt w:val="decimal"/>
      <w:lvlText w:val="31.%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2D177FB1"/>
    <w:multiLevelType w:val="multilevel"/>
    <w:tmpl w:val="2D177FB1"/>
    <w:lvl w:ilvl="0" w:tentative="0">
      <w:start w:val="1"/>
      <w:numFmt w:val="decimal"/>
      <w:lvlText w:val="10.%1"/>
      <w:lvlJc w:val="left"/>
      <w:pPr>
        <w:ind w:left="988" w:hanging="420"/>
      </w:pPr>
      <w:rPr>
        <w:rFonts w:hint="eastAsia"/>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5">
    <w:nsid w:val="300E3298"/>
    <w:multiLevelType w:val="multilevel"/>
    <w:tmpl w:val="300E3298"/>
    <w:lvl w:ilvl="0" w:tentative="0">
      <w:start w:val="1"/>
      <w:numFmt w:val="decimal"/>
      <w:lvlText w:val="%1）"/>
      <w:lvlJc w:val="left"/>
      <w:pPr>
        <w:ind w:left="420" w:hanging="420"/>
      </w:pPr>
      <w:rPr>
        <w:rFonts w:hint="eastAsia"/>
        <w:b w:val="0"/>
        <w:i w:val="0"/>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315F4B3A"/>
    <w:multiLevelType w:val="multilevel"/>
    <w:tmpl w:val="315F4B3A"/>
    <w:lvl w:ilvl="0" w:tentative="0">
      <w:start w:val="1"/>
      <w:numFmt w:val="decimal"/>
      <w:lvlText w:val="7.%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7">
    <w:nsid w:val="37C132BF"/>
    <w:multiLevelType w:val="multilevel"/>
    <w:tmpl w:val="37C132BF"/>
    <w:lvl w:ilvl="0" w:tentative="0">
      <w:start w:val="1"/>
      <w:numFmt w:val="decimal"/>
      <w:lvlText w:val="4.%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38F606C2"/>
    <w:multiLevelType w:val="multilevel"/>
    <w:tmpl w:val="38F606C2"/>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3F8649DD"/>
    <w:multiLevelType w:val="multilevel"/>
    <w:tmpl w:val="3F8649DD"/>
    <w:lvl w:ilvl="0" w:tentative="0">
      <w:start w:val="1"/>
      <w:numFmt w:val="decimal"/>
      <w:lvlText w:val="%1."/>
      <w:lvlJc w:val="left"/>
      <w:pPr>
        <w:ind w:left="200" w:firstLine="0"/>
      </w:pPr>
      <w:rPr>
        <w:rFonts w:hint="default"/>
      </w:rPr>
    </w:lvl>
    <w:lvl w:ilvl="1" w:tentative="0">
      <w:start w:val="1"/>
      <w:numFmt w:val="lowerLetter"/>
      <w:lvlText w:val="%2)"/>
      <w:lvlJc w:val="left"/>
      <w:pPr>
        <w:ind w:left="1460" w:hanging="420"/>
      </w:pPr>
    </w:lvl>
    <w:lvl w:ilvl="2" w:tentative="0">
      <w:start w:val="1"/>
      <w:numFmt w:val="lowerRoman"/>
      <w:lvlText w:val="%3."/>
      <w:lvlJc w:val="right"/>
      <w:pPr>
        <w:ind w:left="1880" w:hanging="420"/>
      </w:pPr>
    </w:lvl>
    <w:lvl w:ilvl="3" w:tentative="0">
      <w:start w:val="1"/>
      <w:numFmt w:val="decimal"/>
      <w:lvlText w:val="%4."/>
      <w:lvlJc w:val="left"/>
      <w:pPr>
        <w:ind w:left="2300" w:hanging="420"/>
      </w:pPr>
    </w:lvl>
    <w:lvl w:ilvl="4" w:tentative="0">
      <w:start w:val="1"/>
      <w:numFmt w:val="lowerLetter"/>
      <w:lvlText w:val="%5)"/>
      <w:lvlJc w:val="left"/>
      <w:pPr>
        <w:ind w:left="2720" w:hanging="420"/>
      </w:pPr>
    </w:lvl>
    <w:lvl w:ilvl="5" w:tentative="0">
      <w:start w:val="1"/>
      <w:numFmt w:val="lowerRoman"/>
      <w:lvlText w:val="%6."/>
      <w:lvlJc w:val="right"/>
      <w:pPr>
        <w:ind w:left="3140" w:hanging="420"/>
      </w:pPr>
    </w:lvl>
    <w:lvl w:ilvl="6" w:tentative="0">
      <w:start w:val="1"/>
      <w:numFmt w:val="decimal"/>
      <w:lvlText w:val="%7."/>
      <w:lvlJc w:val="left"/>
      <w:pPr>
        <w:ind w:left="3560" w:hanging="420"/>
      </w:pPr>
    </w:lvl>
    <w:lvl w:ilvl="7" w:tentative="0">
      <w:start w:val="1"/>
      <w:numFmt w:val="lowerLetter"/>
      <w:lvlText w:val="%8)"/>
      <w:lvlJc w:val="left"/>
      <w:pPr>
        <w:ind w:left="3980" w:hanging="420"/>
      </w:pPr>
    </w:lvl>
    <w:lvl w:ilvl="8" w:tentative="0">
      <w:start w:val="1"/>
      <w:numFmt w:val="lowerRoman"/>
      <w:lvlText w:val="%9."/>
      <w:lvlJc w:val="right"/>
      <w:pPr>
        <w:ind w:left="4400" w:hanging="420"/>
      </w:pPr>
    </w:lvl>
  </w:abstractNum>
  <w:abstractNum w:abstractNumId="30">
    <w:nsid w:val="42574245"/>
    <w:multiLevelType w:val="multilevel"/>
    <w:tmpl w:val="42574245"/>
    <w:lvl w:ilvl="0" w:tentative="0">
      <w:start w:val="1"/>
      <w:numFmt w:val="decimal"/>
      <w:lvlText w:val="%1. "/>
      <w:lvlJc w:val="left"/>
      <w:pPr>
        <w:ind w:left="846"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1">
    <w:nsid w:val="440821F5"/>
    <w:multiLevelType w:val="multilevel"/>
    <w:tmpl w:val="440821F5"/>
    <w:lvl w:ilvl="0" w:tentative="0">
      <w:start w:val="1"/>
      <w:numFmt w:val="decimal"/>
      <w:lvlText w:val="%1."/>
      <w:lvlJc w:val="left"/>
      <w:pPr>
        <w:ind w:left="420" w:hanging="420"/>
      </w:pPr>
      <w:rPr>
        <w:rFonts w:hint="eastAsia" w:ascii="宋体" w:hAnsi="宋体" w:eastAsia="宋体"/>
        <w:b/>
        <w:strike w:val="0"/>
        <w:dstrike w:val="0"/>
        <w:color w:val="auto"/>
        <w:sz w:val="21"/>
        <w:szCs w:val="21"/>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46D17479"/>
    <w:multiLevelType w:val="multilevel"/>
    <w:tmpl w:val="46D17479"/>
    <w:lvl w:ilvl="0" w:tentative="0">
      <w:start w:val="1"/>
      <w:numFmt w:val="decimal"/>
      <w:lvlText w:val="14.%1"/>
      <w:lvlJc w:val="left"/>
      <w:pPr>
        <w:ind w:left="420" w:hanging="420"/>
      </w:pPr>
      <w:rPr>
        <w:rFonts w:hint="eastAsia"/>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47C04287"/>
    <w:multiLevelType w:val="multilevel"/>
    <w:tmpl w:val="47C0428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4">
    <w:nsid w:val="48EB350E"/>
    <w:multiLevelType w:val="multilevel"/>
    <w:tmpl w:val="48EB350E"/>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5">
    <w:nsid w:val="49C131F2"/>
    <w:multiLevelType w:val="multilevel"/>
    <w:tmpl w:val="49C131F2"/>
    <w:lvl w:ilvl="0" w:tentative="0">
      <w:start w:val="1"/>
      <w:numFmt w:val="decimal"/>
      <w:lvlText w:val="17.%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4A487B74"/>
    <w:multiLevelType w:val="multilevel"/>
    <w:tmpl w:val="4A487B74"/>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7">
    <w:nsid w:val="4CAB1427"/>
    <w:multiLevelType w:val="multilevel"/>
    <w:tmpl w:val="4CAB142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8">
    <w:nsid w:val="54AC2495"/>
    <w:multiLevelType w:val="multilevel"/>
    <w:tmpl w:val="54AC2495"/>
    <w:lvl w:ilvl="0" w:tentative="0">
      <w:start w:val="1"/>
      <w:numFmt w:val="decimal"/>
      <w:lvlText w:val="25.%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570117E4"/>
    <w:multiLevelType w:val="multilevel"/>
    <w:tmpl w:val="570117E4"/>
    <w:lvl w:ilvl="0" w:tentative="0">
      <w:start w:val="1"/>
      <w:numFmt w:val="decimal"/>
      <w:lvlText w:val="22.%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577C0B87"/>
    <w:multiLevelType w:val="multilevel"/>
    <w:tmpl w:val="577C0B87"/>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59A852BA"/>
    <w:multiLevelType w:val="multilevel"/>
    <w:tmpl w:val="59A852BA"/>
    <w:lvl w:ilvl="0" w:tentative="0">
      <w:start w:val="1"/>
      <w:numFmt w:val="decimal"/>
      <w:lvlText w:val="6.%1"/>
      <w:lvlJc w:val="left"/>
      <w:pPr>
        <w:ind w:left="846"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42">
    <w:nsid w:val="5C9B6890"/>
    <w:multiLevelType w:val="multilevel"/>
    <w:tmpl w:val="5C9B6890"/>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43">
    <w:nsid w:val="5D5541E8"/>
    <w:multiLevelType w:val="multilevel"/>
    <w:tmpl w:val="5D5541E8"/>
    <w:lvl w:ilvl="0" w:tentative="0">
      <w:start w:val="1"/>
      <w:numFmt w:val="decimal"/>
      <w:lvlText w:val="3.%1"/>
      <w:lvlJc w:val="left"/>
      <w:pPr>
        <w:ind w:left="1130" w:hanging="420"/>
      </w:pPr>
      <w:rPr>
        <w:rFonts w:hint="eastAsia"/>
        <w:b w:val="0"/>
        <w:strike w:val="0"/>
        <w:dstrike w:val="0"/>
        <w:color w:val="auto"/>
        <w:u w:val="none"/>
      </w:rPr>
    </w:lvl>
    <w:lvl w:ilvl="1" w:tentative="0">
      <w:start w:val="1"/>
      <w:numFmt w:val="lowerLetter"/>
      <w:lvlText w:val="%2)"/>
      <w:lvlJc w:val="left"/>
      <w:pPr>
        <w:ind w:left="1092" w:hanging="420"/>
      </w:pPr>
    </w:lvl>
    <w:lvl w:ilvl="2" w:tentative="0">
      <w:start w:val="1"/>
      <w:numFmt w:val="lowerRoman"/>
      <w:lvlText w:val="%3."/>
      <w:lvlJc w:val="right"/>
      <w:pPr>
        <w:ind w:left="1512" w:hanging="420"/>
      </w:pPr>
    </w:lvl>
    <w:lvl w:ilvl="3" w:tentative="0">
      <w:start w:val="1"/>
      <w:numFmt w:val="decimal"/>
      <w:lvlText w:val="%4."/>
      <w:lvlJc w:val="left"/>
      <w:pPr>
        <w:ind w:left="1932" w:hanging="420"/>
      </w:pPr>
    </w:lvl>
    <w:lvl w:ilvl="4" w:tentative="0">
      <w:start w:val="1"/>
      <w:numFmt w:val="lowerLetter"/>
      <w:lvlText w:val="%5)"/>
      <w:lvlJc w:val="left"/>
      <w:pPr>
        <w:ind w:left="2352" w:hanging="420"/>
      </w:pPr>
    </w:lvl>
    <w:lvl w:ilvl="5" w:tentative="0">
      <w:start w:val="1"/>
      <w:numFmt w:val="lowerRoman"/>
      <w:lvlText w:val="%6."/>
      <w:lvlJc w:val="right"/>
      <w:pPr>
        <w:ind w:left="2772" w:hanging="420"/>
      </w:pPr>
    </w:lvl>
    <w:lvl w:ilvl="6" w:tentative="0">
      <w:start w:val="1"/>
      <w:numFmt w:val="decimal"/>
      <w:lvlText w:val="%7."/>
      <w:lvlJc w:val="left"/>
      <w:pPr>
        <w:ind w:left="3192" w:hanging="420"/>
      </w:pPr>
    </w:lvl>
    <w:lvl w:ilvl="7" w:tentative="0">
      <w:start w:val="1"/>
      <w:numFmt w:val="lowerLetter"/>
      <w:lvlText w:val="%8)"/>
      <w:lvlJc w:val="left"/>
      <w:pPr>
        <w:ind w:left="3612" w:hanging="420"/>
      </w:pPr>
    </w:lvl>
    <w:lvl w:ilvl="8" w:tentative="0">
      <w:start w:val="1"/>
      <w:numFmt w:val="lowerRoman"/>
      <w:lvlText w:val="%9."/>
      <w:lvlJc w:val="right"/>
      <w:pPr>
        <w:ind w:left="4032" w:hanging="420"/>
      </w:pPr>
    </w:lvl>
  </w:abstractNum>
  <w:abstractNum w:abstractNumId="44">
    <w:nsid w:val="5D9E52F5"/>
    <w:multiLevelType w:val="multilevel"/>
    <w:tmpl w:val="5D9E52F5"/>
    <w:lvl w:ilvl="0" w:tentative="0">
      <w:start w:val="1"/>
      <w:numFmt w:val="decimal"/>
      <w:lvlText w:val="%1、"/>
      <w:lvlJc w:val="left"/>
      <w:pPr>
        <w:ind w:left="420" w:hanging="420"/>
      </w:pPr>
      <w:rPr>
        <w:rFonts w:hint="eastAsia" w:ascii="宋体" w:hAnsi="宋体" w:eastAsia="宋体" w:cs="Calibri"/>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5E5D5A60"/>
    <w:multiLevelType w:val="multilevel"/>
    <w:tmpl w:val="5E5D5A60"/>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6">
    <w:nsid w:val="5FB739A5"/>
    <w:multiLevelType w:val="multilevel"/>
    <w:tmpl w:val="5FB739A5"/>
    <w:lvl w:ilvl="0" w:tentative="0">
      <w:start w:val="1"/>
      <w:numFmt w:val="decimal"/>
      <w:lvlText w:val="%1"/>
      <w:lvlJc w:val="left"/>
      <w:pPr>
        <w:ind w:left="420" w:hanging="420"/>
      </w:pPr>
      <w:rPr>
        <w:rFonts w:hint="eastAsia"/>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61F95093"/>
    <w:multiLevelType w:val="multilevel"/>
    <w:tmpl w:val="61F95093"/>
    <w:lvl w:ilvl="0" w:tentative="0">
      <w:start w:val="1"/>
      <w:numFmt w:val="decimal"/>
      <w:lvlText w:val="29.%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643B08CA"/>
    <w:multiLevelType w:val="multilevel"/>
    <w:tmpl w:val="643B08CA"/>
    <w:lvl w:ilvl="0" w:tentative="0">
      <w:start w:val="1"/>
      <w:numFmt w:val="decimal"/>
      <w:lvlText w:val="%1）"/>
      <w:lvlJc w:val="left"/>
      <w:pPr>
        <w:ind w:left="643" w:hanging="420"/>
      </w:pPr>
      <w:rPr>
        <w:rFonts w:hint="eastAsia"/>
        <w:b w:val="0"/>
        <w:i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49">
    <w:nsid w:val="64E31E93"/>
    <w:multiLevelType w:val="multilevel"/>
    <w:tmpl w:val="64E31E93"/>
    <w:lvl w:ilvl="0" w:tentative="0">
      <w:start w:val="1"/>
      <w:numFmt w:val="decimal"/>
      <w:lvlText w:val="28.%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69647823"/>
    <w:multiLevelType w:val="multilevel"/>
    <w:tmpl w:val="69647823"/>
    <w:lvl w:ilvl="0" w:tentative="0">
      <w:start w:val="1"/>
      <w:numFmt w:val="decimal"/>
      <w:lvlText w:val="3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6C8E5923"/>
    <w:multiLevelType w:val="multilevel"/>
    <w:tmpl w:val="6C8E5923"/>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2">
    <w:nsid w:val="6EDD64BC"/>
    <w:multiLevelType w:val="multilevel"/>
    <w:tmpl w:val="6EDD64BC"/>
    <w:lvl w:ilvl="0" w:tentative="0">
      <w:start w:val="1"/>
      <w:numFmt w:val="decimal"/>
      <w:lvlText w:val="1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6F211A69"/>
    <w:multiLevelType w:val="multilevel"/>
    <w:tmpl w:val="6F211A69"/>
    <w:lvl w:ilvl="0" w:tentative="0">
      <w:start w:val="1"/>
      <w:numFmt w:val="decimal"/>
      <w:lvlText w:val="30.%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71581402"/>
    <w:multiLevelType w:val="multilevel"/>
    <w:tmpl w:val="71581402"/>
    <w:lvl w:ilvl="0" w:tentative="0">
      <w:start w:val="1"/>
      <w:numFmt w:val="decimal"/>
      <w:lvlText w:val="2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71731B18"/>
    <w:multiLevelType w:val="multilevel"/>
    <w:tmpl w:val="71731B18"/>
    <w:lvl w:ilvl="0" w:tentative="0">
      <w:start w:val="1"/>
      <w:numFmt w:val="decimal"/>
      <w:lvlText w:val="27.%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774C7C21"/>
    <w:multiLevelType w:val="multilevel"/>
    <w:tmpl w:val="774C7C21"/>
    <w:lvl w:ilvl="0" w:tentative="0">
      <w:start w:val="1"/>
      <w:numFmt w:val="decimal"/>
      <w:lvlText w:val="16.%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786B7301"/>
    <w:multiLevelType w:val="multilevel"/>
    <w:tmpl w:val="786B7301"/>
    <w:lvl w:ilvl="0" w:tentative="0">
      <w:start w:val="1"/>
      <w:numFmt w:val="decimal"/>
      <w:lvlText w:val="24.%1"/>
      <w:lvlJc w:val="left"/>
      <w:pPr>
        <w:ind w:left="846"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79840716"/>
    <w:multiLevelType w:val="multilevel"/>
    <w:tmpl w:val="79840716"/>
    <w:lvl w:ilvl="0" w:tentative="0">
      <w:start w:val="1"/>
      <w:numFmt w:val="decimal"/>
      <w:lvlText w:val="9.%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59">
    <w:nsid w:val="7ECB03B9"/>
    <w:multiLevelType w:val="multilevel"/>
    <w:tmpl w:val="7ECB03B9"/>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num w:numId="1">
    <w:abstractNumId w:val="4"/>
    <w:lvlOverride w:ilvl="0">
      <w:startOverride w:val="1"/>
    </w:lvlOverride>
  </w:num>
  <w:num w:numId="2">
    <w:abstractNumId w:val="31"/>
    <w:lvlOverride w:ilvl="0">
      <w:startOverride w:val="1"/>
    </w:lvlOverride>
  </w:num>
  <w:num w:numId="3">
    <w:abstractNumId w:val="16"/>
    <w:lvlOverride w:ilvl="0">
      <w:startOverride w:val="1"/>
    </w:lvlOverride>
  </w:num>
  <w:num w:numId="4">
    <w:abstractNumId w:val="8"/>
    <w:lvlOverride w:ilvl="0">
      <w:startOverride w:val="1"/>
    </w:lvlOverride>
  </w:num>
  <w:num w:numId="5">
    <w:abstractNumId w:val="48"/>
  </w:num>
  <w:num w:numId="6">
    <w:abstractNumId w:val="27"/>
    <w:lvlOverride w:ilvl="0">
      <w:startOverride w:val="1"/>
    </w:lvlOverride>
  </w:num>
  <w:num w:numId="7">
    <w:abstractNumId w:val="41"/>
    <w:lvlOverride w:ilvl="0">
      <w:startOverride w:val="1"/>
    </w:lvlOverride>
  </w:num>
  <w:num w:numId="8">
    <w:abstractNumId w:val="26"/>
    <w:lvlOverride w:ilvl="0">
      <w:startOverride w:val="1"/>
    </w:lvlOverride>
  </w:num>
  <w:num w:numId="9">
    <w:abstractNumId w:val="7"/>
    <w:lvlOverride w:ilvl="0">
      <w:startOverride w:val="1"/>
    </w:lvlOverride>
  </w:num>
  <w:num w:numId="10">
    <w:abstractNumId w:val="58"/>
    <w:lvlOverride w:ilvl="0">
      <w:startOverride w:val="1"/>
    </w:lvlOverride>
  </w:num>
  <w:num w:numId="11">
    <w:abstractNumId w:val="24"/>
  </w:num>
  <w:num w:numId="12">
    <w:abstractNumId w:val="21"/>
    <w:lvlOverride w:ilvl="0">
      <w:startOverride w:val="1"/>
    </w:lvlOverride>
  </w:num>
  <w:num w:numId="13">
    <w:abstractNumId w:val="22"/>
    <w:lvlOverride w:ilvl="0">
      <w:startOverride w:val="1"/>
    </w:lvlOverride>
  </w:num>
  <w:num w:numId="14">
    <w:abstractNumId w:val="52"/>
    <w:lvlOverride w:ilvl="0">
      <w:startOverride w:val="1"/>
    </w:lvlOverride>
  </w:num>
  <w:num w:numId="15">
    <w:abstractNumId w:val="32"/>
    <w:lvlOverride w:ilvl="0">
      <w:startOverride w:val="1"/>
    </w:lvlOverride>
  </w:num>
  <w:num w:numId="16">
    <w:abstractNumId w:val="12"/>
    <w:lvlOverride w:ilvl="0">
      <w:startOverride w:val="1"/>
    </w:lvlOverride>
  </w:num>
  <w:num w:numId="17">
    <w:abstractNumId w:val="56"/>
    <w:lvlOverride w:ilvl="0">
      <w:startOverride w:val="1"/>
    </w:lvlOverride>
  </w:num>
  <w:num w:numId="18">
    <w:abstractNumId w:val="35"/>
    <w:lvlOverride w:ilvl="0">
      <w:startOverride w:val="1"/>
    </w:lvlOverride>
  </w:num>
  <w:num w:numId="19">
    <w:abstractNumId w:val="9"/>
    <w:lvlOverride w:ilvl="0">
      <w:startOverride w:val="1"/>
    </w:lvlOverride>
  </w:num>
  <w:num w:numId="20">
    <w:abstractNumId w:val="6"/>
  </w:num>
  <w:num w:numId="21">
    <w:abstractNumId w:val="14"/>
    <w:lvlOverride w:ilvl="0">
      <w:startOverride w:val="1"/>
    </w:lvlOverride>
  </w:num>
  <w:num w:numId="22">
    <w:abstractNumId w:val="36"/>
  </w:num>
  <w:num w:numId="23">
    <w:abstractNumId w:val="34"/>
  </w:num>
  <w:num w:numId="24">
    <w:abstractNumId w:val="39"/>
  </w:num>
  <w:num w:numId="25">
    <w:abstractNumId w:val="54"/>
  </w:num>
  <w:num w:numId="26">
    <w:abstractNumId w:val="57"/>
  </w:num>
  <w:num w:numId="27">
    <w:abstractNumId w:val="38"/>
  </w:num>
  <w:num w:numId="28">
    <w:abstractNumId w:val="11"/>
  </w:num>
  <w:num w:numId="29">
    <w:abstractNumId w:val="5"/>
  </w:num>
  <w:num w:numId="30">
    <w:abstractNumId w:val="55"/>
  </w:num>
  <w:num w:numId="31">
    <w:abstractNumId w:val="49"/>
  </w:num>
  <w:num w:numId="32">
    <w:abstractNumId w:val="42"/>
  </w:num>
  <w:num w:numId="33">
    <w:abstractNumId w:val="47"/>
  </w:num>
  <w:num w:numId="34">
    <w:abstractNumId w:val="53"/>
  </w:num>
  <w:num w:numId="35">
    <w:abstractNumId w:val="23"/>
  </w:num>
  <w:num w:numId="36">
    <w:abstractNumId w:val="50"/>
  </w:num>
  <w:num w:numId="37">
    <w:abstractNumId w:val="3"/>
  </w:num>
  <w:num w:numId="38">
    <w:abstractNumId w:val="40"/>
    <w:lvlOverride w:ilvl="0">
      <w:startOverride w:val="1"/>
    </w:lvlOverride>
  </w:num>
  <w:num w:numId="39">
    <w:abstractNumId w:val="13"/>
  </w:num>
  <w:num w:numId="40">
    <w:abstractNumId w:val="10"/>
  </w:num>
  <w:num w:numId="41">
    <w:abstractNumId w:val="25"/>
  </w:num>
  <w:num w:numId="42">
    <w:abstractNumId w:val="19"/>
  </w:num>
  <w:num w:numId="43">
    <w:abstractNumId w:val="43"/>
  </w:num>
  <w:num w:numId="44">
    <w:abstractNumId w:val="28"/>
    <w:lvlOverride w:ilvl="0">
      <w:startOverride w:val="1"/>
    </w:lvlOverride>
  </w:num>
  <w:num w:numId="45">
    <w:abstractNumId w:val="18"/>
    <w:lvlOverride w:ilvl="0">
      <w:startOverride w:val="1"/>
    </w:lvlOverride>
  </w:num>
  <w:num w:numId="46">
    <w:abstractNumId w:val="46"/>
  </w:num>
  <w:num w:numId="47">
    <w:abstractNumId w:val="59"/>
    <w:lvlOverride w:ilvl="0">
      <w:startOverride w:val="1"/>
    </w:lvlOverride>
  </w:num>
  <w:num w:numId="48">
    <w:abstractNumId w:val="20"/>
    <w:lvlOverride w:ilvl="0">
      <w:startOverride w:val="1"/>
    </w:lvlOverride>
  </w:num>
  <w:num w:numId="49">
    <w:abstractNumId w:val="17"/>
    <w:lvlOverride w:ilvl="0">
      <w:startOverride w:val="1"/>
    </w:lvlOverride>
  </w:num>
  <w:num w:numId="50">
    <w:abstractNumId w:val="2"/>
  </w:num>
  <w:num w:numId="51">
    <w:abstractNumId w:val="15"/>
  </w:num>
  <w:num w:numId="52">
    <w:abstractNumId w:val="33"/>
    <w:lvlOverride w:ilvl="0">
      <w:startOverride w:val="1"/>
    </w:lvlOverride>
  </w:num>
  <w:num w:numId="53">
    <w:abstractNumId w:val="37"/>
  </w:num>
  <w:num w:numId="54">
    <w:abstractNumId w:val="0"/>
  </w:num>
  <w:num w:numId="55">
    <w:abstractNumId w:val="1"/>
  </w:num>
  <w:num w:numId="56">
    <w:abstractNumId w:val="29"/>
  </w:num>
  <w:num w:numId="57">
    <w:abstractNumId w:val="30"/>
  </w:num>
  <w:num w:numId="58">
    <w:abstractNumId w:val="44"/>
  </w:num>
  <w:num w:numId="59">
    <w:abstractNumId w:val="45"/>
    <w:lvlOverride w:ilvl="0">
      <w:startOverride w:val="1"/>
    </w:lvlOverride>
  </w:num>
  <w:num w:numId="60">
    <w:abstractNumId w:val="5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VjZTkzYzMxYzc4MmE0ZTg0YmYxZWEyZjM4MjZhOGMifQ=="/>
  </w:docVars>
  <w:rsids>
    <w:rsidRoot w:val="005E67E3"/>
    <w:rsid w:val="000003B6"/>
    <w:rsid w:val="00001319"/>
    <w:rsid w:val="00001CDB"/>
    <w:rsid w:val="0000263A"/>
    <w:rsid w:val="00002FCE"/>
    <w:rsid w:val="00003602"/>
    <w:rsid w:val="00004C16"/>
    <w:rsid w:val="000059AE"/>
    <w:rsid w:val="00005E0B"/>
    <w:rsid w:val="00006BE1"/>
    <w:rsid w:val="00006DCF"/>
    <w:rsid w:val="00007978"/>
    <w:rsid w:val="00011C49"/>
    <w:rsid w:val="00012DFF"/>
    <w:rsid w:val="000132E8"/>
    <w:rsid w:val="000134BF"/>
    <w:rsid w:val="0001502E"/>
    <w:rsid w:val="00017234"/>
    <w:rsid w:val="00017383"/>
    <w:rsid w:val="00022DA4"/>
    <w:rsid w:val="000240AA"/>
    <w:rsid w:val="00024F35"/>
    <w:rsid w:val="000271DE"/>
    <w:rsid w:val="000273D1"/>
    <w:rsid w:val="000276CF"/>
    <w:rsid w:val="000303BC"/>
    <w:rsid w:val="00030725"/>
    <w:rsid w:val="000311B7"/>
    <w:rsid w:val="00031B6A"/>
    <w:rsid w:val="000360FA"/>
    <w:rsid w:val="00037960"/>
    <w:rsid w:val="00040712"/>
    <w:rsid w:val="00041023"/>
    <w:rsid w:val="00041344"/>
    <w:rsid w:val="00043651"/>
    <w:rsid w:val="00046305"/>
    <w:rsid w:val="0004663E"/>
    <w:rsid w:val="00046937"/>
    <w:rsid w:val="00046C6D"/>
    <w:rsid w:val="00050828"/>
    <w:rsid w:val="000515EB"/>
    <w:rsid w:val="00052E3E"/>
    <w:rsid w:val="00055288"/>
    <w:rsid w:val="0005777C"/>
    <w:rsid w:val="0006039B"/>
    <w:rsid w:val="00061849"/>
    <w:rsid w:val="0006302D"/>
    <w:rsid w:val="0006304E"/>
    <w:rsid w:val="00063711"/>
    <w:rsid w:val="0006472C"/>
    <w:rsid w:val="00064BE8"/>
    <w:rsid w:val="000702C1"/>
    <w:rsid w:val="0007085A"/>
    <w:rsid w:val="00070C32"/>
    <w:rsid w:val="000729D8"/>
    <w:rsid w:val="0007350A"/>
    <w:rsid w:val="00074A71"/>
    <w:rsid w:val="0008143E"/>
    <w:rsid w:val="000849EB"/>
    <w:rsid w:val="000857E6"/>
    <w:rsid w:val="00086DEC"/>
    <w:rsid w:val="00086EA9"/>
    <w:rsid w:val="00091483"/>
    <w:rsid w:val="00091805"/>
    <w:rsid w:val="00092955"/>
    <w:rsid w:val="00092D2A"/>
    <w:rsid w:val="000949CF"/>
    <w:rsid w:val="000951EA"/>
    <w:rsid w:val="00095A31"/>
    <w:rsid w:val="00097802"/>
    <w:rsid w:val="000A1DCD"/>
    <w:rsid w:val="000A243B"/>
    <w:rsid w:val="000A291A"/>
    <w:rsid w:val="000A2FEA"/>
    <w:rsid w:val="000A5A00"/>
    <w:rsid w:val="000A7639"/>
    <w:rsid w:val="000B06B4"/>
    <w:rsid w:val="000B0B26"/>
    <w:rsid w:val="000B1A6F"/>
    <w:rsid w:val="000B2143"/>
    <w:rsid w:val="000B4821"/>
    <w:rsid w:val="000C0B85"/>
    <w:rsid w:val="000C1BFC"/>
    <w:rsid w:val="000C1E86"/>
    <w:rsid w:val="000C34C3"/>
    <w:rsid w:val="000C41F1"/>
    <w:rsid w:val="000C6D47"/>
    <w:rsid w:val="000C6D48"/>
    <w:rsid w:val="000D13BD"/>
    <w:rsid w:val="000D1705"/>
    <w:rsid w:val="000D1F02"/>
    <w:rsid w:val="000D3724"/>
    <w:rsid w:val="000D3D69"/>
    <w:rsid w:val="000D43FB"/>
    <w:rsid w:val="000D49FC"/>
    <w:rsid w:val="000D4FF3"/>
    <w:rsid w:val="000D7061"/>
    <w:rsid w:val="000D7B92"/>
    <w:rsid w:val="000E15D6"/>
    <w:rsid w:val="000F1901"/>
    <w:rsid w:val="000F27B7"/>
    <w:rsid w:val="000F5766"/>
    <w:rsid w:val="000F76F7"/>
    <w:rsid w:val="000F79A8"/>
    <w:rsid w:val="000F7B31"/>
    <w:rsid w:val="00100025"/>
    <w:rsid w:val="0010095C"/>
    <w:rsid w:val="001034D8"/>
    <w:rsid w:val="001038AA"/>
    <w:rsid w:val="00105089"/>
    <w:rsid w:val="001054EF"/>
    <w:rsid w:val="00110ABB"/>
    <w:rsid w:val="0011195D"/>
    <w:rsid w:val="00113256"/>
    <w:rsid w:val="00114C56"/>
    <w:rsid w:val="00114FC7"/>
    <w:rsid w:val="00115440"/>
    <w:rsid w:val="00115C3C"/>
    <w:rsid w:val="001171BF"/>
    <w:rsid w:val="00122BA0"/>
    <w:rsid w:val="001234B2"/>
    <w:rsid w:val="001246AB"/>
    <w:rsid w:val="00125498"/>
    <w:rsid w:val="001254C2"/>
    <w:rsid w:val="00125D80"/>
    <w:rsid w:val="0012774E"/>
    <w:rsid w:val="00130B03"/>
    <w:rsid w:val="0013108E"/>
    <w:rsid w:val="00131FBC"/>
    <w:rsid w:val="00133844"/>
    <w:rsid w:val="00133E1C"/>
    <w:rsid w:val="00136ECF"/>
    <w:rsid w:val="00140238"/>
    <w:rsid w:val="00141746"/>
    <w:rsid w:val="00144FEE"/>
    <w:rsid w:val="00145208"/>
    <w:rsid w:val="00146058"/>
    <w:rsid w:val="0015056A"/>
    <w:rsid w:val="0015264C"/>
    <w:rsid w:val="00152DCB"/>
    <w:rsid w:val="00153DB1"/>
    <w:rsid w:val="00155351"/>
    <w:rsid w:val="001576E7"/>
    <w:rsid w:val="00157E6F"/>
    <w:rsid w:val="00160B7A"/>
    <w:rsid w:val="00160CF4"/>
    <w:rsid w:val="0016135F"/>
    <w:rsid w:val="00161B6E"/>
    <w:rsid w:val="00167020"/>
    <w:rsid w:val="001673C9"/>
    <w:rsid w:val="0017029B"/>
    <w:rsid w:val="001704FA"/>
    <w:rsid w:val="00170615"/>
    <w:rsid w:val="00170678"/>
    <w:rsid w:val="0017479B"/>
    <w:rsid w:val="001757C1"/>
    <w:rsid w:val="0017654E"/>
    <w:rsid w:val="0018013A"/>
    <w:rsid w:val="00180732"/>
    <w:rsid w:val="00182A74"/>
    <w:rsid w:val="00183641"/>
    <w:rsid w:val="001837FD"/>
    <w:rsid w:val="001869A6"/>
    <w:rsid w:val="0019062E"/>
    <w:rsid w:val="00191971"/>
    <w:rsid w:val="00193390"/>
    <w:rsid w:val="001948F8"/>
    <w:rsid w:val="00195A1B"/>
    <w:rsid w:val="00195EF5"/>
    <w:rsid w:val="0019755F"/>
    <w:rsid w:val="001A02D0"/>
    <w:rsid w:val="001A3A7A"/>
    <w:rsid w:val="001A4F93"/>
    <w:rsid w:val="001A512C"/>
    <w:rsid w:val="001A73DE"/>
    <w:rsid w:val="001A7D4E"/>
    <w:rsid w:val="001B00FB"/>
    <w:rsid w:val="001B04BD"/>
    <w:rsid w:val="001B20D7"/>
    <w:rsid w:val="001B27F8"/>
    <w:rsid w:val="001B40E4"/>
    <w:rsid w:val="001B57D0"/>
    <w:rsid w:val="001B6AE8"/>
    <w:rsid w:val="001C1E58"/>
    <w:rsid w:val="001C37C9"/>
    <w:rsid w:val="001C7521"/>
    <w:rsid w:val="001D04B9"/>
    <w:rsid w:val="001D2650"/>
    <w:rsid w:val="001D4E94"/>
    <w:rsid w:val="001D5499"/>
    <w:rsid w:val="001D57C4"/>
    <w:rsid w:val="001D72DD"/>
    <w:rsid w:val="001D75A0"/>
    <w:rsid w:val="001E0022"/>
    <w:rsid w:val="001E0D87"/>
    <w:rsid w:val="001E2855"/>
    <w:rsid w:val="001E35E6"/>
    <w:rsid w:val="001E5D77"/>
    <w:rsid w:val="001E6422"/>
    <w:rsid w:val="001E6472"/>
    <w:rsid w:val="001E6928"/>
    <w:rsid w:val="001F5464"/>
    <w:rsid w:val="001F59D4"/>
    <w:rsid w:val="001F6A81"/>
    <w:rsid w:val="001F6E70"/>
    <w:rsid w:val="001F7226"/>
    <w:rsid w:val="001F74B8"/>
    <w:rsid w:val="001F7A20"/>
    <w:rsid w:val="0020063E"/>
    <w:rsid w:val="00201784"/>
    <w:rsid w:val="00203573"/>
    <w:rsid w:val="0020400B"/>
    <w:rsid w:val="002061A3"/>
    <w:rsid w:val="002072C7"/>
    <w:rsid w:val="002121AD"/>
    <w:rsid w:val="00212998"/>
    <w:rsid w:val="0021604F"/>
    <w:rsid w:val="00216071"/>
    <w:rsid w:val="0021684D"/>
    <w:rsid w:val="002214B5"/>
    <w:rsid w:val="00221A60"/>
    <w:rsid w:val="00224293"/>
    <w:rsid w:val="00226967"/>
    <w:rsid w:val="00226FE0"/>
    <w:rsid w:val="00230473"/>
    <w:rsid w:val="0023116F"/>
    <w:rsid w:val="0023262D"/>
    <w:rsid w:val="002327C1"/>
    <w:rsid w:val="00232BB4"/>
    <w:rsid w:val="002368F8"/>
    <w:rsid w:val="00237006"/>
    <w:rsid w:val="00237420"/>
    <w:rsid w:val="00240D2E"/>
    <w:rsid w:val="00244924"/>
    <w:rsid w:val="002450A6"/>
    <w:rsid w:val="00245BA8"/>
    <w:rsid w:val="00246330"/>
    <w:rsid w:val="00247AB2"/>
    <w:rsid w:val="0025279A"/>
    <w:rsid w:val="00252B30"/>
    <w:rsid w:val="00253DBA"/>
    <w:rsid w:val="00253F3F"/>
    <w:rsid w:val="00255D0E"/>
    <w:rsid w:val="002569F4"/>
    <w:rsid w:val="00260A5D"/>
    <w:rsid w:val="002621FC"/>
    <w:rsid w:val="002655C2"/>
    <w:rsid w:val="00266A8F"/>
    <w:rsid w:val="00267530"/>
    <w:rsid w:val="00270595"/>
    <w:rsid w:val="00270EDA"/>
    <w:rsid w:val="00271544"/>
    <w:rsid w:val="002724FD"/>
    <w:rsid w:val="0027398A"/>
    <w:rsid w:val="00273E57"/>
    <w:rsid w:val="002763E8"/>
    <w:rsid w:val="00280290"/>
    <w:rsid w:val="00283C92"/>
    <w:rsid w:val="0028563F"/>
    <w:rsid w:val="00291975"/>
    <w:rsid w:val="00291E27"/>
    <w:rsid w:val="002920C2"/>
    <w:rsid w:val="00293DA7"/>
    <w:rsid w:val="0029557D"/>
    <w:rsid w:val="002978AD"/>
    <w:rsid w:val="002A031D"/>
    <w:rsid w:val="002A303A"/>
    <w:rsid w:val="002A30CB"/>
    <w:rsid w:val="002A54A1"/>
    <w:rsid w:val="002A5947"/>
    <w:rsid w:val="002A5AB1"/>
    <w:rsid w:val="002A702B"/>
    <w:rsid w:val="002B05F5"/>
    <w:rsid w:val="002B1FDF"/>
    <w:rsid w:val="002B2C9F"/>
    <w:rsid w:val="002B5C86"/>
    <w:rsid w:val="002C5668"/>
    <w:rsid w:val="002D2681"/>
    <w:rsid w:val="002D4597"/>
    <w:rsid w:val="002D492F"/>
    <w:rsid w:val="002E0257"/>
    <w:rsid w:val="002E1DD7"/>
    <w:rsid w:val="002E2212"/>
    <w:rsid w:val="002E6679"/>
    <w:rsid w:val="002E699C"/>
    <w:rsid w:val="002E6B15"/>
    <w:rsid w:val="002E7CED"/>
    <w:rsid w:val="002F4789"/>
    <w:rsid w:val="002F737C"/>
    <w:rsid w:val="002F7D72"/>
    <w:rsid w:val="00301A65"/>
    <w:rsid w:val="003029D8"/>
    <w:rsid w:val="003050B8"/>
    <w:rsid w:val="003055DD"/>
    <w:rsid w:val="003068F0"/>
    <w:rsid w:val="00310001"/>
    <w:rsid w:val="003100D3"/>
    <w:rsid w:val="00310D9F"/>
    <w:rsid w:val="00311951"/>
    <w:rsid w:val="00312211"/>
    <w:rsid w:val="003137A7"/>
    <w:rsid w:val="003222FD"/>
    <w:rsid w:val="003235FD"/>
    <w:rsid w:val="003258C7"/>
    <w:rsid w:val="00331B56"/>
    <w:rsid w:val="00333846"/>
    <w:rsid w:val="00333A90"/>
    <w:rsid w:val="00336FD0"/>
    <w:rsid w:val="00337CB5"/>
    <w:rsid w:val="00342BEF"/>
    <w:rsid w:val="00346801"/>
    <w:rsid w:val="0034712A"/>
    <w:rsid w:val="00350BEF"/>
    <w:rsid w:val="003560C3"/>
    <w:rsid w:val="00356E6A"/>
    <w:rsid w:val="00360A6D"/>
    <w:rsid w:val="00360D44"/>
    <w:rsid w:val="00360D82"/>
    <w:rsid w:val="0036348D"/>
    <w:rsid w:val="003636FB"/>
    <w:rsid w:val="003645BD"/>
    <w:rsid w:val="00371F76"/>
    <w:rsid w:val="00372E8F"/>
    <w:rsid w:val="003730FE"/>
    <w:rsid w:val="003740F5"/>
    <w:rsid w:val="00380411"/>
    <w:rsid w:val="00380DAA"/>
    <w:rsid w:val="0038445F"/>
    <w:rsid w:val="0038678E"/>
    <w:rsid w:val="00387665"/>
    <w:rsid w:val="00390A6F"/>
    <w:rsid w:val="003A012C"/>
    <w:rsid w:val="003A2009"/>
    <w:rsid w:val="003A28E5"/>
    <w:rsid w:val="003A2AF8"/>
    <w:rsid w:val="003A2FAE"/>
    <w:rsid w:val="003A3429"/>
    <w:rsid w:val="003A4745"/>
    <w:rsid w:val="003A68B4"/>
    <w:rsid w:val="003B0B02"/>
    <w:rsid w:val="003B334D"/>
    <w:rsid w:val="003B3D72"/>
    <w:rsid w:val="003B5211"/>
    <w:rsid w:val="003B6CD0"/>
    <w:rsid w:val="003B7258"/>
    <w:rsid w:val="003C4D45"/>
    <w:rsid w:val="003C64A9"/>
    <w:rsid w:val="003C781A"/>
    <w:rsid w:val="003C7929"/>
    <w:rsid w:val="003C7B18"/>
    <w:rsid w:val="003D0885"/>
    <w:rsid w:val="003D0CA4"/>
    <w:rsid w:val="003D2D71"/>
    <w:rsid w:val="003D3DB8"/>
    <w:rsid w:val="003D5900"/>
    <w:rsid w:val="003D5CBE"/>
    <w:rsid w:val="003D647A"/>
    <w:rsid w:val="003D6775"/>
    <w:rsid w:val="003D7FEC"/>
    <w:rsid w:val="003E3047"/>
    <w:rsid w:val="003E30EC"/>
    <w:rsid w:val="003E38CF"/>
    <w:rsid w:val="003E7970"/>
    <w:rsid w:val="003F4098"/>
    <w:rsid w:val="003F56BD"/>
    <w:rsid w:val="003F711B"/>
    <w:rsid w:val="00407B95"/>
    <w:rsid w:val="00410603"/>
    <w:rsid w:val="00411B79"/>
    <w:rsid w:val="00412B9C"/>
    <w:rsid w:val="00413412"/>
    <w:rsid w:val="00415856"/>
    <w:rsid w:val="00416AA3"/>
    <w:rsid w:val="004176BA"/>
    <w:rsid w:val="00421DA0"/>
    <w:rsid w:val="00422046"/>
    <w:rsid w:val="00422A59"/>
    <w:rsid w:val="00426568"/>
    <w:rsid w:val="004274F1"/>
    <w:rsid w:val="00427C55"/>
    <w:rsid w:val="00431A55"/>
    <w:rsid w:val="00431DC7"/>
    <w:rsid w:val="00433561"/>
    <w:rsid w:val="0043644F"/>
    <w:rsid w:val="00437708"/>
    <w:rsid w:val="004416F1"/>
    <w:rsid w:val="0044437B"/>
    <w:rsid w:val="00445DF0"/>
    <w:rsid w:val="0045116E"/>
    <w:rsid w:val="00452008"/>
    <w:rsid w:val="00453E21"/>
    <w:rsid w:val="004602E6"/>
    <w:rsid w:val="00461166"/>
    <w:rsid w:val="004618F5"/>
    <w:rsid w:val="004650E6"/>
    <w:rsid w:val="00465AC1"/>
    <w:rsid w:val="00465EBB"/>
    <w:rsid w:val="004667B1"/>
    <w:rsid w:val="00466C95"/>
    <w:rsid w:val="00474329"/>
    <w:rsid w:val="00474F9A"/>
    <w:rsid w:val="004753FE"/>
    <w:rsid w:val="00476519"/>
    <w:rsid w:val="004773F2"/>
    <w:rsid w:val="004774E4"/>
    <w:rsid w:val="00480906"/>
    <w:rsid w:val="00481C3A"/>
    <w:rsid w:val="00481DC3"/>
    <w:rsid w:val="00482C3E"/>
    <w:rsid w:val="00482EB3"/>
    <w:rsid w:val="00483203"/>
    <w:rsid w:val="00484845"/>
    <w:rsid w:val="0048684E"/>
    <w:rsid w:val="00491BFE"/>
    <w:rsid w:val="00494DD3"/>
    <w:rsid w:val="00495218"/>
    <w:rsid w:val="00496ABA"/>
    <w:rsid w:val="004A0E2B"/>
    <w:rsid w:val="004A0F03"/>
    <w:rsid w:val="004A15E5"/>
    <w:rsid w:val="004A267C"/>
    <w:rsid w:val="004A3249"/>
    <w:rsid w:val="004A426E"/>
    <w:rsid w:val="004A4627"/>
    <w:rsid w:val="004A4A67"/>
    <w:rsid w:val="004A544B"/>
    <w:rsid w:val="004A628B"/>
    <w:rsid w:val="004A7142"/>
    <w:rsid w:val="004B439B"/>
    <w:rsid w:val="004B682D"/>
    <w:rsid w:val="004B7E12"/>
    <w:rsid w:val="004C5EB8"/>
    <w:rsid w:val="004C6E1A"/>
    <w:rsid w:val="004D28C0"/>
    <w:rsid w:val="004D5B53"/>
    <w:rsid w:val="004D631A"/>
    <w:rsid w:val="004D7E18"/>
    <w:rsid w:val="004E112E"/>
    <w:rsid w:val="004E142E"/>
    <w:rsid w:val="004E54D5"/>
    <w:rsid w:val="004E5589"/>
    <w:rsid w:val="004E6500"/>
    <w:rsid w:val="004E6D85"/>
    <w:rsid w:val="004E79E8"/>
    <w:rsid w:val="004F31BD"/>
    <w:rsid w:val="004F442A"/>
    <w:rsid w:val="004F5066"/>
    <w:rsid w:val="004F5A77"/>
    <w:rsid w:val="004F7519"/>
    <w:rsid w:val="0050099F"/>
    <w:rsid w:val="00501903"/>
    <w:rsid w:val="00501CAB"/>
    <w:rsid w:val="00502953"/>
    <w:rsid w:val="005054AB"/>
    <w:rsid w:val="0050663D"/>
    <w:rsid w:val="005119F8"/>
    <w:rsid w:val="00513394"/>
    <w:rsid w:val="00514D98"/>
    <w:rsid w:val="00515CF0"/>
    <w:rsid w:val="005215BF"/>
    <w:rsid w:val="00521C7B"/>
    <w:rsid w:val="0052304F"/>
    <w:rsid w:val="005279C0"/>
    <w:rsid w:val="00527DB3"/>
    <w:rsid w:val="00532338"/>
    <w:rsid w:val="00535D03"/>
    <w:rsid w:val="00541F11"/>
    <w:rsid w:val="005430E7"/>
    <w:rsid w:val="00544469"/>
    <w:rsid w:val="00545241"/>
    <w:rsid w:val="00547909"/>
    <w:rsid w:val="00551C42"/>
    <w:rsid w:val="00553793"/>
    <w:rsid w:val="00554629"/>
    <w:rsid w:val="00554647"/>
    <w:rsid w:val="0055473F"/>
    <w:rsid w:val="0055612D"/>
    <w:rsid w:val="005577B1"/>
    <w:rsid w:val="00557A1A"/>
    <w:rsid w:val="0056188F"/>
    <w:rsid w:val="00561AB3"/>
    <w:rsid w:val="00561CEF"/>
    <w:rsid w:val="0056688D"/>
    <w:rsid w:val="005674E3"/>
    <w:rsid w:val="005677CF"/>
    <w:rsid w:val="005702B2"/>
    <w:rsid w:val="00571A8F"/>
    <w:rsid w:val="00571AE5"/>
    <w:rsid w:val="00573B3F"/>
    <w:rsid w:val="005741FE"/>
    <w:rsid w:val="005743A8"/>
    <w:rsid w:val="0057591F"/>
    <w:rsid w:val="00575E70"/>
    <w:rsid w:val="00576330"/>
    <w:rsid w:val="005776A7"/>
    <w:rsid w:val="00580B44"/>
    <w:rsid w:val="005815E0"/>
    <w:rsid w:val="00581701"/>
    <w:rsid w:val="00581ADF"/>
    <w:rsid w:val="005832A5"/>
    <w:rsid w:val="00584464"/>
    <w:rsid w:val="00586CC1"/>
    <w:rsid w:val="0058786F"/>
    <w:rsid w:val="0059216F"/>
    <w:rsid w:val="00592A24"/>
    <w:rsid w:val="00593D21"/>
    <w:rsid w:val="00593D46"/>
    <w:rsid w:val="00594215"/>
    <w:rsid w:val="005946BF"/>
    <w:rsid w:val="005963AC"/>
    <w:rsid w:val="00596D57"/>
    <w:rsid w:val="005978D7"/>
    <w:rsid w:val="005A01F1"/>
    <w:rsid w:val="005A079F"/>
    <w:rsid w:val="005A0D53"/>
    <w:rsid w:val="005A0DE8"/>
    <w:rsid w:val="005A27D7"/>
    <w:rsid w:val="005A60ED"/>
    <w:rsid w:val="005B0D64"/>
    <w:rsid w:val="005B2297"/>
    <w:rsid w:val="005B2CA5"/>
    <w:rsid w:val="005B447C"/>
    <w:rsid w:val="005B5DD4"/>
    <w:rsid w:val="005B6B7C"/>
    <w:rsid w:val="005C11F5"/>
    <w:rsid w:val="005C338E"/>
    <w:rsid w:val="005C567A"/>
    <w:rsid w:val="005C5EEB"/>
    <w:rsid w:val="005C6FAC"/>
    <w:rsid w:val="005C7246"/>
    <w:rsid w:val="005C72BD"/>
    <w:rsid w:val="005D0DA6"/>
    <w:rsid w:val="005D1135"/>
    <w:rsid w:val="005D1A50"/>
    <w:rsid w:val="005D29CD"/>
    <w:rsid w:val="005D71FD"/>
    <w:rsid w:val="005D778B"/>
    <w:rsid w:val="005D7F88"/>
    <w:rsid w:val="005E1418"/>
    <w:rsid w:val="005E1F47"/>
    <w:rsid w:val="005E67E3"/>
    <w:rsid w:val="005F037F"/>
    <w:rsid w:val="005F0E05"/>
    <w:rsid w:val="005F10F7"/>
    <w:rsid w:val="005F11F2"/>
    <w:rsid w:val="005F22EA"/>
    <w:rsid w:val="005F56CD"/>
    <w:rsid w:val="006028B1"/>
    <w:rsid w:val="00603F70"/>
    <w:rsid w:val="00605F53"/>
    <w:rsid w:val="0060659A"/>
    <w:rsid w:val="00606608"/>
    <w:rsid w:val="00606E45"/>
    <w:rsid w:val="00607164"/>
    <w:rsid w:val="00610B49"/>
    <w:rsid w:val="0061113D"/>
    <w:rsid w:val="00620A94"/>
    <w:rsid w:val="00622B86"/>
    <w:rsid w:val="00624126"/>
    <w:rsid w:val="00625745"/>
    <w:rsid w:val="0062582C"/>
    <w:rsid w:val="0063061D"/>
    <w:rsid w:val="00630837"/>
    <w:rsid w:val="00630B8B"/>
    <w:rsid w:val="00630E60"/>
    <w:rsid w:val="006310EF"/>
    <w:rsid w:val="0063402A"/>
    <w:rsid w:val="00635A3C"/>
    <w:rsid w:val="0063617F"/>
    <w:rsid w:val="00636565"/>
    <w:rsid w:val="00636794"/>
    <w:rsid w:val="00637156"/>
    <w:rsid w:val="00637218"/>
    <w:rsid w:val="006458CE"/>
    <w:rsid w:val="00645E76"/>
    <w:rsid w:val="006472C3"/>
    <w:rsid w:val="00651322"/>
    <w:rsid w:val="00654575"/>
    <w:rsid w:val="00657B69"/>
    <w:rsid w:val="00661A45"/>
    <w:rsid w:val="00664ADF"/>
    <w:rsid w:val="0066535D"/>
    <w:rsid w:val="00665895"/>
    <w:rsid w:val="00666F1E"/>
    <w:rsid w:val="006704E1"/>
    <w:rsid w:val="0067166E"/>
    <w:rsid w:val="00671C35"/>
    <w:rsid w:val="00673908"/>
    <w:rsid w:val="00675059"/>
    <w:rsid w:val="006772A2"/>
    <w:rsid w:val="00677493"/>
    <w:rsid w:val="00680531"/>
    <w:rsid w:val="006901C5"/>
    <w:rsid w:val="00691226"/>
    <w:rsid w:val="00691C7B"/>
    <w:rsid w:val="00692843"/>
    <w:rsid w:val="006933AA"/>
    <w:rsid w:val="00693D7B"/>
    <w:rsid w:val="00694B83"/>
    <w:rsid w:val="00697575"/>
    <w:rsid w:val="006A1B93"/>
    <w:rsid w:val="006A1F25"/>
    <w:rsid w:val="006A26B9"/>
    <w:rsid w:val="006A2722"/>
    <w:rsid w:val="006A30E4"/>
    <w:rsid w:val="006A32E7"/>
    <w:rsid w:val="006A5427"/>
    <w:rsid w:val="006A5BD5"/>
    <w:rsid w:val="006A7D4E"/>
    <w:rsid w:val="006B3BF2"/>
    <w:rsid w:val="006B614F"/>
    <w:rsid w:val="006B6E33"/>
    <w:rsid w:val="006C07DC"/>
    <w:rsid w:val="006C085D"/>
    <w:rsid w:val="006C4FD8"/>
    <w:rsid w:val="006C5CEF"/>
    <w:rsid w:val="006C6299"/>
    <w:rsid w:val="006C6DE3"/>
    <w:rsid w:val="006D1753"/>
    <w:rsid w:val="006D1CDF"/>
    <w:rsid w:val="006D26F0"/>
    <w:rsid w:val="006E0AA5"/>
    <w:rsid w:val="006E0D0C"/>
    <w:rsid w:val="006E353D"/>
    <w:rsid w:val="006E4E35"/>
    <w:rsid w:val="006E6CB5"/>
    <w:rsid w:val="006F52E0"/>
    <w:rsid w:val="006F7273"/>
    <w:rsid w:val="006F7A5B"/>
    <w:rsid w:val="00700A1D"/>
    <w:rsid w:val="00700C5B"/>
    <w:rsid w:val="00702C1F"/>
    <w:rsid w:val="00702C24"/>
    <w:rsid w:val="007050C1"/>
    <w:rsid w:val="00705932"/>
    <w:rsid w:val="007103C9"/>
    <w:rsid w:val="00712979"/>
    <w:rsid w:val="00714EC2"/>
    <w:rsid w:val="007150B4"/>
    <w:rsid w:val="0072131F"/>
    <w:rsid w:val="00721340"/>
    <w:rsid w:val="00721416"/>
    <w:rsid w:val="00724557"/>
    <w:rsid w:val="00727BFE"/>
    <w:rsid w:val="00737527"/>
    <w:rsid w:val="00737A7E"/>
    <w:rsid w:val="00740094"/>
    <w:rsid w:val="00740340"/>
    <w:rsid w:val="00744FFC"/>
    <w:rsid w:val="007471E3"/>
    <w:rsid w:val="007519B7"/>
    <w:rsid w:val="00751BE0"/>
    <w:rsid w:val="00753F64"/>
    <w:rsid w:val="007626C9"/>
    <w:rsid w:val="00765103"/>
    <w:rsid w:val="00765AED"/>
    <w:rsid w:val="00766C07"/>
    <w:rsid w:val="00770F26"/>
    <w:rsid w:val="00773A3A"/>
    <w:rsid w:val="007759D4"/>
    <w:rsid w:val="0077603C"/>
    <w:rsid w:val="0077637F"/>
    <w:rsid w:val="00776639"/>
    <w:rsid w:val="0078209C"/>
    <w:rsid w:val="0078337C"/>
    <w:rsid w:val="00783D68"/>
    <w:rsid w:val="007848C7"/>
    <w:rsid w:val="0078572B"/>
    <w:rsid w:val="007860C7"/>
    <w:rsid w:val="007863F4"/>
    <w:rsid w:val="007914B8"/>
    <w:rsid w:val="00796F26"/>
    <w:rsid w:val="00797BB8"/>
    <w:rsid w:val="007A0A6E"/>
    <w:rsid w:val="007A37AE"/>
    <w:rsid w:val="007A4FF1"/>
    <w:rsid w:val="007A7B25"/>
    <w:rsid w:val="007B3D0F"/>
    <w:rsid w:val="007B5B28"/>
    <w:rsid w:val="007B7BD8"/>
    <w:rsid w:val="007C0B8B"/>
    <w:rsid w:val="007C2B18"/>
    <w:rsid w:val="007C2C1B"/>
    <w:rsid w:val="007C326E"/>
    <w:rsid w:val="007C504D"/>
    <w:rsid w:val="007D1666"/>
    <w:rsid w:val="007D1F22"/>
    <w:rsid w:val="007D5443"/>
    <w:rsid w:val="007E3D0D"/>
    <w:rsid w:val="007E4BE7"/>
    <w:rsid w:val="007E4F07"/>
    <w:rsid w:val="007E605C"/>
    <w:rsid w:val="007E7D4F"/>
    <w:rsid w:val="007F16DD"/>
    <w:rsid w:val="007F186E"/>
    <w:rsid w:val="007F44C7"/>
    <w:rsid w:val="007F4AE8"/>
    <w:rsid w:val="007F55B3"/>
    <w:rsid w:val="007F582E"/>
    <w:rsid w:val="007F5D61"/>
    <w:rsid w:val="007F5F93"/>
    <w:rsid w:val="00800F86"/>
    <w:rsid w:val="008011D6"/>
    <w:rsid w:val="008031BE"/>
    <w:rsid w:val="00803E94"/>
    <w:rsid w:val="0080645A"/>
    <w:rsid w:val="00806692"/>
    <w:rsid w:val="0081135F"/>
    <w:rsid w:val="00813148"/>
    <w:rsid w:val="008135F4"/>
    <w:rsid w:val="00814D6C"/>
    <w:rsid w:val="0081534E"/>
    <w:rsid w:val="008171EC"/>
    <w:rsid w:val="0083047D"/>
    <w:rsid w:val="008317F3"/>
    <w:rsid w:val="00831D59"/>
    <w:rsid w:val="00831E9C"/>
    <w:rsid w:val="00832ECB"/>
    <w:rsid w:val="00833276"/>
    <w:rsid w:val="008332D5"/>
    <w:rsid w:val="0083642E"/>
    <w:rsid w:val="00837C29"/>
    <w:rsid w:val="00840125"/>
    <w:rsid w:val="00840A74"/>
    <w:rsid w:val="008448A2"/>
    <w:rsid w:val="00844FE6"/>
    <w:rsid w:val="00845A53"/>
    <w:rsid w:val="00846263"/>
    <w:rsid w:val="00846A2F"/>
    <w:rsid w:val="00847B4C"/>
    <w:rsid w:val="00850189"/>
    <w:rsid w:val="0085097A"/>
    <w:rsid w:val="008511A6"/>
    <w:rsid w:val="00853993"/>
    <w:rsid w:val="008571BE"/>
    <w:rsid w:val="00861D4A"/>
    <w:rsid w:val="00861D7F"/>
    <w:rsid w:val="00862A8A"/>
    <w:rsid w:val="00863D19"/>
    <w:rsid w:val="008643F9"/>
    <w:rsid w:val="00864F4B"/>
    <w:rsid w:val="00867420"/>
    <w:rsid w:val="00867FFD"/>
    <w:rsid w:val="00872EDE"/>
    <w:rsid w:val="00873FD6"/>
    <w:rsid w:val="0088301E"/>
    <w:rsid w:val="00884A77"/>
    <w:rsid w:val="008914A4"/>
    <w:rsid w:val="0089180D"/>
    <w:rsid w:val="00892A2F"/>
    <w:rsid w:val="00893173"/>
    <w:rsid w:val="00893713"/>
    <w:rsid w:val="00893775"/>
    <w:rsid w:val="008953C1"/>
    <w:rsid w:val="00895E0C"/>
    <w:rsid w:val="008A294F"/>
    <w:rsid w:val="008A5868"/>
    <w:rsid w:val="008A773E"/>
    <w:rsid w:val="008B0A78"/>
    <w:rsid w:val="008B1013"/>
    <w:rsid w:val="008B1EE5"/>
    <w:rsid w:val="008B33A3"/>
    <w:rsid w:val="008B3AFF"/>
    <w:rsid w:val="008B407E"/>
    <w:rsid w:val="008B4E6D"/>
    <w:rsid w:val="008C0355"/>
    <w:rsid w:val="008C0AD1"/>
    <w:rsid w:val="008C1922"/>
    <w:rsid w:val="008C4A8A"/>
    <w:rsid w:val="008C7D02"/>
    <w:rsid w:val="008D0813"/>
    <w:rsid w:val="008D37BF"/>
    <w:rsid w:val="008D5472"/>
    <w:rsid w:val="008D6D41"/>
    <w:rsid w:val="008D6F99"/>
    <w:rsid w:val="008D7D1F"/>
    <w:rsid w:val="008E075B"/>
    <w:rsid w:val="008E14AD"/>
    <w:rsid w:val="008E2A8D"/>
    <w:rsid w:val="008E5B1C"/>
    <w:rsid w:val="008E60C7"/>
    <w:rsid w:val="008E64D5"/>
    <w:rsid w:val="008E68FF"/>
    <w:rsid w:val="008F0F73"/>
    <w:rsid w:val="008F1D78"/>
    <w:rsid w:val="008F39AC"/>
    <w:rsid w:val="008F5B60"/>
    <w:rsid w:val="00900A60"/>
    <w:rsid w:val="0090403A"/>
    <w:rsid w:val="0090517C"/>
    <w:rsid w:val="00907AC4"/>
    <w:rsid w:val="00910379"/>
    <w:rsid w:val="0091078D"/>
    <w:rsid w:val="00912ED9"/>
    <w:rsid w:val="00913AE1"/>
    <w:rsid w:val="009204DB"/>
    <w:rsid w:val="0092420F"/>
    <w:rsid w:val="0092636D"/>
    <w:rsid w:val="0093075A"/>
    <w:rsid w:val="009342DD"/>
    <w:rsid w:val="00935D8A"/>
    <w:rsid w:val="00936FA6"/>
    <w:rsid w:val="00937175"/>
    <w:rsid w:val="0094193C"/>
    <w:rsid w:val="00943D61"/>
    <w:rsid w:val="00944AD0"/>
    <w:rsid w:val="00944E85"/>
    <w:rsid w:val="00951689"/>
    <w:rsid w:val="00952B00"/>
    <w:rsid w:val="00952C23"/>
    <w:rsid w:val="00952F3F"/>
    <w:rsid w:val="0095350F"/>
    <w:rsid w:val="00954E55"/>
    <w:rsid w:val="00956354"/>
    <w:rsid w:val="00956740"/>
    <w:rsid w:val="00957A40"/>
    <w:rsid w:val="00960866"/>
    <w:rsid w:val="009648FD"/>
    <w:rsid w:val="00964983"/>
    <w:rsid w:val="00965DE2"/>
    <w:rsid w:val="00966D78"/>
    <w:rsid w:val="00966ECE"/>
    <w:rsid w:val="009717FF"/>
    <w:rsid w:val="00972C5C"/>
    <w:rsid w:val="009730A9"/>
    <w:rsid w:val="00973192"/>
    <w:rsid w:val="00974997"/>
    <w:rsid w:val="00975973"/>
    <w:rsid w:val="00975E88"/>
    <w:rsid w:val="00976983"/>
    <w:rsid w:val="0097708B"/>
    <w:rsid w:val="00977F05"/>
    <w:rsid w:val="0098081D"/>
    <w:rsid w:val="009816EC"/>
    <w:rsid w:val="009830D1"/>
    <w:rsid w:val="00984056"/>
    <w:rsid w:val="0098484C"/>
    <w:rsid w:val="00984B78"/>
    <w:rsid w:val="009860F7"/>
    <w:rsid w:val="00986805"/>
    <w:rsid w:val="00990913"/>
    <w:rsid w:val="00991CBE"/>
    <w:rsid w:val="0099232E"/>
    <w:rsid w:val="009931F4"/>
    <w:rsid w:val="00997255"/>
    <w:rsid w:val="009A0AD7"/>
    <w:rsid w:val="009A0E31"/>
    <w:rsid w:val="009A0ED1"/>
    <w:rsid w:val="009A2EA9"/>
    <w:rsid w:val="009A40EF"/>
    <w:rsid w:val="009B0A7B"/>
    <w:rsid w:val="009B105F"/>
    <w:rsid w:val="009B173E"/>
    <w:rsid w:val="009B27C2"/>
    <w:rsid w:val="009B42D1"/>
    <w:rsid w:val="009B4A30"/>
    <w:rsid w:val="009B5EDA"/>
    <w:rsid w:val="009C0297"/>
    <w:rsid w:val="009C1B7F"/>
    <w:rsid w:val="009C511C"/>
    <w:rsid w:val="009C68B5"/>
    <w:rsid w:val="009C6CB9"/>
    <w:rsid w:val="009C6F69"/>
    <w:rsid w:val="009D2B49"/>
    <w:rsid w:val="009D3578"/>
    <w:rsid w:val="009D4BBC"/>
    <w:rsid w:val="009D5C2A"/>
    <w:rsid w:val="009D5EA2"/>
    <w:rsid w:val="009D6418"/>
    <w:rsid w:val="009D7B07"/>
    <w:rsid w:val="009E2770"/>
    <w:rsid w:val="009E3DAA"/>
    <w:rsid w:val="009E461B"/>
    <w:rsid w:val="009E4B48"/>
    <w:rsid w:val="009E5742"/>
    <w:rsid w:val="009E786A"/>
    <w:rsid w:val="009F19D4"/>
    <w:rsid w:val="009F57F6"/>
    <w:rsid w:val="009F77F8"/>
    <w:rsid w:val="00A00E36"/>
    <w:rsid w:val="00A00E73"/>
    <w:rsid w:val="00A01CD9"/>
    <w:rsid w:val="00A0342C"/>
    <w:rsid w:val="00A0551C"/>
    <w:rsid w:val="00A12058"/>
    <w:rsid w:val="00A12291"/>
    <w:rsid w:val="00A129F4"/>
    <w:rsid w:val="00A1499E"/>
    <w:rsid w:val="00A15F52"/>
    <w:rsid w:val="00A2110F"/>
    <w:rsid w:val="00A22DD8"/>
    <w:rsid w:val="00A23639"/>
    <w:rsid w:val="00A244A2"/>
    <w:rsid w:val="00A24963"/>
    <w:rsid w:val="00A32E1C"/>
    <w:rsid w:val="00A32F6D"/>
    <w:rsid w:val="00A3367E"/>
    <w:rsid w:val="00A3444F"/>
    <w:rsid w:val="00A35441"/>
    <w:rsid w:val="00A36835"/>
    <w:rsid w:val="00A37B47"/>
    <w:rsid w:val="00A40A29"/>
    <w:rsid w:val="00A40CC1"/>
    <w:rsid w:val="00A41EAD"/>
    <w:rsid w:val="00A438A2"/>
    <w:rsid w:val="00A43B2D"/>
    <w:rsid w:val="00A46F07"/>
    <w:rsid w:val="00A47052"/>
    <w:rsid w:val="00A5218B"/>
    <w:rsid w:val="00A52715"/>
    <w:rsid w:val="00A53015"/>
    <w:rsid w:val="00A53803"/>
    <w:rsid w:val="00A54334"/>
    <w:rsid w:val="00A5495D"/>
    <w:rsid w:val="00A57CEA"/>
    <w:rsid w:val="00A600B2"/>
    <w:rsid w:val="00A61D40"/>
    <w:rsid w:val="00A6217B"/>
    <w:rsid w:val="00A62DA3"/>
    <w:rsid w:val="00A64BAD"/>
    <w:rsid w:val="00A7244A"/>
    <w:rsid w:val="00A725A5"/>
    <w:rsid w:val="00A735D0"/>
    <w:rsid w:val="00A807B6"/>
    <w:rsid w:val="00A81124"/>
    <w:rsid w:val="00A81E33"/>
    <w:rsid w:val="00A822A9"/>
    <w:rsid w:val="00A839DB"/>
    <w:rsid w:val="00A83FBA"/>
    <w:rsid w:val="00A84D03"/>
    <w:rsid w:val="00A851A9"/>
    <w:rsid w:val="00A85298"/>
    <w:rsid w:val="00A86A77"/>
    <w:rsid w:val="00A8741B"/>
    <w:rsid w:val="00A90FCE"/>
    <w:rsid w:val="00A9267C"/>
    <w:rsid w:val="00A95042"/>
    <w:rsid w:val="00A95771"/>
    <w:rsid w:val="00A962A2"/>
    <w:rsid w:val="00A97A27"/>
    <w:rsid w:val="00A97A42"/>
    <w:rsid w:val="00AA13E6"/>
    <w:rsid w:val="00AA22FB"/>
    <w:rsid w:val="00AA2D3F"/>
    <w:rsid w:val="00AA537F"/>
    <w:rsid w:val="00AA629E"/>
    <w:rsid w:val="00AA6514"/>
    <w:rsid w:val="00AB0670"/>
    <w:rsid w:val="00AB0DDB"/>
    <w:rsid w:val="00AB442E"/>
    <w:rsid w:val="00AB4F30"/>
    <w:rsid w:val="00AB55DA"/>
    <w:rsid w:val="00AB5C34"/>
    <w:rsid w:val="00AC47C1"/>
    <w:rsid w:val="00AC4EBE"/>
    <w:rsid w:val="00AC505B"/>
    <w:rsid w:val="00AC5493"/>
    <w:rsid w:val="00AC5BEC"/>
    <w:rsid w:val="00AC77D8"/>
    <w:rsid w:val="00AC7EA8"/>
    <w:rsid w:val="00AD0A45"/>
    <w:rsid w:val="00AD37B4"/>
    <w:rsid w:val="00AD584A"/>
    <w:rsid w:val="00AE0C6A"/>
    <w:rsid w:val="00AE1516"/>
    <w:rsid w:val="00AE34DF"/>
    <w:rsid w:val="00AE6CB2"/>
    <w:rsid w:val="00AF3F80"/>
    <w:rsid w:val="00AF4715"/>
    <w:rsid w:val="00AF7A4E"/>
    <w:rsid w:val="00AF7A98"/>
    <w:rsid w:val="00B00946"/>
    <w:rsid w:val="00B014EC"/>
    <w:rsid w:val="00B01E50"/>
    <w:rsid w:val="00B03C82"/>
    <w:rsid w:val="00B06A1D"/>
    <w:rsid w:val="00B06EDE"/>
    <w:rsid w:val="00B07F2D"/>
    <w:rsid w:val="00B130F5"/>
    <w:rsid w:val="00B13203"/>
    <w:rsid w:val="00B1489D"/>
    <w:rsid w:val="00B14C0E"/>
    <w:rsid w:val="00B1682A"/>
    <w:rsid w:val="00B17B20"/>
    <w:rsid w:val="00B21148"/>
    <w:rsid w:val="00B23F2D"/>
    <w:rsid w:val="00B23F7D"/>
    <w:rsid w:val="00B2480B"/>
    <w:rsid w:val="00B257D6"/>
    <w:rsid w:val="00B278BF"/>
    <w:rsid w:val="00B316A7"/>
    <w:rsid w:val="00B3265B"/>
    <w:rsid w:val="00B32FF1"/>
    <w:rsid w:val="00B338CA"/>
    <w:rsid w:val="00B357C7"/>
    <w:rsid w:val="00B367AA"/>
    <w:rsid w:val="00B37309"/>
    <w:rsid w:val="00B419F9"/>
    <w:rsid w:val="00B41A90"/>
    <w:rsid w:val="00B427C7"/>
    <w:rsid w:val="00B42AAD"/>
    <w:rsid w:val="00B43F1A"/>
    <w:rsid w:val="00B46FE2"/>
    <w:rsid w:val="00B471D9"/>
    <w:rsid w:val="00B501C4"/>
    <w:rsid w:val="00B50337"/>
    <w:rsid w:val="00B51355"/>
    <w:rsid w:val="00B537B5"/>
    <w:rsid w:val="00B55355"/>
    <w:rsid w:val="00B55484"/>
    <w:rsid w:val="00B563F8"/>
    <w:rsid w:val="00B5715F"/>
    <w:rsid w:val="00B618F8"/>
    <w:rsid w:val="00B61A45"/>
    <w:rsid w:val="00B62D46"/>
    <w:rsid w:val="00B72D69"/>
    <w:rsid w:val="00B7437A"/>
    <w:rsid w:val="00B77ED3"/>
    <w:rsid w:val="00B8220E"/>
    <w:rsid w:val="00B82316"/>
    <w:rsid w:val="00B84429"/>
    <w:rsid w:val="00B851B6"/>
    <w:rsid w:val="00B861D6"/>
    <w:rsid w:val="00B879CA"/>
    <w:rsid w:val="00B912BF"/>
    <w:rsid w:val="00B914FE"/>
    <w:rsid w:val="00B9159F"/>
    <w:rsid w:val="00B9343C"/>
    <w:rsid w:val="00B97CEE"/>
    <w:rsid w:val="00BA01C7"/>
    <w:rsid w:val="00BA4101"/>
    <w:rsid w:val="00BA4369"/>
    <w:rsid w:val="00BA5F55"/>
    <w:rsid w:val="00BA6D6F"/>
    <w:rsid w:val="00BB2E35"/>
    <w:rsid w:val="00BC13E1"/>
    <w:rsid w:val="00BC13F3"/>
    <w:rsid w:val="00BC17B0"/>
    <w:rsid w:val="00BC5D60"/>
    <w:rsid w:val="00BC6EDB"/>
    <w:rsid w:val="00BC7C95"/>
    <w:rsid w:val="00BD501A"/>
    <w:rsid w:val="00BD6D52"/>
    <w:rsid w:val="00BD7693"/>
    <w:rsid w:val="00BE3649"/>
    <w:rsid w:val="00BE57EB"/>
    <w:rsid w:val="00BE6A54"/>
    <w:rsid w:val="00BE6EE9"/>
    <w:rsid w:val="00BE70A9"/>
    <w:rsid w:val="00BF08CC"/>
    <w:rsid w:val="00BF1F6D"/>
    <w:rsid w:val="00BF23CD"/>
    <w:rsid w:val="00BF2BC0"/>
    <w:rsid w:val="00BF3A0A"/>
    <w:rsid w:val="00BF45EA"/>
    <w:rsid w:val="00BF7540"/>
    <w:rsid w:val="00BF75A5"/>
    <w:rsid w:val="00C025A8"/>
    <w:rsid w:val="00C07F0F"/>
    <w:rsid w:val="00C10AE4"/>
    <w:rsid w:val="00C14514"/>
    <w:rsid w:val="00C146E4"/>
    <w:rsid w:val="00C174BE"/>
    <w:rsid w:val="00C20118"/>
    <w:rsid w:val="00C2193D"/>
    <w:rsid w:val="00C234E8"/>
    <w:rsid w:val="00C23913"/>
    <w:rsid w:val="00C25539"/>
    <w:rsid w:val="00C26357"/>
    <w:rsid w:val="00C26370"/>
    <w:rsid w:val="00C2785E"/>
    <w:rsid w:val="00C30EBA"/>
    <w:rsid w:val="00C31829"/>
    <w:rsid w:val="00C333A0"/>
    <w:rsid w:val="00C35056"/>
    <w:rsid w:val="00C3558D"/>
    <w:rsid w:val="00C3664B"/>
    <w:rsid w:val="00C40BD9"/>
    <w:rsid w:val="00C43165"/>
    <w:rsid w:val="00C43CAF"/>
    <w:rsid w:val="00C441DB"/>
    <w:rsid w:val="00C449C4"/>
    <w:rsid w:val="00C44C16"/>
    <w:rsid w:val="00C459C8"/>
    <w:rsid w:val="00C45D04"/>
    <w:rsid w:val="00C46AB0"/>
    <w:rsid w:val="00C53B74"/>
    <w:rsid w:val="00C5464A"/>
    <w:rsid w:val="00C556C4"/>
    <w:rsid w:val="00C571B0"/>
    <w:rsid w:val="00C61DA5"/>
    <w:rsid w:val="00C6398E"/>
    <w:rsid w:val="00C71BEE"/>
    <w:rsid w:val="00C71EB1"/>
    <w:rsid w:val="00C72714"/>
    <w:rsid w:val="00C7289E"/>
    <w:rsid w:val="00C73F31"/>
    <w:rsid w:val="00C75D0A"/>
    <w:rsid w:val="00C76B02"/>
    <w:rsid w:val="00C846FB"/>
    <w:rsid w:val="00C85D80"/>
    <w:rsid w:val="00C879E1"/>
    <w:rsid w:val="00C90319"/>
    <w:rsid w:val="00C91B95"/>
    <w:rsid w:val="00C91FF6"/>
    <w:rsid w:val="00C921D5"/>
    <w:rsid w:val="00C934C2"/>
    <w:rsid w:val="00C94274"/>
    <w:rsid w:val="00C953DC"/>
    <w:rsid w:val="00C95746"/>
    <w:rsid w:val="00C97E7F"/>
    <w:rsid w:val="00CA4DED"/>
    <w:rsid w:val="00CA4F81"/>
    <w:rsid w:val="00CA51A2"/>
    <w:rsid w:val="00CA51BC"/>
    <w:rsid w:val="00CA574E"/>
    <w:rsid w:val="00CA7492"/>
    <w:rsid w:val="00CB3FAE"/>
    <w:rsid w:val="00CB673C"/>
    <w:rsid w:val="00CC098D"/>
    <w:rsid w:val="00CD0480"/>
    <w:rsid w:val="00CD130F"/>
    <w:rsid w:val="00CD33FC"/>
    <w:rsid w:val="00CD54A7"/>
    <w:rsid w:val="00CD60A0"/>
    <w:rsid w:val="00CD6601"/>
    <w:rsid w:val="00CD668D"/>
    <w:rsid w:val="00CD71A3"/>
    <w:rsid w:val="00CD73E0"/>
    <w:rsid w:val="00CE11E8"/>
    <w:rsid w:val="00CE6D08"/>
    <w:rsid w:val="00CE7240"/>
    <w:rsid w:val="00CF30A4"/>
    <w:rsid w:val="00CF3C2C"/>
    <w:rsid w:val="00CF404C"/>
    <w:rsid w:val="00CF4ACC"/>
    <w:rsid w:val="00D00F22"/>
    <w:rsid w:val="00D0143B"/>
    <w:rsid w:val="00D01C91"/>
    <w:rsid w:val="00D02D0B"/>
    <w:rsid w:val="00D03F0E"/>
    <w:rsid w:val="00D0466D"/>
    <w:rsid w:val="00D05933"/>
    <w:rsid w:val="00D05F73"/>
    <w:rsid w:val="00D10127"/>
    <w:rsid w:val="00D106AA"/>
    <w:rsid w:val="00D12BFB"/>
    <w:rsid w:val="00D136DA"/>
    <w:rsid w:val="00D1447F"/>
    <w:rsid w:val="00D1484D"/>
    <w:rsid w:val="00D1636B"/>
    <w:rsid w:val="00D17FB9"/>
    <w:rsid w:val="00D20D91"/>
    <w:rsid w:val="00D20F4F"/>
    <w:rsid w:val="00D22674"/>
    <w:rsid w:val="00D268C1"/>
    <w:rsid w:val="00D26AB2"/>
    <w:rsid w:val="00D333C6"/>
    <w:rsid w:val="00D43EF7"/>
    <w:rsid w:val="00D44A2A"/>
    <w:rsid w:val="00D44A8A"/>
    <w:rsid w:val="00D467B6"/>
    <w:rsid w:val="00D47DFF"/>
    <w:rsid w:val="00D50383"/>
    <w:rsid w:val="00D5314E"/>
    <w:rsid w:val="00D54B81"/>
    <w:rsid w:val="00D5530C"/>
    <w:rsid w:val="00D57728"/>
    <w:rsid w:val="00D651D6"/>
    <w:rsid w:val="00D67A70"/>
    <w:rsid w:val="00D71139"/>
    <w:rsid w:val="00D73474"/>
    <w:rsid w:val="00D74401"/>
    <w:rsid w:val="00D745D4"/>
    <w:rsid w:val="00D75011"/>
    <w:rsid w:val="00D76600"/>
    <w:rsid w:val="00D77512"/>
    <w:rsid w:val="00D80643"/>
    <w:rsid w:val="00D82040"/>
    <w:rsid w:val="00D82086"/>
    <w:rsid w:val="00D83C2A"/>
    <w:rsid w:val="00D85D69"/>
    <w:rsid w:val="00D87AED"/>
    <w:rsid w:val="00D87D14"/>
    <w:rsid w:val="00D9088C"/>
    <w:rsid w:val="00D9239B"/>
    <w:rsid w:val="00D92498"/>
    <w:rsid w:val="00D92D92"/>
    <w:rsid w:val="00D93A5E"/>
    <w:rsid w:val="00D965EF"/>
    <w:rsid w:val="00D97523"/>
    <w:rsid w:val="00DA041B"/>
    <w:rsid w:val="00DA3351"/>
    <w:rsid w:val="00DA350D"/>
    <w:rsid w:val="00DA47F6"/>
    <w:rsid w:val="00DA4B2F"/>
    <w:rsid w:val="00DA5132"/>
    <w:rsid w:val="00DA6163"/>
    <w:rsid w:val="00DA672E"/>
    <w:rsid w:val="00DA6799"/>
    <w:rsid w:val="00DA6F20"/>
    <w:rsid w:val="00DB02F2"/>
    <w:rsid w:val="00DB259D"/>
    <w:rsid w:val="00DB26BC"/>
    <w:rsid w:val="00DB3A23"/>
    <w:rsid w:val="00DB4AF2"/>
    <w:rsid w:val="00DB5417"/>
    <w:rsid w:val="00DC06A6"/>
    <w:rsid w:val="00DC2154"/>
    <w:rsid w:val="00DC2BAE"/>
    <w:rsid w:val="00DC307F"/>
    <w:rsid w:val="00DC3CC5"/>
    <w:rsid w:val="00DC4709"/>
    <w:rsid w:val="00DC5C45"/>
    <w:rsid w:val="00DC70F6"/>
    <w:rsid w:val="00DD053F"/>
    <w:rsid w:val="00DD14C5"/>
    <w:rsid w:val="00DD39C9"/>
    <w:rsid w:val="00DD3B7C"/>
    <w:rsid w:val="00DD4B96"/>
    <w:rsid w:val="00DD5CCA"/>
    <w:rsid w:val="00DE1BD5"/>
    <w:rsid w:val="00DE2E70"/>
    <w:rsid w:val="00DE3C58"/>
    <w:rsid w:val="00DE46CC"/>
    <w:rsid w:val="00DE58CA"/>
    <w:rsid w:val="00DF0F01"/>
    <w:rsid w:val="00DF5170"/>
    <w:rsid w:val="00DF56DA"/>
    <w:rsid w:val="00E01A8C"/>
    <w:rsid w:val="00E034C6"/>
    <w:rsid w:val="00E04B23"/>
    <w:rsid w:val="00E04D90"/>
    <w:rsid w:val="00E07051"/>
    <w:rsid w:val="00E077A1"/>
    <w:rsid w:val="00E109D5"/>
    <w:rsid w:val="00E1518D"/>
    <w:rsid w:val="00E15C16"/>
    <w:rsid w:val="00E16F4B"/>
    <w:rsid w:val="00E1712C"/>
    <w:rsid w:val="00E17B7E"/>
    <w:rsid w:val="00E2073A"/>
    <w:rsid w:val="00E316A2"/>
    <w:rsid w:val="00E319FA"/>
    <w:rsid w:val="00E32AAB"/>
    <w:rsid w:val="00E32C2F"/>
    <w:rsid w:val="00E33699"/>
    <w:rsid w:val="00E34271"/>
    <w:rsid w:val="00E35045"/>
    <w:rsid w:val="00E356B4"/>
    <w:rsid w:val="00E35893"/>
    <w:rsid w:val="00E35D81"/>
    <w:rsid w:val="00E35F30"/>
    <w:rsid w:val="00E4077E"/>
    <w:rsid w:val="00E40901"/>
    <w:rsid w:val="00E40D62"/>
    <w:rsid w:val="00E4136E"/>
    <w:rsid w:val="00E41C43"/>
    <w:rsid w:val="00E4261D"/>
    <w:rsid w:val="00E52D16"/>
    <w:rsid w:val="00E53A04"/>
    <w:rsid w:val="00E55672"/>
    <w:rsid w:val="00E5671E"/>
    <w:rsid w:val="00E60750"/>
    <w:rsid w:val="00E60AFB"/>
    <w:rsid w:val="00E64DD8"/>
    <w:rsid w:val="00E67397"/>
    <w:rsid w:val="00E71D0A"/>
    <w:rsid w:val="00E71EAA"/>
    <w:rsid w:val="00E738BF"/>
    <w:rsid w:val="00E76565"/>
    <w:rsid w:val="00E805CD"/>
    <w:rsid w:val="00E832F0"/>
    <w:rsid w:val="00E83AD2"/>
    <w:rsid w:val="00E873D7"/>
    <w:rsid w:val="00E974B2"/>
    <w:rsid w:val="00E97594"/>
    <w:rsid w:val="00E97C27"/>
    <w:rsid w:val="00E97E79"/>
    <w:rsid w:val="00EA139F"/>
    <w:rsid w:val="00EA3E09"/>
    <w:rsid w:val="00EA41ED"/>
    <w:rsid w:val="00EA5C3C"/>
    <w:rsid w:val="00EA5FF6"/>
    <w:rsid w:val="00EA6269"/>
    <w:rsid w:val="00EA7186"/>
    <w:rsid w:val="00EB09BF"/>
    <w:rsid w:val="00EB131A"/>
    <w:rsid w:val="00EB4224"/>
    <w:rsid w:val="00EB4BDF"/>
    <w:rsid w:val="00EB5C3C"/>
    <w:rsid w:val="00EB5E45"/>
    <w:rsid w:val="00EB7DCD"/>
    <w:rsid w:val="00EC11D5"/>
    <w:rsid w:val="00EC1E91"/>
    <w:rsid w:val="00EC4E68"/>
    <w:rsid w:val="00EC57F3"/>
    <w:rsid w:val="00ED32D0"/>
    <w:rsid w:val="00ED4AF0"/>
    <w:rsid w:val="00ED624F"/>
    <w:rsid w:val="00ED699F"/>
    <w:rsid w:val="00ED7A3E"/>
    <w:rsid w:val="00ED7DB3"/>
    <w:rsid w:val="00EE0664"/>
    <w:rsid w:val="00EE0AA9"/>
    <w:rsid w:val="00EE1374"/>
    <w:rsid w:val="00EE3AAB"/>
    <w:rsid w:val="00EE4EDC"/>
    <w:rsid w:val="00EE5456"/>
    <w:rsid w:val="00EE70A4"/>
    <w:rsid w:val="00EE7B46"/>
    <w:rsid w:val="00EF0566"/>
    <w:rsid w:val="00EF0619"/>
    <w:rsid w:val="00EF2340"/>
    <w:rsid w:val="00EF5F3E"/>
    <w:rsid w:val="00F01D75"/>
    <w:rsid w:val="00F02870"/>
    <w:rsid w:val="00F02C67"/>
    <w:rsid w:val="00F03619"/>
    <w:rsid w:val="00F04E5D"/>
    <w:rsid w:val="00F060D4"/>
    <w:rsid w:val="00F11053"/>
    <w:rsid w:val="00F142EC"/>
    <w:rsid w:val="00F166C7"/>
    <w:rsid w:val="00F209ED"/>
    <w:rsid w:val="00F20F11"/>
    <w:rsid w:val="00F213BD"/>
    <w:rsid w:val="00F21C6E"/>
    <w:rsid w:val="00F23820"/>
    <w:rsid w:val="00F255D8"/>
    <w:rsid w:val="00F27599"/>
    <w:rsid w:val="00F30084"/>
    <w:rsid w:val="00F32630"/>
    <w:rsid w:val="00F34B93"/>
    <w:rsid w:val="00F3516B"/>
    <w:rsid w:val="00F370F3"/>
    <w:rsid w:val="00F4104B"/>
    <w:rsid w:val="00F423C8"/>
    <w:rsid w:val="00F42757"/>
    <w:rsid w:val="00F4393E"/>
    <w:rsid w:val="00F45371"/>
    <w:rsid w:val="00F52139"/>
    <w:rsid w:val="00F537C3"/>
    <w:rsid w:val="00F53FB9"/>
    <w:rsid w:val="00F55C46"/>
    <w:rsid w:val="00F57805"/>
    <w:rsid w:val="00F57E23"/>
    <w:rsid w:val="00F63704"/>
    <w:rsid w:val="00F64990"/>
    <w:rsid w:val="00F70890"/>
    <w:rsid w:val="00F7242A"/>
    <w:rsid w:val="00F74DFF"/>
    <w:rsid w:val="00F76A56"/>
    <w:rsid w:val="00F76B1F"/>
    <w:rsid w:val="00F77C64"/>
    <w:rsid w:val="00F812C2"/>
    <w:rsid w:val="00F813BD"/>
    <w:rsid w:val="00F82001"/>
    <w:rsid w:val="00F83263"/>
    <w:rsid w:val="00F855B9"/>
    <w:rsid w:val="00F85942"/>
    <w:rsid w:val="00F859BC"/>
    <w:rsid w:val="00F85E0A"/>
    <w:rsid w:val="00F9116D"/>
    <w:rsid w:val="00F9230B"/>
    <w:rsid w:val="00F95AB6"/>
    <w:rsid w:val="00FA0375"/>
    <w:rsid w:val="00FA4B55"/>
    <w:rsid w:val="00FA4CAF"/>
    <w:rsid w:val="00FB0DC1"/>
    <w:rsid w:val="00FB10C0"/>
    <w:rsid w:val="00FB2D4D"/>
    <w:rsid w:val="00FB4E07"/>
    <w:rsid w:val="00FB5768"/>
    <w:rsid w:val="00FB59A2"/>
    <w:rsid w:val="00FB7CF9"/>
    <w:rsid w:val="00FC483E"/>
    <w:rsid w:val="00FC51E1"/>
    <w:rsid w:val="00FC681A"/>
    <w:rsid w:val="00FD27C7"/>
    <w:rsid w:val="00FD4878"/>
    <w:rsid w:val="00FD4E08"/>
    <w:rsid w:val="00FD5FA9"/>
    <w:rsid w:val="00FD6969"/>
    <w:rsid w:val="00FD6B8A"/>
    <w:rsid w:val="00FD7FF0"/>
    <w:rsid w:val="00FE0B47"/>
    <w:rsid w:val="00FE0CBC"/>
    <w:rsid w:val="00FE1746"/>
    <w:rsid w:val="00FE199A"/>
    <w:rsid w:val="00FE1B92"/>
    <w:rsid w:val="00FE2424"/>
    <w:rsid w:val="00FE53CC"/>
    <w:rsid w:val="00FE5429"/>
    <w:rsid w:val="00FE6B4D"/>
    <w:rsid w:val="00FE724A"/>
    <w:rsid w:val="00FE73A3"/>
    <w:rsid w:val="00FE7796"/>
    <w:rsid w:val="00FF0850"/>
    <w:rsid w:val="00FF6594"/>
    <w:rsid w:val="00FF6B7E"/>
    <w:rsid w:val="00FF755C"/>
    <w:rsid w:val="011031E6"/>
    <w:rsid w:val="01167027"/>
    <w:rsid w:val="01F94DA0"/>
    <w:rsid w:val="0215771F"/>
    <w:rsid w:val="024F096D"/>
    <w:rsid w:val="02693733"/>
    <w:rsid w:val="02B56978"/>
    <w:rsid w:val="02E06668"/>
    <w:rsid w:val="033779C9"/>
    <w:rsid w:val="03730246"/>
    <w:rsid w:val="049A7F93"/>
    <w:rsid w:val="059705B7"/>
    <w:rsid w:val="059A11C6"/>
    <w:rsid w:val="05AD1B88"/>
    <w:rsid w:val="05BA2EFA"/>
    <w:rsid w:val="05FD48BE"/>
    <w:rsid w:val="06202AE3"/>
    <w:rsid w:val="067304F4"/>
    <w:rsid w:val="067D77AC"/>
    <w:rsid w:val="06A74829"/>
    <w:rsid w:val="06AE6F96"/>
    <w:rsid w:val="06FC4B75"/>
    <w:rsid w:val="075F6EB2"/>
    <w:rsid w:val="07AF7E3A"/>
    <w:rsid w:val="080F6B2A"/>
    <w:rsid w:val="082A3964"/>
    <w:rsid w:val="084073BC"/>
    <w:rsid w:val="09007ABB"/>
    <w:rsid w:val="092C7268"/>
    <w:rsid w:val="0948563F"/>
    <w:rsid w:val="099A53BF"/>
    <w:rsid w:val="099E26EF"/>
    <w:rsid w:val="0A9B28F7"/>
    <w:rsid w:val="0AAA0954"/>
    <w:rsid w:val="0AC509D7"/>
    <w:rsid w:val="0AD32091"/>
    <w:rsid w:val="0AD8183D"/>
    <w:rsid w:val="0AE61DC4"/>
    <w:rsid w:val="0B676BA6"/>
    <w:rsid w:val="0BA77CAB"/>
    <w:rsid w:val="0C362A05"/>
    <w:rsid w:val="0D4B23B2"/>
    <w:rsid w:val="0D6C2329"/>
    <w:rsid w:val="0D7A2C98"/>
    <w:rsid w:val="0DA675E9"/>
    <w:rsid w:val="0DBC505E"/>
    <w:rsid w:val="0E533F26"/>
    <w:rsid w:val="0E54415D"/>
    <w:rsid w:val="0EFF581D"/>
    <w:rsid w:val="0FB26DAC"/>
    <w:rsid w:val="0FBF64FF"/>
    <w:rsid w:val="0FC93A62"/>
    <w:rsid w:val="0FFC5BE6"/>
    <w:rsid w:val="104F55CF"/>
    <w:rsid w:val="114C73CD"/>
    <w:rsid w:val="11897E9C"/>
    <w:rsid w:val="11C26472"/>
    <w:rsid w:val="123C3873"/>
    <w:rsid w:val="125A4E46"/>
    <w:rsid w:val="12744159"/>
    <w:rsid w:val="127A56D7"/>
    <w:rsid w:val="138660D7"/>
    <w:rsid w:val="13C67017"/>
    <w:rsid w:val="14361A0C"/>
    <w:rsid w:val="14972381"/>
    <w:rsid w:val="15A12BAA"/>
    <w:rsid w:val="15F1161D"/>
    <w:rsid w:val="16225C7A"/>
    <w:rsid w:val="16907088"/>
    <w:rsid w:val="17B12A65"/>
    <w:rsid w:val="180A596F"/>
    <w:rsid w:val="18216B7B"/>
    <w:rsid w:val="18510A99"/>
    <w:rsid w:val="18D23E29"/>
    <w:rsid w:val="191A1815"/>
    <w:rsid w:val="195F08E7"/>
    <w:rsid w:val="19914926"/>
    <w:rsid w:val="19C31523"/>
    <w:rsid w:val="1AAA2EB8"/>
    <w:rsid w:val="1AD31C39"/>
    <w:rsid w:val="1ADD6614"/>
    <w:rsid w:val="1B163BB6"/>
    <w:rsid w:val="1B4A29CD"/>
    <w:rsid w:val="1B8A22F8"/>
    <w:rsid w:val="1BD0747C"/>
    <w:rsid w:val="1BEB7EA6"/>
    <w:rsid w:val="1C4A6047"/>
    <w:rsid w:val="1C744D1F"/>
    <w:rsid w:val="1C915908"/>
    <w:rsid w:val="1C9A082F"/>
    <w:rsid w:val="1CD66CC2"/>
    <w:rsid w:val="1D305121"/>
    <w:rsid w:val="1D510BB8"/>
    <w:rsid w:val="1D747BA4"/>
    <w:rsid w:val="1D874BDD"/>
    <w:rsid w:val="1DA653E3"/>
    <w:rsid w:val="1DA65E17"/>
    <w:rsid w:val="1E1660C5"/>
    <w:rsid w:val="1EC649E5"/>
    <w:rsid w:val="200D799B"/>
    <w:rsid w:val="2031368A"/>
    <w:rsid w:val="206733F1"/>
    <w:rsid w:val="20761213"/>
    <w:rsid w:val="219274B9"/>
    <w:rsid w:val="21B955C6"/>
    <w:rsid w:val="22A84D71"/>
    <w:rsid w:val="22D64075"/>
    <w:rsid w:val="23061875"/>
    <w:rsid w:val="231B417D"/>
    <w:rsid w:val="234E6301"/>
    <w:rsid w:val="235B27CC"/>
    <w:rsid w:val="23720241"/>
    <w:rsid w:val="24572F93"/>
    <w:rsid w:val="24912949"/>
    <w:rsid w:val="24970470"/>
    <w:rsid w:val="24FE3706"/>
    <w:rsid w:val="250E1D79"/>
    <w:rsid w:val="25CB1E8B"/>
    <w:rsid w:val="25E140B7"/>
    <w:rsid w:val="260A0E9D"/>
    <w:rsid w:val="261A38FC"/>
    <w:rsid w:val="264877E1"/>
    <w:rsid w:val="267C1A48"/>
    <w:rsid w:val="269F0C21"/>
    <w:rsid w:val="279E4159"/>
    <w:rsid w:val="27EF4E0D"/>
    <w:rsid w:val="28420898"/>
    <w:rsid w:val="2869619A"/>
    <w:rsid w:val="28920A3E"/>
    <w:rsid w:val="28C80903"/>
    <w:rsid w:val="28D441B8"/>
    <w:rsid w:val="28E31299"/>
    <w:rsid w:val="29485689"/>
    <w:rsid w:val="295D4698"/>
    <w:rsid w:val="29955C15"/>
    <w:rsid w:val="2A4D2B6D"/>
    <w:rsid w:val="2AD25A1D"/>
    <w:rsid w:val="2AD83F7C"/>
    <w:rsid w:val="2AE65EE2"/>
    <w:rsid w:val="2AFA28CA"/>
    <w:rsid w:val="2B752B15"/>
    <w:rsid w:val="2B852ADC"/>
    <w:rsid w:val="2C130C7C"/>
    <w:rsid w:val="2C453860"/>
    <w:rsid w:val="2C46226B"/>
    <w:rsid w:val="2C545002"/>
    <w:rsid w:val="2C583D4C"/>
    <w:rsid w:val="2C8B4122"/>
    <w:rsid w:val="2CB368C6"/>
    <w:rsid w:val="2CF90358"/>
    <w:rsid w:val="2D160F26"/>
    <w:rsid w:val="2D373F75"/>
    <w:rsid w:val="2D46091B"/>
    <w:rsid w:val="2D487473"/>
    <w:rsid w:val="2D6942AF"/>
    <w:rsid w:val="2DA27975"/>
    <w:rsid w:val="2E1F2D74"/>
    <w:rsid w:val="2E913A09"/>
    <w:rsid w:val="2EC72CFC"/>
    <w:rsid w:val="2EF27E36"/>
    <w:rsid w:val="2F81343F"/>
    <w:rsid w:val="2F8F798E"/>
    <w:rsid w:val="2F9E4AD1"/>
    <w:rsid w:val="2FA80355"/>
    <w:rsid w:val="30204B81"/>
    <w:rsid w:val="313D4A38"/>
    <w:rsid w:val="31C12394"/>
    <w:rsid w:val="31C918C9"/>
    <w:rsid w:val="31E302DD"/>
    <w:rsid w:val="31F105F9"/>
    <w:rsid w:val="32006F4B"/>
    <w:rsid w:val="322D17D7"/>
    <w:rsid w:val="323668DE"/>
    <w:rsid w:val="32470AEB"/>
    <w:rsid w:val="325D20BC"/>
    <w:rsid w:val="326A5D92"/>
    <w:rsid w:val="327D776A"/>
    <w:rsid w:val="32B12408"/>
    <w:rsid w:val="32C928EE"/>
    <w:rsid w:val="32D3264E"/>
    <w:rsid w:val="330662B0"/>
    <w:rsid w:val="336F1369"/>
    <w:rsid w:val="33CA7A40"/>
    <w:rsid w:val="341345D7"/>
    <w:rsid w:val="348953EB"/>
    <w:rsid w:val="34A57FC6"/>
    <w:rsid w:val="34B00F04"/>
    <w:rsid w:val="34BA1455"/>
    <w:rsid w:val="34F271C2"/>
    <w:rsid w:val="3538471B"/>
    <w:rsid w:val="35583DAF"/>
    <w:rsid w:val="35762582"/>
    <w:rsid w:val="359E1FAA"/>
    <w:rsid w:val="35D54660"/>
    <w:rsid w:val="36015455"/>
    <w:rsid w:val="36194C10"/>
    <w:rsid w:val="36822566"/>
    <w:rsid w:val="36DF5796"/>
    <w:rsid w:val="36E11F14"/>
    <w:rsid w:val="37797999"/>
    <w:rsid w:val="379D15D1"/>
    <w:rsid w:val="37C130EE"/>
    <w:rsid w:val="3830716D"/>
    <w:rsid w:val="386A5CFA"/>
    <w:rsid w:val="38F92413"/>
    <w:rsid w:val="394915ED"/>
    <w:rsid w:val="39602BBD"/>
    <w:rsid w:val="397877DC"/>
    <w:rsid w:val="39DA652D"/>
    <w:rsid w:val="3A5F274A"/>
    <w:rsid w:val="3B3A743F"/>
    <w:rsid w:val="3B854432"/>
    <w:rsid w:val="3BE35F62"/>
    <w:rsid w:val="3BF05009"/>
    <w:rsid w:val="3C4D3F01"/>
    <w:rsid w:val="3C7626F9"/>
    <w:rsid w:val="3C883773"/>
    <w:rsid w:val="3CAF6892"/>
    <w:rsid w:val="3D271C45"/>
    <w:rsid w:val="3D566902"/>
    <w:rsid w:val="3D58620A"/>
    <w:rsid w:val="3D7824A0"/>
    <w:rsid w:val="3DBA4867"/>
    <w:rsid w:val="3DFF227A"/>
    <w:rsid w:val="3E1050C1"/>
    <w:rsid w:val="3E2D4F2F"/>
    <w:rsid w:val="3E575ACD"/>
    <w:rsid w:val="3F910028"/>
    <w:rsid w:val="3FA139F9"/>
    <w:rsid w:val="3FAC02A8"/>
    <w:rsid w:val="3FE257A6"/>
    <w:rsid w:val="4013200C"/>
    <w:rsid w:val="403A57EB"/>
    <w:rsid w:val="406024E6"/>
    <w:rsid w:val="409E221E"/>
    <w:rsid w:val="414508EB"/>
    <w:rsid w:val="416F45EC"/>
    <w:rsid w:val="41792343"/>
    <w:rsid w:val="41A0352A"/>
    <w:rsid w:val="41F30347"/>
    <w:rsid w:val="42576B28"/>
    <w:rsid w:val="42884BB0"/>
    <w:rsid w:val="42BA70B7"/>
    <w:rsid w:val="42DE4D32"/>
    <w:rsid w:val="430976F7"/>
    <w:rsid w:val="43BD6E2B"/>
    <w:rsid w:val="44047066"/>
    <w:rsid w:val="44141B09"/>
    <w:rsid w:val="444E7AB7"/>
    <w:rsid w:val="44FE19C0"/>
    <w:rsid w:val="45486BFC"/>
    <w:rsid w:val="454B2248"/>
    <w:rsid w:val="4557299B"/>
    <w:rsid w:val="459E05CA"/>
    <w:rsid w:val="45B65C78"/>
    <w:rsid w:val="45CA0CBD"/>
    <w:rsid w:val="45DD5596"/>
    <w:rsid w:val="45FB77CB"/>
    <w:rsid w:val="46235115"/>
    <w:rsid w:val="4649213E"/>
    <w:rsid w:val="46F8008E"/>
    <w:rsid w:val="47B40579"/>
    <w:rsid w:val="47C33389"/>
    <w:rsid w:val="47D209FF"/>
    <w:rsid w:val="481F11D0"/>
    <w:rsid w:val="494D658F"/>
    <w:rsid w:val="4AA206B4"/>
    <w:rsid w:val="4AD93E52"/>
    <w:rsid w:val="4ADB2C4A"/>
    <w:rsid w:val="4AEC627C"/>
    <w:rsid w:val="4AEE5B50"/>
    <w:rsid w:val="4B35315E"/>
    <w:rsid w:val="4B3F63AB"/>
    <w:rsid w:val="4B4C642F"/>
    <w:rsid w:val="4B6742F0"/>
    <w:rsid w:val="4B766819"/>
    <w:rsid w:val="4BCA036B"/>
    <w:rsid w:val="4BD20FCE"/>
    <w:rsid w:val="4C2F3698"/>
    <w:rsid w:val="4C334438"/>
    <w:rsid w:val="4D4A41CC"/>
    <w:rsid w:val="4D5D0D6B"/>
    <w:rsid w:val="4D9724CF"/>
    <w:rsid w:val="4DAA1D6E"/>
    <w:rsid w:val="4DBE5CAD"/>
    <w:rsid w:val="4DD54F37"/>
    <w:rsid w:val="4E41068C"/>
    <w:rsid w:val="4F4D3939"/>
    <w:rsid w:val="4FA83CC1"/>
    <w:rsid w:val="4FDC515A"/>
    <w:rsid w:val="500454E6"/>
    <w:rsid w:val="5010374F"/>
    <w:rsid w:val="507712A6"/>
    <w:rsid w:val="50CC6933"/>
    <w:rsid w:val="50F6333B"/>
    <w:rsid w:val="51C55131"/>
    <w:rsid w:val="51D32A1D"/>
    <w:rsid w:val="51E63A25"/>
    <w:rsid w:val="51FD2506"/>
    <w:rsid w:val="5207018F"/>
    <w:rsid w:val="526856F0"/>
    <w:rsid w:val="529F2249"/>
    <w:rsid w:val="52A33D72"/>
    <w:rsid w:val="52D7336D"/>
    <w:rsid w:val="52F40701"/>
    <w:rsid w:val="5321350E"/>
    <w:rsid w:val="534558E3"/>
    <w:rsid w:val="53BA7A28"/>
    <w:rsid w:val="54240834"/>
    <w:rsid w:val="547277F2"/>
    <w:rsid w:val="54731328"/>
    <w:rsid w:val="548A53AA"/>
    <w:rsid w:val="54AD6A7C"/>
    <w:rsid w:val="54AE00FE"/>
    <w:rsid w:val="54CA13DC"/>
    <w:rsid w:val="54DE2973"/>
    <w:rsid w:val="556C5FEF"/>
    <w:rsid w:val="557E3F74"/>
    <w:rsid w:val="55867B03"/>
    <w:rsid w:val="558F7F2F"/>
    <w:rsid w:val="55985036"/>
    <w:rsid w:val="55A439DB"/>
    <w:rsid w:val="55A91672"/>
    <w:rsid w:val="5619022D"/>
    <w:rsid w:val="562A2C1B"/>
    <w:rsid w:val="56E147BB"/>
    <w:rsid w:val="57BB0F3A"/>
    <w:rsid w:val="58B959EF"/>
    <w:rsid w:val="58E6780D"/>
    <w:rsid w:val="592A1893"/>
    <w:rsid w:val="59471624"/>
    <w:rsid w:val="5964586E"/>
    <w:rsid w:val="59F70789"/>
    <w:rsid w:val="5A2F36F3"/>
    <w:rsid w:val="5A3B2434"/>
    <w:rsid w:val="5B6836FC"/>
    <w:rsid w:val="5B72774B"/>
    <w:rsid w:val="5B7A6F8C"/>
    <w:rsid w:val="5B7C7C7A"/>
    <w:rsid w:val="5B9F772B"/>
    <w:rsid w:val="5BEF34D6"/>
    <w:rsid w:val="5BFB6D50"/>
    <w:rsid w:val="5C313AEE"/>
    <w:rsid w:val="5C643EC4"/>
    <w:rsid w:val="5C9D38E9"/>
    <w:rsid w:val="5D7117CF"/>
    <w:rsid w:val="5D931102"/>
    <w:rsid w:val="5E902278"/>
    <w:rsid w:val="5EB12C47"/>
    <w:rsid w:val="5EFA466C"/>
    <w:rsid w:val="5F762093"/>
    <w:rsid w:val="5FFB68ED"/>
    <w:rsid w:val="600B26C3"/>
    <w:rsid w:val="604745DC"/>
    <w:rsid w:val="606E519E"/>
    <w:rsid w:val="60760711"/>
    <w:rsid w:val="61461931"/>
    <w:rsid w:val="61DB639E"/>
    <w:rsid w:val="61F53810"/>
    <w:rsid w:val="622540F5"/>
    <w:rsid w:val="623A44B2"/>
    <w:rsid w:val="626253CB"/>
    <w:rsid w:val="62AA45FB"/>
    <w:rsid w:val="62C60F92"/>
    <w:rsid w:val="62FF4946"/>
    <w:rsid w:val="64783A03"/>
    <w:rsid w:val="647C3D75"/>
    <w:rsid w:val="64947310"/>
    <w:rsid w:val="652B653A"/>
    <w:rsid w:val="65324A77"/>
    <w:rsid w:val="65A77EA1"/>
    <w:rsid w:val="65EB2F60"/>
    <w:rsid w:val="65F9480E"/>
    <w:rsid w:val="665E094F"/>
    <w:rsid w:val="66663169"/>
    <w:rsid w:val="666B1279"/>
    <w:rsid w:val="678A7DB0"/>
    <w:rsid w:val="67ED7463"/>
    <w:rsid w:val="680A383B"/>
    <w:rsid w:val="6816444D"/>
    <w:rsid w:val="683F7593"/>
    <w:rsid w:val="684A6092"/>
    <w:rsid w:val="684F3BD0"/>
    <w:rsid w:val="692C5D69"/>
    <w:rsid w:val="69782D5D"/>
    <w:rsid w:val="6A2E5B11"/>
    <w:rsid w:val="6A4110C0"/>
    <w:rsid w:val="6A8D0A8A"/>
    <w:rsid w:val="6A9E4885"/>
    <w:rsid w:val="6AB04778"/>
    <w:rsid w:val="6AF477D8"/>
    <w:rsid w:val="6B533A81"/>
    <w:rsid w:val="6B902CAD"/>
    <w:rsid w:val="6BA344F1"/>
    <w:rsid w:val="6C582E82"/>
    <w:rsid w:val="6C7A4D15"/>
    <w:rsid w:val="6CA125CA"/>
    <w:rsid w:val="6CB0280D"/>
    <w:rsid w:val="6CCC0737"/>
    <w:rsid w:val="6CEE7D34"/>
    <w:rsid w:val="6D11363B"/>
    <w:rsid w:val="6DA13330"/>
    <w:rsid w:val="6E453429"/>
    <w:rsid w:val="6E947E27"/>
    <w:rsid w:val="6E9D68AD"/>
    <w:rsid w:val="6F7E5FEF"/>
    <w:rsid w:val="70077E0F"/>
    <w:rsid w:val="70641FD8"/>
    <w:rsid w:val="706923E4"/>
    <w:rsid w:val="709D6E51"/>
    <w:rsid w:val="70A07075"/>
    <w:rsid w:val="70C04FE9"/>
    <w:rsid w:val="70EE5FFA"/>
    <w:rsid w:val="712E63F7"/>
    <w:rsid w:val="71566C30"/>
    <w:rsid w:val="71767512"/>
    <w:rsid w:val="71862610"/>
    <w:rsid w:val="71C32FE3"/>
    <w:rsid w:val="71E202B2"/>
    <w:rsid w:val="71E91227"/>
    <w:rsid w:val="72D80D10"/>
    <w:rsid w:val="72E44894"/>
    <w:rsid w:val="72E72D01"/>
    <w:rsid w:val="733E4FB1"/>
    <w:rsid w:val="736E6F7E"/>
    <w:rsid w:val="739509AF"/>
    <w:rsid w:val="73CD639B"/>
    <w:rsid w:val="74B104C5"/>
    <w:rsid w:val="753D0260"/>
    <w:rsid w:val="758D7F13"/>
    <w:rsid w:val="75EE27EC"/>
    <w:rsid w:val="763A78B0"/>
    <w:rsid w:val="768B09FE"/>
    <w:rsid w:val="768B0D62"/>
    <w:rsid w:val="76C90556"/>
    <w:rsid w:val="76C9109B"/>
    <w:rsid w:val="77187BC5"/>
    <w:rsid w:val="779C1F25"/>
    <w:rsid w:val="78661E84"/>
    <w:rsid w:val="78707BE6"/>
    <w:rsid w:val="78882890"/>
    <w:rsid w:val="78F32400"/>
    <w:rsid w:val="792A3948"/>
    <w:rsid w:val="793B3DA7"/>
    <w:rsid w:val="796A38C5"/>
    <w:rsid w:val="797F76B4"/>
    <w:rsid w:val="79A8143C"/>
    <w:rsid w:val="7A2A00A3"/>
    <w:rsid w:val="7A2D36EF"/>
    <w:rsid w:val="7A4E79D6"/>
    <w:rsid w:val="7A9E5E4D"/>
    <w:rsid w:val="7AFF41CC"/>
    <w:rsid w:val="7BD209F2"/>
    <w:rsid w:val="7BE2675B"/>
    <w:rsid w:val="7CA4419C"/>
    <w:rsid w:val="7CD12A58"/>
    <w:rsid w:val="7D0050EB"/>
    <w:rsid w:val="7D0F532E"/>
    <w:rsid w:val="7D545437"/>
    <w:rsid w:val="7D8C2E23"/>
    <w:rsid w:val="7DD345AE"/>
    <w:rsid w:val="7E431733"/>
    <w:rsid w:val="7EBE08C4"/>
    <w:rsid w:val="7EED7210"/>
    <w:rsid w:val="7EEE1462"/>
    <w:rsid w:val="7F590AE3"/>
    <w:rsid w:val="7F7C73FD"/>
    <w:rsid w:val="7F865359"/>
    <w:rsid w:val="7F8E0DA1"/>
    <w:rsid w:val="7F912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qFormat="1" w:uiPriority="39" w:semiHidden="0"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45"/>
    <w:qFormat/>
    <w:uiPriority w:val="1"/>
    <w:pPr>
      <w:keepNext/>
      <w:keepLines/>
      <w:spacing w:before="340" w:after="330" w:line="576" w:lineRule="auto"/>
      <w:outlineLvl w:val="0"/>
    </w:pPr>
    <w:rPr>
      <w:b/>
      <w:bCs/>
      <w:kern w:val="44"/>
      <w:sz w:val="44"/>
      <w:szCs w:val="44"/>
    </w:rPr>
  </w:style>
  <w:style w:type="paragraph" w:styleId="3">
    <w:name w:val="heading 2"/>
    <w:basedOn w:val="1"/>
    <w:next w:val="1"/>
    <w:link w:val="46"/>
    <w:unhideWhenUsed/>
    <w:qFormat/>
    <w:uiPriority w:val="9"/>
    <w:pPr>
      <w:keepNext/>
      <w:keepLines/>
      <w:spacing w:before="260" w:after="260" w:line="415" w:lineRule="auto"/>
      <w:outlineLvl w:val="1"/>
    </w:pPr>
    <w:rPr>
      <w:rFonts w:ascii="Cambria" w:hAnsi="Cambria"/>
      <w:b/>
      <w:bCs/>
      <w:kern w:val="0"/>
      <w:sz w:val="32"/>
      <w:szCs w:val="32"/>
    </w:rPr>
  </w:style>
  <w:style w:type="paragraph" w:styleId="4">
    <w:name w:val="heading 3"/>
    <w:basedOn w:val="5"/>
    <w:next w:val="1"/>
    <w:link w:val="47"/>
    <w:unhideWhenUsed/>
    <w:qFormat/>
    <w:uiPriority w:val="9"/>
    <w:pPr>
      <w:keepNext/>
      <w:keepLines/>
      <w:spacing w:before="260" w:after="260" w:line="415" w:lineRule="auto"/>
      <w:outlineLvl w:val="2"/>
    </w:pPr>
    <w:rPr>
      <w:b/>
      <w:bCs/>
      <w:sz w:val="32"/>
      <w:szCs w:val="32"/>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48"/>
    <w:unhideWhenUsed/>
    <w:qFormat/>
    <w:uiPriority w:val="0"/>
    <w:pPr>
      <w:ind w:firstLine="420"/>
    </w:pPr>
    <w:rPr>
      <w:rFonts w:ascii="等线" w:hAnsi="等线" w:cs="黑体"/>
    </w:rPr>
  </w:style>
  <w:style w:type="paragraph" w:styleId="6">
    <w:name w:val="toc 7"/>
    <w:basedOn w:val="1"/>
    <w:next w:val="1"/>
    <w:unhideWhenUsed/>
    <w:qFormat/>
    <w:uiPriority w:val="39"/>
    <w:pPr>
      <w:spacing w:line="300" w:lineRule="exact"/>
      <w:jc w:val="center"/>
    </w:pPr>
    <w:rPr>
      <w:rFonts w:ascii="宋体" w:hAnsi="宋体" w:cs="宋体"/>
      <w:b/>
      <w:bCs/>
      <w:szCs w:val="21"/>
    </w:rPr>
  </w:style>
  <w:style w:type="paragraph" w:styleId="7">
    <w:name w:val="annotation text"/>
    <w:basedOn w:val="1"/>
    <w:link w:val="49"/>
    <w:unhideWhenUsed/>
    <w:qFormat/>
    <w:uiPriority w:val="99"/>
    <w:pPr>
      <w:jc w:val="left"/>
    </w:pPr>
  </w:style>
  <w:style w:type="paragraph" w:styleId="8">
    <w:name w:val="Body Text"/>
    <w:basedOn w:val="1"/>
    <w:next w:val="6"/>
    <w:link w:val="54"/>
    <w:unhideWhenUsed/>
    <w:qFormat/>
    <w:uiPriority w:val="99"/>
    <w:pPr>
      <w:widowControl/>
      <w:spacing w:after="160"/>
      <w:jc w:val="left"/>
    </w:pPr>
    <w:rPr>
      <w:rFonts w:ascii="仿宋体" w:eastAsia="仿宋体"/>
      <w:kern w:val="0"/>
      <w:sz w:val="20"/>
      <w:lang w:eastAsia="en-US"/>
    </w:rPr>
  </w:style>
  <w:style w:type="paragraph" w:styleId="9">
    <w:name w:val="Body Text Indent"/>
    <w:basedOn w:val="1"/>
    <w:semiHidden/>
    <w:unhideWhenUsed/>
    <w:qFormat/>
    <w:uiPriority w:val="99"/>
    <w:pPr>
      <w:spacing w:after="120"/>
      <w:ind w:left="283"/>
    </w:pPr>
  </w:style>
  <w:style w:type="paragraph" w:styleId="10">
    <w:name w:val="Plain Text"/>
    <w:basedOn w:val="1"/>
    <w:link w:val="55"/>
    <w:unhideWhenUsed/>
    <w:qFormat/>
    <w:uiPriority w:val="99"/>
    <w:rPr>
      <w:rFonts w:ascii="宋体" w:hAnsi="Courier New" w:cs="Courier New"/>
      <w:szCs w:val="21"/>
    </w:rPr>
  </w:style>
  <w:style w:type="paragraph" w:styleId="11">
    <w:name w:val="endnote text"/>
    <w:basedOn w:val="1"/>
    <w:link w:val="53"/>
    <w:unhideWhenUsed/>
    <w:qFormat/>
    <w:uiPriority w:val="99"/>
    <w:pPr>
      <w:snapToGrid w:val="0"/>
      <w:jc w:val="left"/>
    </w:pPr>
    <w:rPr>
      <w:rFonts w:ascii="等线" w:hAnsi="等线" w:cs="黑体"/>
    </w:rPr>
  </w:style>
  <w:style w:type="paragraph" w:styleId="12">
    <w:name w:val="Balloon Text"/>
    <w:basedOn w:val="1"/>
    <w:link w:val="57"/>
    <w:unhideWhenUsed/>
    <w:qFormat/>
    <w:uiPriority w:val="99"/>
    <w:rPr>
      <w:rFonts w:ascii="等线" w:hAnsi="等线" w:cs="黑体"/>
      <w:sz w:val="18"/>
      <w:szCs w:val="18"/>
    </w:rPr>
  </w:style>
  <w:style w:type="paragraph" w:styleId="13">
    <w:name w:val="footer"/>
    <w:basedOn w:val="1"/>
    <w:link w:val="52"/>
    <w:unhideWhenUsed/>
    <w:qFormat/>
    <w:uiPriority w:val="99"/>
    <w:pPr>
      <w:tabs>
        <w:tab w:val="center" w:pos="4153"/>
        <w:tab w:val="right" w:pos="8306"/>
      </w:tabs>
      <w:snapToGrid w:val="0"/>
      <w:jc w:val="left"/>
    </w:pPr>
    <w:rPr>
      <w:rFonts w:ascii="等线" w:hAnsi="等线" w:cs="黑体"/>
      <w:sz w:val="18"/>
      <w:szCs w:val="18"/>
    </w:rPr>
  </w:style>
  <w:style w:type="paragraph" w:styleId="14">
    <w:name w:val="header"/>
    <w:basedOn w:val="1"/>
    <w:link w:val="51"/>
    <w:unhideWhenUsed/>
    <w:qFormat/>
    <w:uiPriority w:val="99"/>
    <w:pPr>
      <w:pBdr>
        <w:bottom w:val="single" w:color="auto" w:sz="6" w:space="1"/>
      </w:pBdr>
      <w:tabs>
        <w:tab w:val="center" w:pos="4153"/>
        <w:tab w:val="right" w:pos="8306"/>
      </w:tabs>
      <w:snapToGrid w:val="0"/>
      <w:jc w:val="center"/>
    </w:pPr>
    <w:rPr>
      <w:rFonts w:ascii="等线" w:hAnsi="等线" w:cs="黑体"/>
      <w:sz w:val="18"/>
      <w:szCs w:val="18"/>
    </w:rPr>
  </w:style>
  <w:style w:type="paragraph" w:styleId="15">
    <w:name w:val="toc 1"/>
    <w:basedOn w:val="16"/>
    <w:next w:val="2"/>
    <w:unhideWhenUsed/>
    <w:qFormat/>
    <w:uiPriority w:val="39"/>
    <w:pPr>
      <w:widowControl/>
      <w:tabs>
        <w:tab w:val="right" w:leader="dot" w:pos="9514"/>
      </w:tabs>
      <w:spacing w:line="440" w:lineRule="exact"/>
      <w:jc w:val="center"/>
    </w:pPr>
    <w:rPr>
      <w:rFonts w:eastAsia="黑体"/>
      <w:b/>
      <w:i w:val="0"/>
      <w:sz w:val="24"/>
      <w:szCs w:val="24"/>
    </w:rPr>
  </w:style>
  <w:style w:type="paragraph" w:customStyle="1" w:styleId="16">
    <w:name w:val="引用1"/>
    <w:basedOn w:val="1"/>
    <w:next w:val="1"/>
    <w:link w:val="58"/>
    <w:qFormat/>
    <w:uiPriority w:val="29"/>
    <w:rPr>
      <w:rFonts w:ascii="等线" w:hAnsi="等线" w:cs="黑体"/>
      <w:i/>
      <w:iCs/>
      <w:color w:val="000000"/>
    </w:rPr>
  </w:style>
  <w:style w:type="paragraph" w:styleId="17">
    <w:name w:val="toc 2"/>
    <w:basedOn w:val="16"/>
    <w:next w:val="3"/>
    <w:unhideWhenUsed/>
    <w:qFormat/>
    <w:uiPriority w:val="39"/>
    <w:pPr>
      <w:widowControl/>
      <w:tabs>
        <w:tab w:val="left" w:pos="756"/>
        <w:tab w:val="left" w:pos="966"/>
        <w:tab w:val="left" w:pos="1204"/>
        <w:tab w:val="right" w:leader="dot" w:pos="9514"/>
      </w:tabs>
      <w:spacing w:line="276" w:lineRule="auto"/>
      <w:ind w:left="220"/>
      <w:jc w:val="left"/>
    </w:pPr>
    <w:rPr>
      <w:rFonts w:ascii="宋体" w:hAnsi="宋体"/>
      <w:i w:val="0"/>
      <w:sz w:val="24"/>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9">
    <w:name w:val="annotation subject"/>
    <w:basedOn w:val="7"/>
    <w:next w:val="7"/>
    <w:link w:val="56"/>
    <w:unhideWhenUsed/>
    <w:qFormat/>
    <w:uiPriority w:val="99"/>
    <w:rPr>
      <w:rFonts w:ascii="等线" w:hAnsi="等线" w:cs="黑体"/>
      <w:b/>
      <w:bCs/>
    </w:rPr>
  </w:style>
  <w:style w:type="paragraph" w:styleId="20">
    <w:name w:val="Body Text First Indent 2"/>
    <w:basedOn w:val="9"/>
    <w:unhideWhenUsed/>
    <w:qFormat/>
    <w:uiPriority w:val="99"/>
    <w:pPr>
      <w:spacing w:after="0"/>
      <w:ind w:left="360" w:firstLine="360"/>
    </w:pPr>
  </w:style>
  <w:style w:type="table" w:styleId="22">
    <w:name w:val="Table Grid"/>
    <w:basedOn w:val="2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qFormat/>
    <w:uiPriority w:val="22"/>
    <w:rPr>
      <w:b/>
    </w:rPr>
  </w:style>
  <w:style w:type="character" w:styleId="25">
    <w:name w:val="FollowedHyperlink"/>
    <w:basedOn w:val="23"/>
    <w:unhideWhenUsed/>
    <w:qFormat/>
    <w:uiPriority w:val="99"/>
    <w:rPr>
      <w:color w:val="954F72"/>
      <w:u w:val="single"/>
    </w:rPr>
  </w:style>
  <w:style w:type="character" w:styleId="26">
    <w:name w:val="Emphasis"/>
    <w:qFormat/>
    <w:uiPriority w:val="20"/>
    <w:rPr>
      <w:i/>
      <w:iCs/>
    </w:rPr>
  </w:style>
  <w:style w:type="character" w:styleId="27">
    <w:name w:val="Hyperlink"/>
    <w:unhideWhenUsed/>
    <w:qFormat/>
    <w:uiPriority w:val="99"/>
    <w:rPr>
      <w:color w:val="0000FF"/>
      <w:u w:val="single"/>
    </w:rPr>
  </w:style>
  <w:style w:type="character" w:styleId="28">
    <w:name w:val="annotation reference"/>
    <w:basedOn w:val="23"/>
    <w:unhideWhenUsed/>
    <w:qFormat/>
    <w:uiPriority w:val="99"/>
    <w:rPr>
      <w:sz w:val="21"/>
      <w:szCs w:val="21"/>
    </w:rPr>
  </w:style>
  <w:style w:type="paragraph" w:customStyle="1" w:styleId="29">
    <w:name w:val="msonormal"/>
    <w:basedOn w:val="1"/>
    <w:qFormat/>
    <w:uiPriority w:val="99"/>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0">
    <w:name w:val="列表段落1"/>
    <w:basedOn w:val="1"/>
    <w:link w:val="63"/>
    <w:qFormat/>
    <w:uiPriority w:val="34"/>
    <w:pPr>
      <w:ind w:firstLine="420" w:firstLineChars="200"/>
    </w:pPr>
  </w:style>
  <w:style w:type="paragraph" w:customStyle="1" w:styleId="31">
    <w:name w:val="列出段落1"/>
    <w:basedOn w:val="1"/>
    <w:qFormat/>
    <w:uiPriority w:val="34"/>
    <w:pPr>
      <w:ind w:firstLine="420" w:firstLineChars="200"/>
    </w:pPr>
  </w:style>
  <w:style w:type="paragraph" w:customStyle="1" w:styleId="32">
    <w:name w:val="TOC 标题1"/>
    <w:basedOn w:val="2"/>
    <w:next w:val="1"/>
    <w:qFormat/>
    <w:uiPriority w:val="39"/>
    <w:pPr>
      <w:widowControl/>
      <w:spacing w:before="480" w:after="0" w:line="276" w:lineRule="auto"/>
      <w:jc w:val="left"/>
      <w:outlineLvl w:val="9"/>
    </w:pPr>
    <w:rPr>
      <w:rFonts w:ascii="Cambria" w:hAnsi="Cambria"/>
      <w:color w:val="366091"/>
      <w:kern w:val="0"/>
      <w:sz w:val="28"/>
      <w:szCs w:val="28"/>
    </w:rPr>
  </w:style>
  <w:style w:type="paragraph" w:customStyle="1" w:styleId="33">
    <w:name w:val="列出段落2"/>
    <w:basedOn w:val="1"/>
    <w:qFormat/>
    <w:uiPriority w:val="34"/>
    <w:pPr>
      <w:ind w:firstLine="420" w:firstLineChars="200"/>
    </w:pPr>
  </w:style>
  <w:style w:type="paragraph" w:customStyle="1" w:styleId="34">
    <w:name w:val="p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35">
    <w:name w:val="段落"/>
    <w:basedOn w:val="1"/>
    <w:qFormat/>
    <w:uiPriority w:val="99"/>
    <w:pPr>
      <w:shd w:val="clear" w:color="auto" w:fill="FFFFFF"/>
      <w:spacing w:line="360" w:lineRule="auto"/>
      <w:ind w:firstLine="480" w:firstLineChars="200"/>
    </w:pPr>
    <w:rPr>
      <w:rFonts w:ascii="Calibri" w:hAnsi="Calibri" w:cs="黑体"/>
      <w:sz w:val="24"/>
    </w:rPr>
  </w:style>
  <w:style w:type="paragraph" w:customStyle="1" w:styleId="36">
    <w:name w:val="Default"/>
    <w:qFormat/>
    <w:uiPriority w:val="99"/>
    <w:pPr>
      <w:widowControl w:val="0"/>
      <w:autoSpaceDE w:val="0"/>
      <w:autoSpaceDN w:val="0"/>
      <w:adjustRightInd w:val="0"/>
    </w:pPr>
    <w:rPr>
      <w:rFonts w:ascii="Arial Unicode MS" w:hAnsi="Arial Unicode MS" w:eastAsia="Arial Unicode MS" w:cs="Times New Roman"/>
      <w:color w:val="000000"/>
      <w:sz w:val="24"/>
      <w:lang w:val="en-US" w:eastAsia="zh-CN" w:bidi="ar-SA"/>
    </w:rPr>
  </w:style>
  <w:style w:type="paragraph" w:customStyle="1" w:styleId="37">
    <w:name w:val="样式 标题 1 + 四号 居中 段前: 12 磅 段后: 12 磅 行距: 单倍行距"/>
    <w:basedOn w:val="2"/>
    <w:qFormat/>
    <w:uiPriority w:val="99"/>
    <w:pPr>
      <w:spacing w:before="240" w:after="240" w:line="240" w:lineRule="auto"/>
      <w:ind w:firstLine="288"/>
      <w:jc w:val="center"/>
    </w:pPr>
    <w:rPr>
      <w:rFonts w:ascii="Calibri" w:hAnsi="Calibri" w:cs="宋体"/>
      <w:sz w:val="28"/>
      <w:szCs w:val="20"/>
    </w:rPr>
  </w:style>
  <w:style w:type="paragraph" w:customStyle="1" w:styleId="38">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9">
    <w:name w:val="样式 标题 3 + (中文) 黑体 小四 非加粗 段前: 7.8 磅 段后: 0 磅 行距: 固定值 20 磅"/>
    <w:basedOn w:val="4"/>
    <w:qFormat/>
    <w:uiPriority w:val="99"/>
    <w:pPr>
      <w:spacing w:before="0" w:after="0" w:line="400" w:lineRule="exact"/>
    </w:pPr>
    <w:rPr>
      <w:rFonts w:ascii="Calibri" w:hAnsi="Calibri" w:eastAsia="黑体" w:cs="宋体"/>
      <w:b w:val="0"/>
      <w:sz w:val="24"/>
      <w:szCs w:val="20"/>
    </w:rPr>
  </w:style>
  <w:style w:type="paragraph" w:customStyle="1" w:styleId="40">
    <w:name w:val="Table Paragraph"/>
    <w:basedOn w:val="1"/>
    <w:qFormat/>
    <w:uiPriority w:val="99"/>
    <w:pPr>
      <w:widowControl/>
      <w:autoSpaceDE w:val="0"/>
      <w:autoSpaceDN w:val="0"/>
      <w:jc w:val="left"/>
    </w:pPr>
    <w:rPr>
      <w:rFonts w:ascii="Noto Sans Mono CJK JP Regular" w:hAnsi="Noto Sans Mono CJK JP Regular" w:cs="Noto Sans Mono CJK JP Regular"/>
      <w:kern w:val="0"/>
      <w:sz w:val="22"/>
      <w:lang w:val="zh-CN"/>
    </w:rPr>
  </w:style>
  <w:style w:type="paragraph" w:customStyle="1" w:styleId="41">
    <w:name w:val="纯文本1"/>
    <w:basedOn w:val="1"/>
    <w:qFormat/>
    <w:uiPriority w:val="99"/>
    <w:pPr>
      <w:widowControl/>
      <w:spacing w:after="200" w:line="276" w:lineRule="auto"/>
      <w:jc w:val="left"/>
    </w:pPr>
    <w:rPr>
      <w:rFonts w:ascii="宋体" w:hAnsi="Courier New"/>
      <w:kern w:val="0"/>
      <w:sz w:val="22"/>
      <w:szCs w:val="21"/>
    </w:rPr>
  </w:style>
  <w:style w:type="paragraph" w:customStyle="1" w:styleId="42">
    <w:name w:val="footnote description"/>
    <w:next w:val="1"/>
    <w:link w:val="59"/>
    <w:qFormat/>
    <w:uiPriority w:val="0"/>
    <w:pPr>
      <w:spacing w:line="256" w:lineRule="auto"/>
      <w:ind w:left="14"/>
    </w:pPr>
    <w:rPr>
      <w:rFonts w:ascii="宋体" w:hAnsi="宋体" w:eastAsia="宋体" w:cs="宋体"/>
      <w:color w:val="000000"/>
      <w:kern w:val="2"/>
      <w:sz w:val="18"/>
      <w:szCs w:val="22"/>
      <w:lang w:val="en-US" w:eastAsia="zh-CN" w:bidi="ar-SA"/>
    </w:rPr>
  </w:style>
  <w:style w:type="paragraph" w:customStyle="1" w:styleId="43">
    <w:name w:val="修订1"/>
    <w:hidden/>
    <w:semiHidden/>
    <w:qFormat/>
    <w:uiPriority w:val="99"/>
    <w:rPr>
      <w:rFonts w:ascii="Times New Roman" w:hAnsi="Times New Roman" w:eastAsia="宋体" w:cs="Times New Roman"/>
      <w:kern w:val="2"/>
      <w:sz w:val="21"/>
      <w:szCs w:val="22"/>
      <w:lang w:val="en-US" w:eastAsia="zh-CN" w:bidi="ar-SA"/>
    </w:rPr>
  </w:style>
  <w:style w:type="paragraph" w:customStyle="1" w:styleId="44">
    <w:name w:val="普通 (Web)"/>
    <w:basedOn w:val="1"/>
    <w:next w:val="1"/>
    <w:link w:val="68"/>
    <w:qFormat/>
    <w:uiPriority w:val="0"/>
    <w:pPr>
      <w:autoSpaceDE w:val="0"/>
      <w:autoSpaceDN w:val="0"/>
      <w:adjustRightInd w:val="0"/>
      <w:jc w:val="left"/>
    </w:pPr>
    <w:rPr>
      <w:rFonts w:ascii="黑体" w:eastAsia="黑体"/>
      <w:kern w:val="0"/>
      <w:sz w:val="24"/>
    </w:rPr>
  </w:style>
  <w:style w:type="character" w:customStyle="1" w:styleId="45">
    <w:name w:val="标题 1 字符"/>
    <w:basedOn w:val="23"/>
    <w:link w:val="2"/>
    <w:qFormat/>
    <w:uiPriority w:val="1"/>
    <w:rPr>
      <w:rFonts w:ascii="Times New Roman" w:hAnsi="Times New Roman" w:eastAsia="宋体" w:cs="Times New Roman"/>
      <w:b/>
      <w:bCs/>
      <w:kern w:val="44"/>
      <w:sz w:val="44"/>
      <w:szCs w:val="44"/>
    </w:rPr>
  </w:style>
  <w:style w:type="character" w:customStyle="1" w:styleId="46">
    <w:name w:val="标题 2 字符"/>
    <w:basedOn w:val="23"/>
    <w:link w:val="3"/>
    <w:semiHidden/>
    <w:qFormat/>
    <w:uiPriority w:val="9"/>
    <w:rPr>
      <w:rFonts w:ascii="Cambria" w:hAnsi="Cambria" w:eastAsia="宋体" w:cs="Times New Roman"/>
      <w:b/>
      <w:bCs/>
      <w:kern w:val="0"/>
      <w:sz w:val="32"/>
      <w:szCs w:val="32"/>
    </w:rPr>
  </w:style>
  <w:style w:type="character" w:customStyle="1" w:styleId="47">
    <w:name w:val="标题 3 字符"/>
    <w:basedOn w:val="23"/>
    <w:link w:val="4"/>
    <w:semiHidden/>
    <w:qFormat/>
    <w:uiPriority w:val="9"/>
    <w:rPr>
      <w:rFonts w:ascii="Times New Roman" w:hAnsi="Times New Roman" w:eastAsia="宋体" w:cs="Times New Roman"/>
      <w:b/>
      <w:bCs/>
      <w:sz w:val="32"/>
      <w:szCs w:val="32"/>
    </w:rPr>
  </w:style>
  <w:style w:type="character" w:customStyle="1" w:styleId="48">
    <w:name w:val="正文缩进 字符"/>
    <w:link w:val="5"/>
    <w:semiHidden/>
    <w:qFormat/>
    <w:locked/>
    <w:uiPriority w:val="0"/>
  </w:style>
  <w:style w:type="character" w:customStyle="1" w:styleId="49">
    <w:name w:val="批注文字 字符1"/>
    <w:basedOn w:val="23"/>
    <w:link w:val="7"/>
    <w:semiHidden/>
    <w:qFormat/>
    <w:locked/>
    <w:uiPriority w:val="99"/>
    <w:rPr>
      <w:rFonts w:ascii="Times New Roman" w:hAnsi="Times New Roman" w:eastAsia="宋体" w:cs="Times New Roman"/>
    </w:rPr>
  </w:style>
  <w:style w:type="character" w:customStyle="1" w:styleId="50">
    <w:name w:val="批注文字 字符"/>
    <w:basedOn w:val="23"/>
    <w:semiHidden/>
    <w:qFormat/>
    <w:uiPriority w:val="99"/>
    <w:rPr>
      <w:rFonts w:ascii="Times New Roman" w:hAnsi="Times New Roman" w:eastAsia="宋体" w:cs="Times New Roman"/>
    </w:rPr>
  </w:style>
  <w:style w:type="character" w:customStyle="1" w:styleId="51">
    <w:name w:val="页眉 字符"/>
    <w:basedOn w:val="23"/>
    <w:link w:val="14"/>
    <w:qFormat/>
    <w:uiPriority w:val="99"/>
    <w:rPr>
      <w:sz w:val="18"/>
      <w:szCs w:val="18"/>
    </w:rPr>
  </w:style>
  <w:style w:type="character" w:customStyle="1" w:styleId="52">
    <w:name w:val="页脚 字符"/>
    <w:basedOn w:val="23"/>
    <w:link w:val="13"/>
    <w:qFormat/>
    <w:uiPriority w:val="99"/>
    <w:rPr>
      <w:sz w:val="18"/>
      <w:szCs w:val="18"/>
    </w:rPr>
  </w:style>
  <w:style w:type="character" w:customStyle="1" w:styleId="53">
    <w:name w:val="尾注文本 字符"/>
    <w:basedOn w:val="23"/>
    <w:link w:val="11"/>
    <w:semiHidden/>
    <w:qFormat/>
    <w:uiPriority w:val="99"/>
  </w:style>
  <w:style w:type="character" w:customStyle="1" w:styleId="54">
    <w:name w:val="正文文本 字符"/>
    <w:basedOn w:val="23"/>
    <w:link w:val="8"/>
    <w:semiHidden/>
    <w:qFormat/>
    <w:uiPriority w:val="99"/>
    <w:rPr>
      <w:rFonts w:ascii="仿宋体" w:hAnsi="Times New Roman" w:eastAsia="仿宋体" w:cs="Times New Roman"/>
      <w:kern w:val="0"/>
      <w:sz w:val="20"/>
      <w:lang w:eastAsia="en-US"/>
    </w:rPr>
  </w:style>
  <w:style w:type="character" w:customStyle="1" w:styleId="55">
    <w:name w:val="纯文本 字符"/>
    <w:basedOn w:val="23"/>
    <w:link w:val="10"/>
    <w:semiHidden/>
    <w:qFormat/>
    <w:uiPriority w:val="99"/>
    <w:rPr>
      <w:rFonts w:ascii="宋体" w:hAnsi="Courier New" w:cs="Courier New"/>
      <w:szCs w:val="21"/>
    </w:rPr>
  </w:style>
  <w:style w:type="character" w:customStyle="1" w:styleId="56">
    <w:name w:val="批注主题 字符"/>
    <w:basedOn w:val="50"/>
    <w:link w:val="19"/>
    <w:semiHidden/>
    <w:qFormat/>
    <w:uiPriority w:val="99"/>
    <w:rPr>
      <w:rFonts w:ascii="Times New Roman" w:hAnsi="Times New Roman" w:eastAsia="宋体" w:cs="Times New Roman"/>
      <w:b/>
      <w:bCs/>
    </w:rPr>
  </w:style>
  <w:style w:type="character" w:customStyle="1" w:styleId="57">
    <w:name w:val="批注框文本 字符"/>
    <w:basedOn w:val="23"/>
    <w:link w:val="12"/>
    <w:semiHidden/>
    <w:qFormat/>
    <w:uiPriority w:val="99"/>
    <w:rPr>
      <w:sz w:val="18"/>
      <w:szCs w:val="18"/>
    </w:rPr>
  </w:style>
  <w:style w:type="character" w:customStyle="1" w:styleId="58">
    <w:name w:val="引用 Char"/>
    <w:link w:val="16"/>
    <w:qFormat/>
    <w:locked/>
    <w:uiPriority w:val="29"/>
    <w:rPr>
      <w:i/>
      <w:iCs/>
      <w:color w:val="000000"/>
    </w:rPr>
  </w:style>
  <w:style w:type="character" w:customStyle="1" w:styleId="59">
    <w:name w:val="footnote description Char"/>
    <w:link w:val="42"/>
    <w:qFormat/>
    <w:locked/>
    <w:uiPriority w:val="0"/>
    <w:rPr>
      <w:rFonts w:ascii="宋体" w:hAnsi="宋体" w:eastAsia="宋体" w:cs="宋体"/>
      <w:color w:val="000000"/>
      <w:sz w:val="18"/>
    </w:rPr>
  </w:style>
  <w:style w:type="character" w:customStyle="1" w:styleId="60">
    <w:name w:val="font01"/>
    <w:qFormat/>
    <w:uiPriority w:val="0"/>
    <w:rPr>
      <w:rFonts w:hint="eastAsia" w:ascii="宋体" w:hAnsi="宋体" w:eastAsia="宋体" w:cs="宋体"/>
      <w:color w:val="000000"/>
      <w:sz w:val="20"/>
      <w:szCs w:val="20"/>
      <w:u w:val="none"/>
    </w:rPr>
  </w:style>
  <w:style w:type="character" w:customStyle="1" w:styleId="61">
    <w:name w:val="font21"/>
    <w:qFormat/>
    <w:uiPriority w:val="0"/>
    <w:rPr>
      <w:rFonts w:hint="eastAsia" w:ascii="宋体" w:hAnsi="宋体" w:eastAsia="宋体"/>
      <w:color w:val="000000"/>
      <w:sz w:val="20"/>
      <w:szCs w:val="20"/>
      <w:u w:val="none"/>
    </w:rPr>
  </w:style>
  <w:style w:type="character" w:customStyle="1" w:styleId="62">
    <w:name w:val="纯文本 字符1"/>
    <w:basedOn w:val="23"/>
    <w:qFormat/>
    <w:uiPriority w:val="0"/>
    <w:rPr>
      <w:rFonts w:hint="eastAsia" w:ascii="宋体" w:hAnsi="Courier New" w:eastAsia="等线" w:cs="Courier New"/>
    </w:rPr>
  </w:style>
  <w:style w:type="character" w:customStyle="1" w:styleId="63">
    <w:name w:val="列出段落 字符"/>
    <w:link w:val="30"/>
    <w:qFormat/>
    <w:uiPriority w:val="34"/>
    <w:rPr>
      <w:rFonts w:ascii="Times New Roman" w:hAnsi="Times New Roman" w:eastAsia="宋体" w:cs="Times New Roman"/>
    </w:rPr>
  </w:style>
  <w:style w:type="character" w:customStyle="1" w:styleId="64">
    <w:name w:val="页脚 字符1"/>
    <w:basedOn w:val="23"/>
    <w:semiHidden/>
    <w:qFormat/>
    <w:uiPriority w:val="99"/>
    <w:rPr>
      <w:rFonts w:hint="default" w:ascii="Times New Roman" w:hAnsi="Times New Roman" w:eastAsia="宋体" w:cs="Times New Roman"/>
      <w:sz w:val="18"/>
      <w:szCs w:val="18"/>
    </w:rPr>
  </w:style>
  <w:style w:type="character" w:customStyle="1" w:styleId="65">
    <w:name w:val="尾注文本 字符1"/>
    <w:basedOn w:val="23"/>
    <w:semiHidden/>
    <w:qFormat/>
    <w:uiPriority w:val="99"/>
    <w:rPr>
      <w:rFonts w:hint="default" w:ascii="Times New Roman" w:hAnsi="Times New Roman" w:eastAsia="宋体" w:cs="Times New Roman"/>
    </w:rPr>
  </w:style>
  <w:style w:type="character" w:customStyle="1" w:styleId="66">
    <w:name w:val="批注主题 字符1"/>
    <w:basedOn w:val="50"/>
    <w:semiHidden/>
    <w:qFormat/>
    <w:uiPriority w:val="99"/>
    <w:rPr>
      <w:rFonts w:hint="default" w:ascii="Times New Roman" w:hAnsi="Times New Roman" w:eastAsia="宋体" w:cs="Times New Roman"/>
      <w:b/>
      <w:bCs/>
    </w:rPr>
  </w:style>
  <w:style w:type="character" w:customStyle="1" w:styleId="67">
    <w:name w:val="批注框文本 字符1"/>
    <w:basedOn w:val="23"/>
    <w:semiHidden/>
    <w:qFormat/>
    <w:uiPriority w:val="99"/>
    <w:rPr>
      <w:rFonts w:hint="default" w:ascii="Times New Roman" w:hAnsi="Times New Roman" w:eastAsia="宋体" w:cs="Times New Roman"/>
      <w:sz w:val="18"/>
      <w:szCs w:val="18"/>
    </w:rPr>
  </w:style>
  <w:style w:type="character" w:customStyle="1" w:styleId="68">
    <w:name w:val="普通 (Web) Char"/>
    <w:link w:val="44"/>
    <w:qFormat/>
    <w:uiPriority w:val="0"/>
    <w:rPr>
      <w:rFonts w:ascii="黑体" w:eastAsia="黑体"/>
      <w:kern w:val="0"/>
      <w:sz w:val="24"/>
    </w:rPr>
  </w:style>
  <w:style w:type="table" w:customStyle="1" w:styleId="69">
    <w:name w:val="网格型1"/>
    <w:basedOn w:val="2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0">
    <w:name w:val="正文缩进2"/>
    <w:basedOn w:val="1"/>
    <w:qFormat/>
    <w:uiPriority w:val="0"/>
    <w:pPr>
      <w:wordWrap w:val="0"/>
      <w:ind w:firstLine="480"/>
    </w:pPr>
    <w:rPr>
      <w:iCs/>
      <w:shd w:val="clear" w:color="auto" w:fill="FFFFFF" w:themeFill="background1"/>
      <w:lang w:val="zh-CN"/>
    </w:rPr>
  </w:style>
  <w:style w:type="paragraph" w:customStyle="1" w:styleId="71">
    <w:name w:val="文档正文"/>
    <w:basedOn w:val="1"/>
    <w:qFormat/>
    <w:uiPriority w:val="0"/>
    <w:pPr>
      <w:spacing w:line="440" w:lineRule="atLeast"/>
      <w:ind w:firstLine="567"/>
    </w:pPr>
    <w:rPr>
      <w:rFonts w:ascii="Calibri" w:hAnsi="Calibri"/>
      <w:spacing w:val="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2abfa807-b405-4440-80c4-3b2e97562fe0</errorID>
      <errorWord>(</errorWord>
      <group>L1_Format</group>
      <groupName>格式问题</groupName>
      <ability>L2_HalfPunc</ability>
      <abilityName>全半角检查</abilityName>
      <candidateList>
        <item>（</item>
      </candidateList>
      <explain>文本全半角错误。</explain>
      <paraID> A17D9CA</paraID>
      <start>0</start>
      <end>1</end>
      <status>unmodified</status>
      <modifiedWord/>
      <trackRevisions>false</trackRevisions>
    </reviewItem>
    <reviewItem>
      <errorID>f6879435-637f-42d0-8369-5822a656c661</errorID>
      <errorWord>)</errorWord>
      <group>L1_Format</group>
      <groupName>格式问题</groupName>
      <ability>L2_HalfPunc</ability>
      <abilityName>全半角检查</abilityName>
      <candidateList>
        <item>）</item>
      </candidateList>
      <explain>文本全半角错误。</explain>
      <paraID> A17D9CA</paraID>
      <start>5</start>
      <end>6</end>
      <status>unmodified</status>
      <modifiedWord/>
      <trackRevisions>false</trackRevisions>
    </reviewItem>
    <reviewItem>
      <errorID>43a94f21-30e5-4902-b0b9-7ebd791af8b2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20E8A1B7</paraID>
      <start>0</start>
      <end>2</end>
      <status>unmodified</status>
      <modifiedWord/>
      <trackRevisions>false</trackRevisions>
    </reviewItem>
    <reviewItem>
      <errorID>d65daf4f-893a-4280-9ab2-7eac8add4dbb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10DBDB97</paraID>
      <start>0</start>
      <end>2</end>
      <status>unmodified</status>
      <modifiedWord/>
      <trackRevisions>false</trackRevisions>
    </reviewItem>
    <reviewItem>
      <errorID>863d3eea-96e5-4ea9-971b-1983ab869295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59C19D39</paraID>
      <start>0</start>
      <end>2</end>
      <status>unmodified</status>
      <modifiedWord/>
      <trackRevisions>false</trackRevisions>
    </reviewItem>
    <reviewItem>
      <errorID>6bd150b3-276f-43e0-a2cf-f710b5124c2a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443F6D2C</paraID>
      <start>0</start>
      <end>2</end>
      <status>unmodified</status>
      <modifiedWord/>
      <trackRevisions>false</trackRevisions>
    </reviewItem>
    <reviewItem>
      <errorID>249d2933-95a6-4761-9a73-9f0cced850d9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D3F03E1</paraID>
      <start>0</start>
      <end>2</end>
      <status>unmodified</status>
      <modifiedWord/>
      <trackRevisions>false</trackRevisions>
    </reviewItem>
    <reviewItem>
      <errorID>88352d5e-6103-49c1-81c2-3401f6acdc4e</errorID>
      <errorWord>情况进行</errorWord>
      <group>L1_AI</group>
      <groupName>深度校对</groupName>
      <ability>L2_AI_Grammar</ability>
      <abilityName>语法纠错</abilityName>
      <candidateList>
        <item>情况</item>
      </candidateList>
      <explain/>
      <paraID> D3F03E1</paraID>
      <start>85</start>
      <end>89</end>
      <status>unmodified</status>
      <modifiedWord/>
      <trackRevisions>false</trackRevisions>
    </reviewItem>
    <reviewItem>
      <errorID>504e0351-45cf-4ac1-89e2-cc123c8e9f2b</errorID>
      <errorWord>）</errorWord>
      <group>L1_AI</group>
      <groupName>深度校对</groupName>
      <ability>L2_AI_Punc</ability>
      <abilityName>标点纠错</abilityName>
      <candidateList>
        <item>。</item>
      </candidateList>
      <explain/>
      <paraID> D3F03E1</paraID>
      <start>103</start>
      <end>104</end>
      <status>unmodified</status>
      <modifiedWord/>
      <trackRevisions>false</trackRevisions>
    </reviewItem>
    <reviewItem>
      <errorID>c634b1f2-82af-4d83-be97-4c5707821f17</errorID>
      <errorWord>此表述删除即可</errorWord>
      <group>L1_AI</group>
      <groupName>深度校对</groupName>
      <ability>L2_AI_Word</ability>
      <abilityName>字词纠错</abilityName>
      <candidateList>
        <item>可删除此表述</item>
      </candidateList>
      <explain/>
      <paraID> D3F03E1</paraID>
      <start>184</start>
      <end>191</end>
      <status>unmodified</status>
      <modifiedWord/>
      <trackRevisions>false</trackRevisions>
    </reviewItem>
    <reviewItem>
      <errorID>7217cc0d-b5cc-4ac2-a993-3ff501984f27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583467E5</paraID>
      <start>0</start>
      <end>2</end>
      <status>unmodified</status>
      <modifiedWord/>
      <trackRevisions>false</trackRevisions>
    </reviewItem>
    <reviewItem>
      <errorID>1f34ee86-5932-4ba8-be8f-3d80489c3742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46507D3E</paraID>
      <start>0</start>
      <end>2</end>
      <status>unmodified</status>
      <modifiedWord/>
      <trackRevisions>false</trackRevisions>
    </reviewItem>
    <reviewItem>
      <errorID>dbf479f6-6666-496f-829a-8435f8800d2b</errorID>
      <errorWord>)</errorWord>
      <group>L1_Format</group>
      <groupName>格式问题</groupName>
      <ability>L2_HalfPunc</ability>
      <abilityName>全半角检查</abilityName>
      <candidateList>
        <item>）</item>
      </candidateList>
      <explain>文本全半角错误。</explain>
      <paraID>46507D3E</paraID>
      <start>12</start>
      <end>13</end>
      <status>unmodified</status>
      <modifiedWord/>
      <trackRevisions>false</trackRevisions>
    </reviewItem>
    <reviewItem>
      <errorID>7e505c15-0940-4e11-8699-37ca4c5b7628</errorID>
      <errorWord>(</errorWord>
      <group>L1_Format</group>
      <groupName>格式问题</groupName>
      <ability>L2_HalfPunc</ability>
      <abilityName>全半角检查</abilityName>
      <candidateList>
        <item>（</item>
      </candidateList>
      <explain>文本全半角错误。</explain>
      <paraID>2DB59C4C</paraID>
      <start>26</start>
      <end>27</end>
      <status>unmodified</status>
      <modifiedWord/>
      <trackRevisions>false</trackRevisions>
    </reviewItem>
    <reviewItem>
      <errorID>500aa611-45ec-4c49-b970-12ff97283754</errorID>
      <errorWord>)</errorWord>
      <group>L1_Format</group>
      <groupName>格式问题</groupName>
      <ability>L2_HalfPunc</ability>
      <abilityName>全半角检查</abilityName>
      <candidateList>
        <item>）</item>
      </candidateList>
      <explain>文本全半角错误。</explain>
      <paraID>2DB59C4C</paraID>
      <start>49</start>
      <end>50</end>
      <status>unmodified</status>
      <modifiedWord/>
      <trackRevisions>false</trackRevisions>
    </reviewItem>
    <reviewItem>
      <errorID>e731b55a-e476-4482-b109-f4b9413ca4ed</errorID>
      <errorWord>（</errorWord>
      <group>L1_AI</group>
      <groupName>深度校对</groupName>
      <ability>L2_AI_Word</ability>
      <abilityName>字词纠错</abilityName>
      <candidateList>
        <item>，如</item>
      </candidateList>
      <explain/>
      <paraID>78DA6D32</paraID>
      <start>19</start>
      <end>20</end>
      <status>unmodified</status>
      <modifiedWord/>
      <trackRevisions>false</trackRevisions>
    </reviewItem>
    <reviewItem>
      <errorID>14a7e94b-123c-43fa-ad02-ffc1aab9e9a0</errorID>
      <errorWord>需具备</errorWord>
      <group>L1_Word</group>
      <groupName>字词问题</groupName>
      <ability>L2_Typo</ability>
      <abilityName>字词错误</abilityName>
      <candidateList>
        <item>须具备</item>
      </candidateList>
      <explain/>
      <paraID>78DA6D32</paraID>
      <start>33</start>
      <end>36</end>
      <status>unmodified</status>
      <modifiedWord/>
      <trackRevisions>false</trackRevisions>
    </reviewItem>
    <reviewItem>
      <errorID>ad210f33-809f-4e56-b74b-52362f24807b</errorID>
      <errorWord>）</errorWord>
      <group>L1_AI</group>
      <groupName>深度校对</groupName>
      <ability>L2_AI_Punc</ability>
      <abilityName>标点纠错</abilityName>
      <candidateList>
        <item/>
      </candidateList>
      <explain/>
      <paraID>78DA6D32</paraID>
      <start>42</start>
      <end>43</end>
      <status>unmodified</status>
      <modifiedWord/>
      <trackRevisions>false</trackRevisions>
    </reviewItem>
    <reviewItem>
      <errorID>fa1e8015-41e7-4a90-9ac6-f5d7f0713876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7546BBDC</paraID>
      <start>0</start>
      <end>2</end>
      <status>unmodified</status>
      <modifiedWord/>
      <trackRevisions>false</trackRevisions>
    </reviewItem>
    <reviewItem>
      <errorID>b6ad2dc4-5a6f-428c-99ca-8651c4ea6277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60F1AACB</paraID>
      <start>0</start>
      <end>2</end>
      <status>unmodified</status>
      <modifiedWord/>
      <trackRevisions>false</trackRevisions>
    </reviewItem>
    <reviewItem>
      <errorID>e53dfcdc-b167-45d5-ba85-4918d6e73679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3C13AAB6</paraID>
      <start>0</start>
      <end>2</end>
      <status>unmodified</status>
      <modifiedWord/>
      <trackRevisions>false</trackRevisions>
    </reviewItem>
    <reviewItem>
      <errorID>c4f2cbef-504a-4b99-b762-18a4daba7bed</errorID>
      <errorWord>式</errorWord>
      <group>L1_Word</group>
      <groupName>字词问题</groupName>
      <ability>L2_Typo</ability>
      <abilityName>字词错误</abilityName>
      <candidateList>
        <item>式由</item>
      </candidateList>
      <explain/>
      <paraID>47DDAF8D</paraID>
      <start>12</start>
      <end>13</end>
      <status>unmodified</status>
      <modifiedWord/>
      <trackRevisions>false</trackRevisions>
    </reviewItem>
    <reviewItem>
      <errorID>4ee3f614-a3c2-4e32-a23e-51799ae3713d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5F170A2</paraID>
      <start>0</start>
      <end>2</end>
      <status>unmodified</status>
      <modifiedWord/>
      <trackRevisions>false</trackRevisions>
    </reviewItem>
    <reviewItem>
      <errorID>419547a9-eec4-4de6-ac28-6d40c8db244a</errorID>
      <errorWord>本</errorWord>
      <group>L1_AI</group>
      <groupName>深度校对</groupName>
      <ability>L2_AI_Word</ability>
      <abilityName>字词纠错</abilityName>
      <candidateList>
        <item> 本</item>
      </candidateList>
      <explain/>
      <paraID>696225F0</paraID>
      <start>2</start>
      <end>3</end>
      <status>unmodified</status>
      <modifiedWord/>
      <trackRevisions>false</trackRevisions>
    </reviewItem>
    <reviewItem>
      <errorID>11c6eeb2-a005-4b7d-b1b2-caad04784560</errorID>
      <errorWord>《中国政府采购网》</errorWord>
      <group>L1_AI</group>
      <groupName>深度校对</groupName>
      <ability>L2_AI_Punc</ability>
      <abilityName>标点纠错</abilityName>
      <candidateList>
        <item>“中国政府采购网”</item>
      </candidateList>
      <explain/>
      <paraID>696225F0</paraID>
      <start>7</start>
      <end>16</end>
      <status>unmodified</status>
      <modifiedWord/>
      <trackRevisions>false</trackRevisions>
    </reviewItem>
    <reviewItem>
      <errorID>224aed99-a0c8-4093-8208-2455994e3eaf</errorID>
      <errorWord>{</errorWord>
      <group>L1_Format</group>
      <groupName>格式问题</groupName>
      <ability>L2_HalfPunc</ability>
      <abilityName>全半角检查</abilityName>
      <candidateList>
        <item>｛</item>
      </candidateList>
      <explain>文本全半角错误。</explain>
      <paraID> 7E361B4</paraID>
      <start>23</start>
      <end>24</end>
      <status>unmodified</status>
      <modifiedWord/>
      <trackRevisions>false</trackRevisions>
    </reviewItem>
    <reviewItem>
      <errorID>500e2411-53ca-4962-abbd-5d2bdb54e577</errorID>
      <errorWord>}</errorWord>
      <group>L1_Format</group>
      <groupName>格式问题</groupName>
      <ability>L2_HalfPunc</ability>
      <abilityName>全半角检查</abilityName>
      <candidateList>
        <item>｝</item>
      </candidateList>
      <explain>文本全半角错误。</explain>
      <paraID> 7E361B4</paraID>
      <start>30</start>
      <end>31</end>
      <status>unmodified</status>
      <modifiedWord/>
      <trackRevisions>false</trackRevisions>
    </reviewItem>
    <reviewItem>
      <errorID>07b4491c-723a-4010-b7b3-556830b4e84a</errorID>
      <errorWord>[2002]</errorWord>
      <group>L1_Punc</group>
      <groupName>标点问题</groupName>
      <ability>L2_Punc</ability>
      <abilityName>标点符号检查</abilityName>
      <candidateList>
        <item>〔2002〕</item>
      </candidateList>
      <explain/>
      <paraID>56217862</paraID>
      <start>6</start>
      <end>12</end>
      <status>unmodified</status>
      <modifiedWord/>
      <trackRevisions>false</trackRevisions>
    </reviewItem>
    <reviewItem>
      <errorID>3797f199-7965-4bfa-b9ac-40db3363a21a</errorID>
      <errorWord>[2003]</errorWord>
      <group>L1_Punc</group>
      <groupName>标点问题</groupName>
      <ability>L2_Punc</ability>
      <abilityName>标点符号检查</abilityName>
      <candidateList>
        <item>〔2003〕</item>
      </candidateList>
      <explain/>
      <paraID>56217862</paraID>
      <start>25</start>
      <end>31</end>
      <status>unmodified</status>
      <modifiedWord/>
      <trackRevisions>false</trackRevisions>
    </reviewItem>
    <reviewItem>
      <errorID>284a92e6-450e-438b-a60e-d58d583180cd</errorID>
      <errorWord>[2011]</errorWord>
      <group>L1_Punc</group>
      <groupName>标点问题</groupName>
      <ability>L2_Punc</ability>
      <abilityName>标点符号检查</abilityName>
      <candidateList>
        <item>〔2011〕</item>
      </candidateList>
      <explain/>
      <paraID>56217862</paraID>
      <start>42</start>
      <end>48</end>
      <status>unmodified</status>
      <modifiedWord/>
      <trackRevisions>false</trackRevisions>
    </reviewItem>
    <reviewItem>
      <errorID>9d67fd7d-b472-4e15-bd02-ac42ebbb3aa4</errorID>
      <errorWord>{</errorWord>
      <group>L1_Format</group>
      <groupName>格式问题</groupName>
      <ability>L2_HalfPunc</ability>
      <abilityName>全半角检查</abilityName>
      <candidateList>
        <item>｛</item>
      </candidateList>
      <explain>文本全半角错误。</explain>
      <paraID>75FD3901</paraID>
      <start>28</start>
      <end>29</end>
      <status>unmodified</status>
      <modifiedWord/>
      <trackRevisions>false</trackRevisions>
    </reviewItem>
    <reviewItem>
      <errorID>f2af45c7-e208-4454-a089-0ad832ae756b</errorID>
      <errorWord>}</errorWord>
      <group>L1_Format</group>
      <groupName>格式问题</groupName>
      <ability>L2_HalfPunc</ability>
      <abilityName>全半角检查</abilityName>
      <candidateList>
        <item>｝</item>
      </candidateList>
      <explain>文本全半角错误。</explain>
      <paraID>75FD3901</paraID>
      <start>35</start>
      <end>36</end>
      <status>unmodified</status>
      <modifiedWord/>
      <trackRevisions>false</trackRevisions>
    </reviewItem>
    <reviewItem>
      <errorID>40241e3d-6dd0-40d4-b117-a23e7a6c6a23</errorID>
      <errorWord>唱</errorWord>
      <group>L1_Word</group>
      <groupName>字词问题</groupName>
      <ability>L2_Typo</ability>
      <abilityName>字词错误</abilityName>
      <candidateList>
        <item>场</item>
      </candidateList>
      <explain/>
      <paraID>75849CAE</paraID>
      <start>9</start>
      <end>10</end>
      <status>unmodified</status>
      <modifiedWord/>
      <trackRevisions>false</trackRevisions>
    </reviewItem>
    <reviewItem>
      <errorID>ae4c6293-a7ce-49f3-b2ef-0ba5f69af203</errorID>
      <errorWord>在</errorWord>
      <group>L1_Word</group>
      <groupName>字词问题</groupName>
      <ability>L2_Typo</ability>
      <abilityName>字词错误</abilityName>
      <candidateList>
        <item>在合</item>
      </candidateList>
      <explain/>
      <paraID>65459A49</paraID>
      <start>34</start>
      <end>37</end>
      <status>modified</status>
      <modifiedWord>在合</modifiedWord>
      <trackRevisions>true</trackRevisions>
    </reviewItem>
    <reviewItem>
      <errorID>904f7ab6-a0fb-49fd-b77b-13b1e467dfea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1B447A8</paraID>
      <start>0</start>
      <end>2</end>
      <status>unmodified</status>
      <modifiedWord/>
      <trackRevisions>false</trackRevisions>
    </reviewItem>
    <reviewItem>
      <errorID>d725a05d-ea05-4f78-8f7f-c285f09af9c6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6E8B689A</paraID>
      <start>0</start>
      <end>2</end>
      <status>unmodified</status>
      <modifiedWord/>
      <trackRevisions>false</trackRevisions>
    </reviewItem>
    <reviewItem>
      <errorID>fa683834-2fd9-40dc-a296-14147a901d3d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59365179</paraID>
      <start>0</start>
      <end>2</end>
      <status>unmodified</status>
      <modifiedWord/>
      <trackRevisions>false</trackRevisions>
    </reviewItem>
    <reviewItem>
      <errorID>5c45bf0e-65c2-4908-b0ee-951ccac186bc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4F35A282</paraID>
      <start>0</start>
      <end>2</end>
      <status>unmodified</status>
      <modifiedWord/>
      <trackRevisions>false</trackRevisions>
    </reviewItem>
    <reviewItem>
      <errorID>0aa1cb76-6036-4174-a8df-c00081aa3017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68F8DFD0</paraID>
      <start>36</start>
      <end>39</end>
      <status>unmodified</status>
      <modifiedWord/>
      <trackRevisions>false</trackRevisions>
    </reviewItem>
    <reviewItem>
      <errorID>64d41176-fa94-4e8f-bfd7-39f9d2689198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5C093BC4</paraID>
      <start>13</start>
      <end>16</end>
      <status>unmodified</status>
      <modifiedWord/>
      <trackRevisions>false</trackRevisions>
    </reviewItem>
    <reviewItem>
      <errorID>be6e0972-d2e0-4fec-9434-2d1f4db7271a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5C093BC4</paraID>
      <start>18</start>
      <end>21</end>
      <status>unmodified</status>
      <modifiedWord/>
      <trackRevisions>false</trackRevisions>
    </reviewItem>
    <reviewItem>
      <errorID>2f193fbf-e980-4d2c-a0e8-d7ffdfa1fd52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5C093BC4</paraID>
      <start>22</start>
      <end>25</end>
      <status>unmodified</status>
      <modifiedWord/>
      <trackRevisions>false</trackRevisions>
    </reviewItem>
    <reviewItem>
      <errorID>4e491441-61e8-4995-a6f5-0a1b6e31bf45</errorID>
      <errorWord>,</errorWord>
      <group>L1_Format</group>
      <groupName>格式问题</groupName>
      <ability>L2_HalfPunc</ability>
      <abilityName>全半角检查</abilityName>
      <candidateList>
        <item>，</item>
      </candidateList>
      <explain>文本全半角错误。</explain>
      <paraID>3DC864EC</paraID>
      <start>30</start>
      <end>31</end>
      <status>unmodified</status>
      <modifiedWord/>
      <trackRevisions>false</trackRevisions>
    </reviewItem>
    <reviewItem>
      <errorID>61968b4e-d1d8-48e6-a2b1-1c79530904b6</errorID>
      <errorWord>[2002]1980号</errorWord>
      <group>L1_Knowledge</group>
      <groupName>知识性问题</groupName>
      <ability>L2_Knowledge</ability>
      <abilityName>其他知识</abilityName>
      <candidateList>
        <item>〔2002〕1980号</item>
      </candidateList>
      <explain>发文字号格式错误。</explain>
      <paraID>5FDA9E69</paraID>
      <start>8</start>
      <end>19</end>
      <status>unmodified</status>
      <modifiedWord/>
      <trackRevisions>false</trackRevisions>
    </reviewItem>
    <reviewItem>
      <errorID>bbe626a6-e396-4c98-bdd9-411b141dc30a</errorID>
      <errorWord>)</errorWord>
      <group>L1_Format</group>
      <groupName>格式问题</groupName>
      <ability>L2_HalfPunc</ability>
      <abilityName>全半角检查</abilityName>
      <candidateList>
        <item>）</item>
      </candidateList>
      <explain>文本全半角错误。</explain>
      <paraID> 646C875</paraID>
      <start>8</start>
      <end>9</end>
      <status>unmodified</status>
      <modifiedWord/>
      <trackRevisions>false</trackRevisions>
    </reviewItem>
    <reviewItem>
      <errorID>380b2630-8d53-41a2-871c-b8814978a31d</errorID>
      <errorWord>)</errorWord>
      <group>L1_Format</group>
      <groupName>格式问题</groupName>
      <ability>L2_HalfPunc</ability>
      <abilityName>全半角检查</abilityName>
      <candidateList>
        <item>）</item>
      </candidateList>
      <explain>文本全半角错误。</explain>
      <paraID>4CAA60AC</paraID>
      <start>8</start>
      <end>9</end>
      <status>unmodified</status>
      <modifiedWord/>
      <trackRevisions>false</trackRevisions>
    </reviewItem>
    <reviewItem>
      <errorID>a474e3e4-2d30-4c25-8593-fd56dcc0a767</errorID>
      <errorWord>,</errorWord>
      <group>L1_Format</group>
      <groupName>格式问题</groupName>
      <ability>L2_HalfPunc</ability>
      <abilityName>全半角检查</abilityName>
      <candidateList>
        <item>，</item>
      </candidateList>
      <explain>文本全半角错误。</explain>
      <paraID>632C3BBA</paraID>
      <start>67</start>
      <end>68</end>
      <status>unmodified</status>
      <modifiedWord/>
      <trackRevisions>false</trackRevisions>
    </reviewItem>
    <reviewItem>
      <errorID>7ab07647-41e1-4dea-bce6-49d5e420f1b4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10C4DEA</paraID>
      <start>90</start>
      <end>93</end>
      <status>unmodified</status>
      <modifiedWord/>
      <trackRevisions>false</trackRevisions>
    </reviewItem>
    <reviewItem>
      <errorID>1d1ceef8-8e96-4731-b532-5eb251f2b51e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10C4DEA</paraID>
      <start>96</start>
      <end>99</end>
      <status>unmodified</status>
      <modifiedWord/>
      <trackRevisions>false</trackRevisions>
    </reviewItem>
    <reviewItem>
      <errorID>5107df64-2d99-49ca-83d3-1107dca67071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10C4DEA</paraID>
      <start>102</start>
      <end>105</end>
      <status>unmodified</status>
      <modifiedWord/>
      <trackRevisions>false</trackRevisions>
    </reviewItem>
    <reviewItem>
      <errorID>d8cc51af-ddaf-4f90-9b1e-39005c1e3f5b</errorID>
      <errorWord>其它</errorWord>
      <group>L1_Word</group>
      <groupName>字词问题</groupName>
      <ability>L2_Alias</ability>
      <abilityName>也作/曾用词</abilityName>
      <candidateList>
        <item>其他</item>
      </candidateList>
      <explain>词汇[其它]为不规范表述或旧称，其规范书面表述为[其他]。</explain>
      <paraID>370DC70D</paraID>
      <start>124</start>
      <end>126</end>
      <status>unmodified</status>
      <modifiedWord/>
      <trackRevisions>false</trackRevisions>
    </reviewItem>
    <reviewItem>
      <errorID>66af7734-f88c-482e-a39b-06dd93442b91</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10C1173C</paraID>
      <start>153</start>
      <end>158</end>
      <status>unmodified</status>
      <modifiedWord/>
      <trackRevisions>false</trackRevisions>
    </reviewItem>
    <reviewItem>
      <errorID>08016d1b-c863-47b0-97cf-8ceb6317cbe2</errorID>
      <errorWord>截至</errorWord>
      <group>L1_Word</group>
      <groupName>字词问题</groupName>
      <ability>L2_Typo</ability>
      <abilityName>字词错误</abilityName>
      <candidateList>
        <item>截止</item>
      </candidateList>
      <explain>〈动〉（到一定期限）停止：报名在昨天已经～。</explain>
      <paraID>6D441CF7</paraID>
      <start>75</start>
      <end>79</end>
      <status>modified</status>
      <modifiedWord>截止</modifiedWord>
      <trackRevisions>true</trackRevisions>
    </reviewItem>
    <reviewItem>
      <errorID>9db814a4-1d14-4f2a-959b-24eef2d45900</errorID>
      <errorWord>法律、法规</errorWord>
      <group>L1_Word</group>
      <groupName>字词问题</groupName>
      <ability>L2_Typo</ability>
      <abilityName>字词错误</abilityName>
      <candidateList>
        <item>法律法规</item>
      </candidateList>
      <explain/>
      <paraID>6F2CC51F</paraID>
      <start>0</start>
      <end>5</end>
      <status>unmodified</status>
      <modifiedWord/>
      <trackRevisions>false</trackRevisions>
    </reviewItem>
    <reviewItem>
      <errorID>29d82af8-d802-42d3-8584-1264effeb69c</errorID>
      <errorWord>其它</errorWord>
      <group>L1_Word</group>
      <groupName>字词问题</groupName>
      <ability>L2_Alias</ability>
      <abilityName>也作/曾用词</abilityName>
      <candidateList>
        <item>其他</item>
      </candidateList>
      <explain>词汇[其它]为不规范表述或旧称，其规范书面表述为[其他]。</explain>
      <paraID>6F2CC51F</paraID>
      <start>14</start>
      <end>16</end>
      <status>unmodified</status>
      <modifiedWord/>
      <trackRevisions>false</trackRevisions>
    </reviewItem>
    <reviewItem>
      <errorID>ed52c084-c616-4ff5-8457-e6f60f53a449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5A6465DB</paraID>
      <start>38</start>
      <end>41</end>
      <status>unmodified</status>
      <modifiedWord/>
      <trackRevisions>false</trackRevisions>
    </reviewItem>
    <reviewItem>
      <errorID>8ae6b73c-3e25-4f37-bdfc-a22fe95d0272</errorID>
      <errorWord>，</errorWord>
      <group>L1_Word</group>
      <groupName>字词问题</groupName>
      <ability>L2_Typo</ability>
      <abilityName>字词错误</abilityName>
      <candidateList>
        <item>，在</item>
      </candidateList>
      <explain/>
      <paraID>5942A68D</paraID>
      <start>71</start>
      <end>72</end>
      <status>unmodified</status>
      <modifiedWord/>
      <trackRevisions>false</trackRevisions>
    </reviewItem>
    <reviewItem>
      <errorID>27cfbe11-eb9a-4a11-bb32-f95c1a39c347</errorID>
      <errorWord>签收</errorWord>
      <group>L1_Word</group>
      <groupName>字词问题</groupName>
      <ability>L2_Typo</ability>
      <abilityName>字词错误</abilityName>
      <candidateList>
        <item>验收</item>
      </candidateList>
      <explain/>
      <paraID>72A5AFE7</paraID>
      <start>82</start>
      <end>84</end>
      <status>unmodified</status>
      <modifiedWord/>
      <trackRevisions>false</trackRevisions>
    </reviewItem>
    <reviewItem>
      <errorID>b8bdf86c-a7dd-438a-b6dd-1fea2ec891f6</errorID>
      <errorWord>间</errorWord>
      <group>L1_Word</group>
      <groupName>字词问题</groupName>
      <ability>L2_Typo</ability>
      <abilityName>字词错误</abilityName>
      <candidateList>
        <item>间之</item>
      </candidateList>
      <explain/>
      <paraID>36F6636F</paraID>
      <start>14</start>
      <end>15</end>
      <status>unmodified</status>
      <modifiedWord/>
      <trackRevisions>false</trackRevisions>
    </reviewItem>
    <reviewItem>
      <errorID>a7af1543-deff-45d5-b97e-287a41f36ff5</errorID>
      <errorWord>截止</errorWord>
      <group>L1_Word</group>
      <groupName>字词问题</groupName>
      <ability>L2_Typo</ability>
      <abilityName>字词错误</abilityName>
      <candidateList>
        <item>截至</item>
      </candidateList>
      <explain>存在发音相同字词的误用。</explain>
      <paraID>3F8FED75</paraID>
      <start>50</start>
      <end>52</end>
      <status>unmodified</status>
      <modifiedWord/>
      <trackRevisions>false</trackRevisions>
    </reviewItem>
    <reviewItem>
      <errorID>c547c8b2-59a6-4c48-9b1a-3c61085e18b5</errorID>
      <errorWord>法律、法规</errorWord>
      <group>L1_Word</group>
      <groupName>字词问题</groupName>
      <ability>L2_Typo</ability>
      <abilityName>字词错误</abilityName>
      <candidateList>
        <item>法律法规</item>
      </candidateList>
      <explain/>
      <paraID> CB7AE90</paraID>
      <start>18</start>
      <end>23</end>
      <status>unmodified</status>
      <modifiedWord/>
      <trackRevisions>false</trackRevisions>
    </reviewItem>
    <reviewItem>
      <errorID>3225b694-a82b-47e7-b186-a3c5d06f477b</errorID>
      <errorWord>(</errorWord>
      <group>L1_Format</group>
      <groupName>格式问题</groupName>
      <ability>L2_HalfPunc</ability>
      <abilityName>全半角检查</abilityName>
      <candidateList>
        <item>（</item>
      </candidateList>
      <explain>文本全半角错误。</explain>
      <paraID>1270277B</paraID>
      <start>63</start>
      <end>64</end>
      <status>unmodified</status>
      <modifiedWord/>
      <trackRevisions>false</trackRevisions>
    </reviewItem>
    <reviewItem>
      <errorID>81c6b9bc-599c-45aa-a593-c1f9349c1a18</errorID>
      <errorWord>)</errorWord>
      <group>L1_Format</group>
      <groupName>格式问题</groupName>
      <ability>L2_HalfPunc</ability>
      <abilityName>全半角检查</abilityName>
      <candidateList>
        <item>）</item>
      </candidateList>
      <explain>文本全半角错误。</explain>
      <paraID>1270277B</paraID>
      <start>86</start>
      <end>87</end>
      <status>unmodified</status>
      <modifiedWord/>
      <trackRevisions>false</trackRevisions>
    </reviewItem>
    <reviewItem>
      <errorID>9ec58677-6898-4fce-85dd-866b291a6350</errorID>
      <errorWord>,</errorWord>
      <group>L1_Format</group>
      <groupName>格式问题</groupName>
      <ability>L2_HalfPunc</ability>
      <abilityName>全半角检查</abilityName>
      <candidateList>
        <item>，</item>
      </candidateList>
      <explain>文本全半角错误。</explain>
      <paraID>617D3F4E</paraID>
      <start>74</start>
      <end>75</end>
      <status>unmodified</status>
      <modifiedWord/>
      <trackRevisions>false</trackRevisions>
    </reviewItem>
    <reviewItem>
      <errorID>1752438d-3c27-47c3-98d2-0a953cff0c21</errorID>
      <errorWord>其它无关的</errorWord>
      <group>L1_Word</group>
      <groupName>字词问题</groupName>
      <ability>L2_Alias</ability>
      <abilityName>也作/曾用词</abilityName>
      <candidateList>
        <item>其他无关的</item>
      </candidateList>
      <explain>词汇[其它无关的]为不规范表述或旧称，其规范书面表述为[其他无关的]。</explain>
      <paraID>79D2C981</paraID>
      <start>64</start>
      <end>69</end>
      <status>unmodified</status>
      <modifiedWord/>
      <trackRevisions>false</trackRevisions>
    </reviewItem>
    <reviewItem>
      <errorID>b5187bad-f788-4234-9f97-07226384d18d</errorID>
      <errorWord>（</errorWord>
      <group>L1_Punc</group>
      <groupName>标点问题</groupName>
      <ability>L2_Punc</ability>
      <abilityName>标点符号检查</abilityName>
      <candidateList/>
      <explain>同一形式括号套用。</explain>
      <paraID>7DC76FAC</paraID>
      <start>120</start>
      <end>121</end>
      <status>unmodified</status>
      <modifiedWord/>
      <trackRevisions>false</trackRevisions>
    </reviewItem>
    <reviewItem>
      <errorID>c2982264-75cb-47e4-b373-03954efda9b7</errorID>
      <errorWord>[2022]3号</errorWord>
      <group>L1_Knowledge</group>
      <groupName>知识性问题</groupName>
      <ability>L2_Knowledge</ability>
      <abilityName>其他知识</abilityName>
      <candidateList>
        <item>〔2022〕3号</item>
      </candidateList>
      <explain>发文字号格式错误。</explain>
      <paraID>7DC76FAC</paraID>
      <start>123</start>
      <end>131</end>
      <status>unmodified</status>
      <modifiedWord/>
      <trackRevisions>false</trackRevisions>
    </reviewItem>
    <reviewItem>
      <errorID>47b296c7-73a3-4998-98f3-a0ebaaf3c185</errorID>
      <errorWord>）</errorWord>
      <group>L1_Punc</group>
      <groupName>标点问题</groupName>
      <ability>L2_Punc</ability>
      <abilityName>标点符号检查</abilityName>
      <candidateList/>
      <explain>同一形式括号套用。</explain>
      <paraID>7DC76FAC</paraID>
      <start>131</start>
      <end>132</end>
      <status>unmodified</status>
      <modifiedWord/>
      <trackRevisions>false</trackRevisions>
    </reviewItem>
    <reviewItem>
      <errorID>adc306ca-f5a1-4ed7-8db7-4853f26b8c4a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41E3ACD</paraID>
      <start>39</start>
      <end>42</end>
      <status>unmodified</status>
      <modifiedWord/>
      <trackRevisions>false</trackRevisions>
    </reviewItem>
    <reviewItem>
      <errorID>59e23a8b-a078-4bf1-8e2a-31ed41c8c28e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41E3ACD</paraID>
      <start>58</start>
      <end>61</end>
      <status>unmodified</status>
      <modifiedWord/>
      <trackRevisions>false</trackRevisions>
    </reviewItem>
    <reviewItem>
      <errorID>9c1c0fdf-d0d7-443d-b2f4-8f4463754b0d</errorID>
      <errorWord>[2019]9号</errorWord>
      <group>L1_Knowledge</group>
      <groupName>知识性问题</groupName>
      <ability>L2_Knowledge</ability>
      <abilityName>其他知识</abilityName>
      <candidateList>
        <item>〔2019〕9号</item>
      </candidateList>
      <explain>发文字号格式错误。</explain>
      <paraID>7102BD8E</paraID>
      <start>23</start>
      <end>31</end>
      <status>unmodified</status>
      <modifiedWord/>
      <trackRevisions>false</trackRevisions>
    </reviewItem>
    <reviewItem>
      <errorID>d9d2d1ac-83be-46d2-b171-1a2624729730</errorID>
      <errorWord>项</errorWord>
      <group>L1_Word</group>
      <groupName>字词问题</groupName>
      <ability>L2_Typo</ability>
      <abilityName>字词错误</abilityName>
      <candidateList>
        <item>项目</item>
      </candidateList>
      <explain>〈名〉事物分成的门类：服务～｜体育～｜建设～。</explain>
      <paraID>2E5FDC23</paraID>
      <start>28</start>
      <end>29</end>
      <status>unmodified</status>
      <modifiedWord/>
      <trackRevisions>false</trackRevisions>
    </reviewItem>
    <reviewItem>
      <errorID>ea3a7cf1-d0ef-4075-8cc0-8ff095d25560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40AA4B35</paraID>
      <start>15</start>
      <end>18</end>
      <status>unmodified</status>
      <modifiedWord/>
      <trackRevisions>false</trackRevisions>
    </reviewItem>
    <reviewItem>
      <errorID>1d5fb7ea-4c35-4ade-a63b-0613174be774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40AA4B35</paraID>
      <start>34</start>
      <end>37</end>
      <status>unmodified</status>
      <modifiedWord/>
      <trackRevisions>false</trackRevisions>
    </reviewItem>
    <reviewItem>
      <errorID>c1e285cb-946a-4d5b-b306-d3114951e833</errorID>
      <errorWord>（</errorWord>
      <group>L1_Punc</group>
      <groupName>标点问题</groupName>
      <ability>L2_Punc</ability>
      <abilityName>标点符号检查</abilityName>
      <candidateList/>
      <explain>同一形式括号套用。</explain>
      <paraID>2074EB45</paraID>
      <start>71</start>
      <end>72</end>
      <status>unmodified</status>
      <modifiedWord/>
      <trackRevisions>false</trackRevisions>
    </reviewItem>
    <reviewItem>
      <errorID>cd237fd3-09eb-410a-b73e-4d7cdf0d57af</errorID>
      <errorWord>）</errorWord>
      <group>L1_Punc</group>
      <groupName>标点问题</groupName>
      <ability>L2_Punc</ability>
      <abilityName>标点符号检查</abilityName>
      <candidateList/>
      <explain>同一形式括号套用。</explain>
      <paraID>2074EB45</paraID>
      <start>74</start>
      <end>75</end>
      <status>unmodified</status>
      <modifiedWord/>
      <trackRevisions>false</trackRevisions>
    </reviewItem>
    <reviewItem>
      <errorID>12083d0b-9401-4dac-8131-4cffd77fa3f8</errorID>
      <errorWord>（</errorWord>
      <group>L1_Punc</group>
      <groupName>标点问题</groupName>
      <ability>L2_Punc</ability>
      <abilityName>标点符号检查</abilityName>
      <candidateList/>
      <explain>同一形式括号套用。</explain>
      <paraID>7977522E</paraID>
      <start>37</start>
      <end>38</end>
      <status>unmodified</status>
      <modifiedWord/>
      <trackRevisions>false</trackRevisions>
    </reviewItem>
    <reviewItem>
      <errorID>30dd6bda-e26e-4084-864d-935c7b951c9f</errorID>
      <errorWord>）</errorWord>
      <group>L1_Punc</group>
      <groupName>标点问题</groupName>
      <ability>L2_Punc</ability>
      <abilityName>标点符号检查</abilityName>
      <candidateList/>
      <explain>同一形式括号套用。</explain>
      <paraID>7977522E</paraID>
      <start>40</start>
      <end>41</end>
      <status>unmodified</status>
      <modifiedWord/>
      <trackRevisions>false</trackRevisions>
    </reviewItem>
    <reviewItem>
      <errorID>2e1904a1-0ec1-4dac-8fc2-43b9dc5faae7</errorID>
      <errorWord>（</errorWord>
      <group>L1_Punc</group>
      <groupName>标点问题</groupName>
      <ability>L2_Punc</ability>
      <abilityName>标点符号检查</abilityName>
      <candidateList/>
      <explain>同一形式括号套用。</explain>
      <paraID>7977522E</paraID>
      <start>90</start>
      <end>91</end>
      <status>unmodified</status>
      <modifiedWord/>
      <trackRevisions>false</trackRevisions>
    </reviewItem>
    <reviewItem>
      <errorID>59160617-bd63-4f60-968d-eff82bb9b00c</errorID>
      <errorWord>）</errorWord>
      <group>L1_Punc</group>
      <groupName>标点问题</groupName>
      <ability>L2_Punc</ability>
      <abilityName>标点符号检查</abilityName>
      <candidateList/>
      <explain>同一形式括号套用。</explain>
      <paraID>7977522E</paraID>
      <start>93</start>
      <end>94</end>
      <status>unmodified</status>
      <modifiedWord/>
      <trackRevisions>false</trackRevisions>
    </reviewItem>
    <reviewItem>
      <errorID>a9993c09-15ba-4113-bbba-3f0fbf2f17ce</errorID>
      <errorWord>(</errorWord>
      <group>L1_Format</group>
      <groupName>格式问题</groupName>
      <ability>L2_HalfPunc</ability>
      <abilityName>全半角检查</abilityName>
      <candidateList>
        <item>（</item>
      </candidateList>
      <explain>文本全半角错误。</explain>
      <paraID>3E408353</paraID>
      <start>20</start>
      <end>21</end>
      <status>unmodified</status>
      <modifiedWord/>
      <trackRevisions>false</trackRevisions>
    </reviewItem>
    <reviewItem>
      <errorID>96a325c0-b02c-48a0-bf6f-cdcdcf6d9f55</errorID>
      <errorWord>)</errorWord>
      <group>L1_Format</group>
      <groupName>格式问题</groupName>
      <ability>L2_HalfPunc</ability>
      <abilityName>全半角检查</abilityName>
      <candidateList>
        <item>）</item>
      </candidateList>
      <explain>文本全半角错误。</explain>
      <paraID>3E408353</paraID>
      <start>43</start>
      <end>44</end>
      <status>unmodified</status>
      <modifiedWord/>
      <trackRevisions>false</trackRevisions>
    </reviewItem>
    <reviewItem>
      <errorID>bd5a1b7c-b63c-4724-9f65-2cad01833b6c</errorID>
      <errorWord>现场时</errorWord>
      <group>L1_Word</group>
      <groupName>字词问题</groupName>
      <ability>L2_Typo</ability>
      <abilityName>字词错误</abilityName>
      <candidateList>
        <item>现场</item>
      </candidateList>
      <explain/>
      <paraID>4F755583</paraID>
      <start>18</start>
      <end>21</end>
      <status>unmodified</status>
      <modifiedWord/>
      <trackRevisions>false</trackRevisions>
    </reviewItem>
    <reviewItem>
      <errorID>37e3ebcf-7f67-4460-90c1-4a74b18c8bef</errorID>
      <errorWord>“/</errorWord>
      <group>L1_Punc</group>
      <groupName>标点问题</groupName>
      <ability>L2_Punc</ability>
      <abilityName>标点符号检查</abilityName>
      <candidateList>
        <item>“</item>
      </candidateList>
      <explain/>
      <paraID>5BEC0B1D</paraID>
      <start>71</start>
      <end>73</end>
      <status>unmodified</status>
      <modifiedWord/>
      <trackRevisions>false</trackRevisions>
    </reviewItem>
    <reviewItem>
      <errorID>3456256a-6d8b-416a-b49c-afd49d502d39</errorID>
      <errorWord>“/</errorWord>
      <group>L1_Punc</group>
      <groupName>标点问题</groupName>
      <ability>L2_Punc</ability>
      <abilityName>标点符号检查</abilityName>
      <candidateList>
        <item>“</item>
      </candidateList>
      <explain/>
      <paraID> 25A7AB8</paraID>
      <start>41</start>
      <end>43</end>
      <status>unmodified</status>
      <modifiedWord/>
      <trackRevisions>false</trackRevisions>
    </reviewItem>
    <reviewItem>
      <errorID>93ef6690-57fe-4314-9b7f-38e6396c6f09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4BDA4876</paraID>
      <start>15</start>
      <end>18</end>
      <status>unmodified</status>
      <modifiedWord/>
      <trackRevisions>false</trackRevisions>
    </reviewItem>
    <reviewItem>
      <errorID>b976002b-e02c-467d-a99e-4bc375041d7e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4BDA4876</paraID>
      <start>34</start>
      <end>37</end>
      <status>unmodified</status>
      <modifiedWord/>
      <trackRevisions>false</trackRevisions>
    </reviewItem>
    <reviewItem>
      <errorID>17d26bc2-9f79-45b3-bfd4-2e8a183b5e7e</errorID>
      <errorWord>法律、法规</errorWord>
      <group>L1_Word</group>
      <groupName>字词问题</groupName>
      <ability>L2_Typo</ability>
      <abilityName>字词错误</abilityName>
      <candidateList>
        <item>法律法规</item>
      </candidateList>
      <explain/>
      <paraID>667B1E44</paraID>
      <start>2</start>
      <end>7</end>
      <status>unmodified</status>
      <modifiedWord/>
      <trackRevisions>false</trackRevisions>
    </reviewItem>
    <reviewItem>
      <errorID>19f6d710-0b2a-4f99-b151-d3f47670fa00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74D9B00F</paraID>
      <start>0</start>
      <end>2</end>
      <status>unmodified</status>
      <modifiedWord/>
      <trackRevisions>false</trackRevisions>
    </reviewItem>
    <reviewItem>
      <errorID>c21ddf4e-5a40-42d7-9fe5-b74be96806a2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4566116B</paraID>
      <start>0</start>
      <end>2</end>
      <status>unmodified</status>
      <modifiedWord/>
      <trackRevisions>false</trackRevisions>
    </reviewItem>
    <reviewItem>
      <errorID>f853f335-cbeb-4ec7-89ef-7a239eb5b625</errorID>
      <errorWord>员</errorWord>
      <group>L1_Word</group>
      <groupName>字词问题</groupName>
      <ability>L2_Typo</ability>
      <abilityName>字词错误</abilityName>
      <candidateList>
        <item>员会</item>
      </candidateList>
      <explain/>
      <paraID>38EF6134</paraID>
      <start>115</start>
      <end>116</end>
      <status>unmodified</status>
      <modifiedWord/>
      <trackRevisions>false</trackRevisions>
    </reviewItem>
    <reviewItem>
      <errorID>edc87337-a6d4-4142-aa06-b962fc585e73</errorID>
      <errorWord>:</errorWord>
      <group>L1_Format</group>
      <groupName>格式问题</groupName>
      <ability>L2_HalfPunc</ability>
      <abilityName>全半角检查</abilityName>
      <candidateList>
        <item>：</item>
      </candidateList>
      <explain>文本全半角错误。</explain>
      <paraID>3701A774</paraID>
      <start>4</start>
      <end>5</end>
      <status>unmodified</status>
      <modifiedWord/>
      <trackRevisions>false</trackRevisions>
    </reviewItem>
    <reviewItem>
      <errorID>3d821f11-9fc1-45a6-a443-870290380894</errorID>
      <errorWord>&lt;</errorWord>
      <group>L1_Format</group>
      <groupName>格式问题</groupName>
      <ability>L2_HalfPunc</ability>
      <abilityName>全半角检查</abilityName>
      <candidateList>
        <item>〈</item>
      </candidateList>
      <explain>文本全半角错误。</explain>
      <paraID>3701A774</paraID>
      <start>7</start>
      <end>8</end>
      <status>unmodified</status>
      <modifiedWord/>
      <trackRevisions>false</trackRevisions>
    </reviewItem>
    <reviewItem>
      <errorID>4d77df6d-482c-4e59-8d28-7893e8ee691e</errorID>
      <errorWord>&lt;</errorWord>
      <group>L1_Format</group>
      <groupName>格式问题</groupName>
      <ability>L2_HalfPunc</ability>
      <abilityName>全半角检查</abilityName>
      <candidateList>
        <item>〈</item>
      </candidateList>
      <explain>文本全半角错误。</explain>
      <paraID>3701A774</paraID>
      <start>8</start>
      <end>9</end>
      <status>unmodified</status>
      <modifiedWord/>
      <trackRevisions>false</trackRevisions>
    </reviewItem>
    <reviewItem>
      <errorID>760ac410-edc0-4781-8dc9-2d19624e103e</errorID>
      <errorWord>&gt;&gt;</errorWord>
      <group>L1_Punc</group>
      <groupName>标点问题</groupName>
      <ability>L2_Punc</ability>
      <abilityName>标点符号检查</abilityName>
      <candidateList>
        <item>&gt;</item>
      </candidateList>
      <explain/>
      <paraID>3701A774</paraID>
      <start>28</start>
      <end>30</end>
      <status>unmodified</status>
      <modifiedWord/>
      <trackRevisions>false</trackRevisions>
    </reviewItem>
    <reviewItem>
      <errorID>d240b0a9-ef92-409e-af8d-9b9a716bb3fb</errorID>
      <errorWord>(</errorWord>
      <group>L1_Format</group>
      <groupName>格式问题</groupName>
      <ability>L2_HalfPunc</ability>
      <abilityName>全半角检查</abilityName>
      <candidateList>
        <item>（</item>
      </candidateList>
      <explain>文本全半角错误。</explain>
      <paraID>3701A774</paraID>
      <start>30</start>
      <end>31</end>
      <status>unmodified</status>
      <modifiedWord/>
      <trackRevisions>false</trackRevisions>
    </reviewItem>
    <reviewItem>
      <errorID>41b451fd-3cac-4317-a38a-4b962fbb40ee</errorID>
      <errorWord>[2026]2号</errorWord>
      <group>L1_Knowledge</group>
      <groupName>知识性问题</groupName>
      <ability>L2_Knowledge</ability>
      <abilityName>其他知识</abilityName>
      <candidateList>
        <item>〔2026〕2号</item>
      </candidateList>
      <explain>发文字号格式错误。</explain>
      <paraID>3701A774</paraID>
      <start>33</start>
      <end>41</end>
      <status>unmodified</status>
      <modifiedWord/>
      <trackRevisions>false</trackRevisions>
    </reviewItem>
    <reviewItem>
      <errorID>0915022d-b040-4924-9500-82efb54c4fba</errorID>
      <errorWord>)</errorWord>
      <group>L1_Format</group>
      <groupName>格式问题</groupName>
      <ability>L2_HalfPunc</ability>
      <abilityName>全半角检查</abilityName>
      <candidateList>
        <item>）</item>
      </candidateList>
      <explain>文本全半角错误。</explain>
      <paraID>3701A774</paraID>
      <start>41</start>
      <end>42</end>
      <status>unmodified</status>
      <modifiedWord/>
      <trackRevisions>false</trackRevisions>
    </reviewItem>
    <reviewItem>
      <errorID>521dd6fa-a839-4cf6-8b33-821b02126846</errorID>
      <errorWord>(</errorWord>
      <group>L1_Format</group>
      <groupName>格式问题</groupName>
      <ability>L2_HalfPunc</ability>
      <abilityName>全半角检查</abilityName>
      <candidateList>
        <item>（</item>
      </candidateList>
      <explain>文本全半角错误。</explain>
      <paraID>3701A774</paraID>
      <start>89</start>
      <end>90</end>
      <status>unmodified</status>
      <modifiedWord/>
      <trackRevisions>false</trackRevisions>
    </reviewItem>
    <reviewItem>
      <errorID>670bf0fa-a8ea-46ea-94ad-95672a4cc605</errorID>
      <errorWord>)</errorWord>
      <group>L1_Format</group>
      <groupName>格式问题</groupName>
      <ability>L2_HalfPunc</ability>
      <abilityName>全半角检查</abilityName>
      <candidateList>
        <item>）</item>
      </candidateList>
      <explain>文本全半角错误。</explain>
      <paraID>3701A774</paraID>
      <start>92</start>
      <end>93</end>
      <status>unmodified</status>
      <modifiedWord/>
      <trackRevisions>false</trackRevisions>
    </reviewItem>
    <reviewItem>
      <errorID>e2d239ab-4a73-4dab-ac9b-6da3aa0e0156</errorID>
      <errorWord>:</errorWord>
      <group>L1_Format</group>
      <groupName>格式问题</groupName>
      <ability>L2_HalfPunc</ability>
      <abilityName>全半角检查</abilityName>
      <candidateList>
        <item>：</item>
      </candidateList>
      <explain>文本全半角错误。</explain>
      <paraID>3701A774</paraID>
      <start>97</start>
      <end>98</end>
      <status>unmodified</status>
      <modifiedWord/>
      <trackRevisions>false</trackRevisions>
    </reviewItem>
    <reviewItem>
      <errorID>851774fe-e002-4924-97a7-e1ef8e0ee73c</errorID>
      <errorWord>&lt;</errorWord>
      <group>L1_Format</group>
      <groupName>格式问题</groupName>
      <ability>L2_HalfPunc</ability>
      <abilityName>全半角检查</abilityName>
      <candidateList>
        <item>〈</item>
      </candidateList>
      <explain>文本全半角错误。</explain>
      <paraID>5EC96F0E</paraID>
      <start>50</start>
      <end>51</end>
      <status>unmodified</status>
      <modifiedWord/>
      <trackRevisions>false</trackRevisions>
    </reviewItem>
    <reviewItem>
      <errorID>3590c80a-8ee1-410e-8672-acf9b0c10056</errorID>
      <errorWord>&lt;</errorWord>
      <group>L1_Format</group>
      <groupName>格式问题</groupName>
      <ability>L2_HalfPunc</ability>
      <abilityName>全半角检查</abilityName>
      <candidateList>
        <item>〈</item>
      </candidateList>
      <explain>文本全半角错误。</explain>
      <paraID>74FCC3ED</paraID>
      <start>50</start>
      <end>51</end>
      <status>unmodified</status>
      <modifiedWord/>
      <trackRevisions>false</trackRevisions>
    </reviewItem>
    <reviewItem>
      <errorID>5df3e4e6-f876-4c3f-8055-f5fad21fdc4a</errorID>
      <errorWord>&lt;</errorWord>
      <group>L1_Format</group>
      <groupName>格式问题</groupName>
      <ability>L2_HalfPunc</ability>
      <abilityName>全半角检查</abilityName>
      <candidateList>
        <item>〈</item>
      </candidateList>
      <explain>文本全半角错误。</explain>
      <paraID> 754FC61</paraID>
      <start>35</start>
      <end>36</end>
      <status>unmodified</status>
      <modifiedWord/>
      <trackRevisions>false</trackRevisions>
    </reviewItem>
    <reviewItem>
      <errorID>3f7139c2-9fb0-4862-ae0b-fb539cf057a9</errorID>
      <errorWord>:</errorWord>
      <group>L1_Format</group>
      <groupName>格式问题</groupName>
      <ability>L2_HalfPunc</ability>
      <abilityName>全半角检查</abilityName>
      <candidateList>
        <item>：</item>
      </candidateList>
      <explain>文本全半角错误。</explain>
      <paraID>2B56411E</paraID>
      <start>7</start>
      <end>8</end>
      <status>unmodified</status>
      <modifiedWord/>
      <trackRevisions>false</trackRevisions>
    </reviewItem>
    <reviewItem>
      <errorID>d7f70297-b7e6-454b-9827-0cc7a91b7a65</errorID>
      <errorWord>(</errorWord>
      <group>L1_Format</group>
      <groupName>格式问题</groupName>
      <ability>L2_HalfPunc</ability>
      <abilityName>全半角检查</abilityName>
      <candidateList>
        <item>（</item>
      </candidateList>
      <explain>文本全半角错误。</explain>
      <paraID>2B56411E</paraID>
      <start>21</start>
      <end>22</end>
      <status>unmodified</status>
      <modifiedWord/>
      <trackRevisions>false</trackRevisions>
    </reviewItem>
    <reviewItem>
      <errorID>9d88e320-7bab-496c-91ef-627e9923ff9a</errorID>
      <errorWord>)</errorWord>
      <group>L1_Format</group>
      <groupName>格式问题</groupName>
      <ability>L2_HalfPunc</ability>
      <abilityName>全半角检查</abilityName>
      <candidateList>
        <item>）</item>
      </candidateList>
      <explain>文本全半角错误。</explain>
      <paraID>2B56411E</paraID>
      <start>24</start>
      <end>25</end>
      <status>unmodified</status>
      <modifiedWord/>
      <trackRevisions>false</trackRevisions>
    </reviewItem>
    <reviewItem>
      <errorID>429beb00-c945-4b2a-a9de-710aafd7e1dc</errorID>
      <errorWord>(</errorWord>
      <group>L1_Format</group>
      <groupName>格式问题</groupName>
      <ability>L2_HalfPunc</ability>
      <abilityName>全半角检查</abilityName>
      <candidateList>
        <item>（</item>
      </candidateList>
      <explain>文本全半角错误。</explain>
      <paraID>2B56411E</paraID>
      <start>67</start>
      <end>68</end>
      <status>unmodified</status>
      <modifiedWord/>
      <trackRevisions>false</trackRevisions>
    </reviewItem>
    <reviewItem>
      <errorID>cb722a7e-f297-4056-8fa9-aec1c67a835d</errorID>
      <errorWord>)</errorWord>
      <group>L1_Format</group>
      <groupName>格式问题</groupName>
      <ability>L2_HalfPunc</ability>
      <abilityName>全半角检查</abilityName>
      <candidateList>
        <item>）</item>
      </candidateList>
      <explain>文本全半角错误。</explain>
      <paraID>2B56411E</paraID>
      <start>70</start>
      <end>71</end>
      <status>unmodified</status>
      <modifiedWord/>
      <trackRevisions>false</trackRevisions>
    </reviewItem>
    <reviewItem>
      <errorID>39958497-b0e0-422d-8119-d1fb5abce9ba</errorID>
      <errorWord>,</errorWord>
      <group>L1_Format</group>
      <groupName>格式问题</groupName>
      <ability>L2_HalfPunc</ability>
      <abilityName>全半角检查</abilityName>
      <candidateList>
        <item>，</item>
      </candidateList>
      <explain>文本全半角错误。</explain>
      <paraID>2B56411E</paraID>
      <start>110</start>
      <end>111</end>
      <status>unmodified</status>
      <modifiedWord/>
      <trackRevisions>false</trackRevisions>
    </reviewItem>
    <reviewItem>
      <errorID>65396f89-3845-4107-ae9c-c8852b136ead</errorID>
      <errorWord>(</errorWord>
      <group>L1_Format</group>
      <groupName>格式问题</groupName>
      <ability>L2_HalfPunc</ability>
      <abilityName>全半角检查</abilityName>
      <candidateList>
        <item>（</item>
      </candidateList>
      <explain>文本全半角错误。</explain>
      <paraID>2B56411E</paraID>
      <start>172</start>
      <end>173</end>
      <status>unmodified</status>
      <modifiedWord/>
      <trackRevisions>false</trackRevisions>
    </reviewItem>
    <reviewItem>
      <errorID>975e1bc3-99d7-40bf-b60d-05df5d73645f</errorID>
      <errorWord>)</errorWord>
      <group>L1_Format</group>
      <groupName>格式问题</groupName>
      <ability>L2_HalfPunc</ability>
      <abilityName>全半角检查</abilityName>
      <candidateList>
        <item>）</item>
      </candidateList>
      <explain>文本全半角错误。</explain>
      <paraID>2B56411E</paraID>
      <start>175</start>
      <end>176</end>
      <status>unmodified</status>
      <modifiedWord/>
      <trackRevisions>false</trackRevisions>
    </reviewItem>
    <reviewItem>
      <errorID>62385614-0bf1-4bd3-af9a-d900787a9aab</errorID>
      <errorWord>:</errorWord>
      <group>L1_Format</group>
      <groupName>格式问题</groupName>
      <ability>L2_HalfPunc</ability>
      <abilityName>全半角检查</abilityName>
      <candidateList>
        <item>：</item>
      </candidateList>
      <explain>文本全半角错误。</explain>
      <paraID> 9D806C0</paraID>
      <start>7</start>
      <end>8</end>
      <status>unmodified</status>
      <modifiedWord/>
      <trackRevisions>false</trackRevisions>
    </reviewItem>
    <reviewItem>
      <errorID>a24adf5f-e720-4bdd-b932-1c608c5afd30</errorID>
      <errorWord>(</errorWord>
      <group>L1_Format</group>
      <groupName>格式问题</groupName>
      <ability>L2_HalfPunc</ability>
      <abilityName>全半角检查</abilityName>
      <candidateList>
        <item>（</item>
      </candidateList>
      <explain>文本全半角错误。</explain>
      <paraID> 9D806C0</paraID>
      <start>28</start>
      <end>29</end>
      <status>unmodified</status>
      <modifiedWord/>
      <trackRevisions>false</trackRevisions>
    </reviewItem>
    <reviewItem>
      <errorID>fe56f605-a2e3-4e37-889c-e5a9be8b91a9</errorID>
      <errorWord>)</errorWord>
      <group>L1_Format</group>
      <groupName>格式问题</groupName>
      <ability>L2_HalfPunc</ability>
      <abilityName>全半角检查</abilityName>
      <candidateList>
        <item>）</item>
      </candidateList>
      <explain>文本全半角错误。</explain>
      <paraID> 9D806C0</paraID>
      <start>31</start>
      <end>32</end>
      <status>unmodified</status>
      <modifiedWord/>
      <trackRevisions>false</trackRevisions>
    </reviewItem>
    <reviewItem>
      <errorID>273f1c80-de71-413c-832b-7a539fbdac00</errorID>
      <errorWord>(</errorWord>
      <group>L1_Format</group>
      <groupName>格式问题</groupName>
      <ability>L2_HalfPunc</ability>
      <abilityName>全半角检查</abilityName>
      <candidateList>
        <item>（</item>
      </candidateList>
      <explain>文本全半角错误。</explain>
      <paraID> 9D806C0</paraID>
      <start>93</start>
      <end>94</end>
      <status>unmodified</status>
      <modifiedWord/>
      <trackRevisions>false</trackRevisions>
    </reviewItem>
    <reviewItem>
      <errorID>09d7f978-13fa-4576-85d0-0ae1d323c476</errorID>
      <errorWord>)</errorWord>
      <group>L1_Format</group>
      <groupName>格式问题</groupName>
      <ability>L2_HalfPunc</ability>
      <abilityName>全半角检查</abilityName>
      <candidateList>
        <item>）</item>
      </candidateList>
      <explain>文本全半角错误。</explain>
      <paraID> 9D806C0</paraID>
      <start>96</start>
      <end>97</end>
      <status>unmodified</status>
      <modifiedWord/>
      <trackRevisions>false</trackRevisions>
    </reviewItem>
    <reviewItem>
      <errorID>9189ec8c-f2b1-475b-a9cd-1d69be74e149</errorID>
      <errorWord>(</errorWord>
      <group>L1_Format</group>
      <groupName>格式问题</groupName>
      <ability>L2_HalfPunc</ability>
      <abilityName>全半角检查</abilityName>
      <candidateList>
        <item>（</item>
      </candidateList>
      <explain>文本全半角错误。</explain>
      <paraID> 9D806C0</paraID>
      <start>155</start>
      <end>156</end>
      <status>unmodified</status>
      <modifiedWord/>
      <trackRevisions>false</trackRevisions>
    </reviewItem>
    <reviewItem>
      <errorID>6338e19a-e41b-44ed-bbc1-40fbfe15f014</errorID>
      <errorWord>)</errorWord>
      <group>L1_Format</group>
      <groupName>格式问题</groupName>
      <ability>L2_HalfPunc</ability>
      <abilityName>全半角检查</abilityName>
      <candidateList>
        <item>）</item>
      </candidateList>
      <explain>文本全半角错误。</explain>
      <paraID> 9D806C0</paraID>
      <start>158</start>
      <end>159</end>
      <status>unmodified</status>
      <modifiedWord/>
      <trackRevisions>false</trackRevisions>
    </reviewItem>
    <reviewItem>
      <errorID>74a58e9d-50a3-49ea-af10-e14fdb8241e2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79887D4F</paraID>
      <start>0</start>
      <end>2</end>
      <status>unmodified</status>
      <modifiedWord/>
      <trackRevisions>false</trackRevisions>
    </reviewItem>
    <reviewItem>
      <errorID>33e25e05-9340-4698-8e4a-2e54cb6195b8</errorID>
      <errorWord>给</errorWord>
      <group>L1_Word</group>
      <groupName>字词问题</groupName>
      <ability>L2_Typo</ability>
      <abilityName>字词错误</abilityName>
      <candidateList>
        <item>给予</item>
      </candidateList>
      <explain>〈书〉〈动〉给（ɡěi）：～帮助｜～同情｜～亲切的关怀。也作给与。</explain>
      <paraID>79887D4F</paraID>
      <start>51</start>
      <end>52</end>
      <status>unmodified</status>
      <modifiedWord/>
      <trackRevisions>false</trackRevisions>
    </reviewItem>
    <reviewItem>
      <errorID>06b31b92-6b1e-49da-9f97-ede0592a42a2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3E1411D</paraID>
      <start>0</start>
      <end>2</end>
      <status>unmodified</status>
      <modifiedWord/>
      <trackRevisions>false</trackRevisions>
    </reviewItem>
    <reviewItem>
      <errorID>d0c9e8a2-ffb7-49ea-882c-81a3b550bca9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FD4D16A</paraID>
      <start>0</start>
      <end>2</end>
      <status>unmodified</status>
      <modifiedWord/>
      <trackRevisions>false</trackRevisions>
    </reviewItem>
    <reviewItem>
      <errorID>2025f43f-af2f-462c-aef2-c200dc7b2de7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7D9DA6AA</paraID>
      <start>0</start>
      <end>2</end>
      <status>unmodified</status>
      <modifiedWord/>
      <trackRevisions>false</trackRevisions>
    </reviewItem>
    <reviewItem>
      <errorID>e57cf421-09ad-4d48-ac9b-a4f19ec88605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3A94C813</paraID>
      <start>0</start>
      <end>2</end>
      <status>unmodified</status>
      <modifiedWord/>
      <trackRevisions>false</trackRevisions>
    </reviewItem>
    <reviewItem>
      <errorID>b5498b1a-9705-4e7d-a665-9cf5681e2da3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335E5D89</paraID>
      <start>0</start>
      <end>2</end>
      <status>unmodified</status>
      <modifiedWord/>
      <trackRevisions>false</trackRevisions>
    </reviewItem>
    <reviewItem>
      <errorID>c1f07240-e120-486f-a233-ffb9201b3a03</errorID>
      <errorWord>省级监狱局</errorWord>
      <group>L1_Knowledge</group>
      <groupName>知识性问题</groupName>
      <ability>L2_Organization</ability>
      <abilityName>机构检查</abilityName>
      <candidateList>
        <item>省监狱局</item>
      </candidateList>
      <explain>机关单位全简称表述错误</explain>
      <paraID>335E5D89</paraID>
      <start>54</start>
      <end>59</end>
      <status>unmodified</status>
      <modifiedWord/>
      <trackRevisions>false</trackRevisions>
    </reviewItem>
    <reviewItem>
      <errorID>6b08b32e-c1ea-411f-a36d-69da4d9a3b1f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53ACDE2A</paraID>
      <start>0</start>
      <end>2</end>
      <status>unmodified</status>
      <modifiedWord/>
      <trackRevisions>false</trackRevisions>
    </reviewItem>
    <reviewItem>
      <errorID>8f0c1dc7-4f2f-419e-8d41-5c7ac477483a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3DD202EF</paraID>
      <start>0</start>
      <end>2</end>
      <status>unmodified</status>
      <modifiedWord/>
      <trackRevisions>false</trackRevisions>
    </reviewItem>
    <reviewItem>
      <errorID>ac0d1cf1-f7e1-41bb-92bf-5a590761427c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6FDB9595</paraID>
      <start>0</start>
      <end>2</end>
      <status>unmodified</status>
      <modifiedWord/>
      <trackRevisions>false</trackRevisions>
    </reviewItem>
    <reviewItem>
      <errorID>ef3236f7-60cb-4548-b6bc-92e33b43b7cc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4BEF9E00</paraID>
      <start>0</start>
      <end>3</end>
      <status>unmodified</status>
      <modifiedWord/>
      <trackRevisions>false</trackRevisions>
    </reviewItem>
    <reviewItem>
      <errorID>affeef8e-40e9-4f90-805b-5224dee4c196</errorID>
      <errorWord>（</errorWord>
      <group>L1_Punc</group>
      <groupName>标点问题</groupName>
      <ability>L2_Punc</ability>
      <abilityName>标点符号检查</abilityName>
      <candidateList/>
      <explain>同一形式括号套用。</explain>
      <paraID>3F9C543E</paraID>
      <start>117</start>
      <end>118</end>
      <status>unmodified</status>
      <modifiedWord/>
      <trackRevisions>false</trackRevisions>
    </reviewItem>
    <reviewItem>
      <errorID>fb52ec2f-1109-4aa8-8899-5f4960ab6bcd</errorID>
      <errorWord>）</errorWord>
      <group>L1_Punc</group>
      <groupName>标点问题</groupName>
      <ability>L2_Punc</ability>
      <abilityName>标点符号检查</abilityName>
      <candidateList/>
      <explain>同一形式括号套用。</explain>
      <paraID>3F9C543E</paraID>
      <start>129</start>
      <end>130</end>
      <status>unmodified</status>
      <modifiedWord/>
      <trackRevisions>false</trackRevisions>
    </reviewItem>
    <reviewItem>
      <errorID>19d45f34-1e3b-4afc-899c-71b2159e8354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3F9C543E</paraID>
      <start>130</start>
      <end>133</end>
      <status>unmodified</status>
      <modifiedWord/>
      <trackRevisions>false</trackRevisions>
    </reviewItem>
    <reviewItem>
      <errorID>10578098-bac6-4f15-aa2d-3aebd40298e1</errorID>
      <errorWord>（</errorWord>
      <group>L1_Punc</group>
      <groupName>标点问题</groupName>
      <ability>L2_Punc</ability>
      <abilityName>标点符号检查</abilityName>
      <candidateList/>
      <explain>同一形式括号套用。</explain>
      <paraID>3F9C543E</paraID>
      <start>161</start>
      <end>162</end>
      <status>unmodified</status>
      <modifiedWord/>
      <trackRevisions>false</trackRevisions>
    </reviewItem>
    <reviewItem>
      <errorID>606780d5-6d63-4af1-808c-f651e6f7eba6</errorID>
      <errorWord>）</errorWord>
      <group>L1_Punc</group>
      <groupName>标点问题</groupName>
      <ability>L2_Punc</ability>
      <abilityName>标点符号检查</abilityName>
      <candidateList/>
      <explain>同一形式括号套用。</explain>
      <paraID>3F9C543E</paraID>
      <start>173</start>
      <end>174</end>
      <status>unmodified</status>
      <modifiedWord/>
      <trackRevisions>false</trackRevisions>
    </reviewItem>
    <reviewItem>
      <errorID>afeebaf9-57ab-4e0b-b4c2-126c0fdf81a4</errorID>
      <errorWord>（</errorWord>
      <group>L1_Punc</group>
      <groupName>标点问题</groupName>
      <ability>L2_Punc</ability>
      <abilityName>标点符号检查</abilityName>
      <candidateList/>
      <explain>同一形式括号套用。</explain>
      <paraID>3F9C543E</paraID>
      <start>252</start>
      <end>253</end>
      <status>unmodified</status>
      <modifiedWord/>
      <trackRevisions>false</trackRevisions>
    </reviewItem>
    <reviewItem>
      <errorID>23d2b882-3bee-4564-a715-c4b306dbd34c</errorID>
      <errorWord>）</errorWord>
      <group>L1_Punc</group>
      <groupName>标点问题</groupName>
      <ability>L2_Punc</ability>
      <abilityName>标点符号检查</abilityName>
      <candidateList/>
      <explain>同一形式括号套用。</explain>
      <paraID>3F9C543E</paraID>
      <start>262</start>
      <end>263</end>
      <status>unmodified</status>
      <modifiedWord/>
      <trackRevisions>false</trackRevisions>
    </reviewItem>
    <reviewItem>
      <errorID>cf82186f-1526-470c-bb4c-03dd6ecd3e2b</errorID>
      <errorWord>(</errorWord>
      <group>L1_Format</group>
      <groupName>格式问题</groupName>
      <ability>L2_HalfPunc</ability>
      <abilityName>全半角检查</abilityName>
      <candidateList>
        <item>（</item>
      </candidateList>
      <explain>文本全半角错误。</explain>
      <paraID>5CC36240</paraID>
      <start>111</start>
      <end>112</end>
      <status>unmodified</status>
      <modifiedWord/>
      <trackRevisions>false</trackRevisions>
    </reviewItem>
    <reviewItem>
      <errorID>0076b7b6-85f0-4827-b08e-cbeb410206f3</errorID>
      <errorWord>)</errorWord>
      <group>L1_Format</group>
      <groupName>格式问题</groupName>
      <ability>L2_HalfPunc</ability>
      <abilityName>全半角检查</abilityName>
      <candidateList>
        <item>）</item>
      </candidateList>
      <explain>文本全半角错误。</explain>
      <paraID>5CC36240</paraID>
      <start>122</start>
      <end>123</end>
      <status>unmodified</status>
      <modifiedWord/>
      <trackRevisions>false</trackRevisions>
    </reviewItem>
    <reviewItem>
      <errorID>7b9a4fe0-d1bc-40b9-b961-cfcc064043b4</errorID>
      <errorWord>》</errorWord>
      <group>L1_Word</group>
      <groupName>字词问题</groupName>
      <ability>L2_Typo</ability>
      <abilityName>字词错误</abilityName>
      <candidateList>
        <item>》等</item>
      </candidateList>
      <explain/>
      <paraID>40D89B0D</paraID>
      <start>28</start>
      <end>29</end>
      <status>unmodified</status>
      <modifiedWord/>
      <trackRevisions>false</trackRevisions>
    </reviewItem>
    <reviewItem>
      <errorID>2ac1e7dc-b8cb-4e4d-9463-8b06cf88f091</errorID>
      <errorWord>文件书</errorWord>
      <group>L1_Word</group>
      <groupName>字词问题</groupName>
      <ability>L2_Typo</ability>
      <abilityName>字词错误</abilityName>
      <candidateList>
        <item>文件</item>
      </candidateList>
      <explain/>
      <paraID>3E6C7D21</paraID>
      <start>12</start>
      <end>15</end>
      <status>unmodified</status>
      <modifiedWord/>
      <trackRevisions>false</trackRevisions>
    </reviewItem>
    <reviewItem>
      <errorID>53096fd3-61f2-46c4-9a59-8a1b95354c7c</errorID>
      <errorWord>其它</errorWord>
      <group>L1_Word</group>
      <groupName>字词问题</groupName>
      <ability>L2_Alias</ability>
      <abilityName>也作/曾用词</abilityName>
      <candidateList>
        <item>其他</item>
      </candidateList>
      <explain>词汇[其它]为不规范表述或旧称，其规范书面表述为[其他]。</explain>
      <paraID>51B21D72</paraID>
      <start>81</start>
      <end>83</end>
      <status>unmodified</status>
      <modifiedWord/>
      <trackRevisions>false</trackRevisions>
    </reviewItem>
    <reviewItem>
      <errorID>c0bbf47e-2601-47de-bcac-f4035e706e6d</errorID>
      <errorWord>做出</errorWord>
      <group>L1_Word</group>
      <groupName>字词问题</groupName>
      <ability>L2_Typo</ability>
      <abilityName>字词错误</abilityName>
      <candidateList>
        <item>作出</item>
      </candidateList>
      <explain/>
      <paraID>6D4A5798</paraID>
      <start>46</start>
      <end>48</end>
      <status>unmodified</status>
      <modifiedWord/>
      <trackRevisions>false</trackRevisions>
    </reviewItem>
    <reviewItem>
      <errorID>49580e80-c067-4be5-b11b-54f910f9d5d6</errorID>
      <errorWord>(</errorWord>
      <group>L1_Format</group>
      <groupName>格式问题</groupName>
      <ability>L2_HalfPunc</ability>
      <abilityName>全半角检查</abilityName>
      <candidateList>
        <item>（</item>
      </candidateList>
      <explain>文本全半角错误。</explain>
      <paraID>7018700A</paraID>
      <start>23</start>
      <end>24</end>
      <status>unmodified</status>
      <modifiedWord/>
      <trackRevisions>false</trackRevisions>
    </reviewItem>
    <reviewItem>
      <errorID>9e06f81e-63e6-45e0-9e87-4a93bf762723</errorID>
      <errorWord>)</errorWord>
      <group>L1_Format</group>
      <groupName>格式问题</groupName>
      <ability>L2_HalfPunc</ability>
      <abilityName>全半角检查</abilityName>
      <candidateList>
        <item>）</item>
      </candidateList>
      <explain>文本全半角错误。</explain>
      <paraID>7018700A</paraID>
      <start>43</start>
      <end>44</end>
      <status>unmodified</status>
      <modifiedWord/>
      <trackRevisions>false</trackRevisions>
    </reviewItem>
    <reviewItem>
      <errorID>43cf2f68-13e7-4934-8b27-f03bacd61b67</errorID>
      <errorWord>(</errorWord>
      <group>L1_Format</group>
      <groupName>格式问题</groupName>
      <ability>L2_HalfPunc</ability>
      <abilityName>全半角检查</abilityName>
      <candidateList>
        <item>（</item>
      </candidateList>
      <explain>文本全半角错误。</explain>
      <paraID>7018700A</paraID>
      <start>129</start>
      <end>130</end>
      <status>unmodified</status>
      <modifiedWord/>
      <trackRevisions>false</trackRevisions>
    </reviewItem>
    <reviewItem>
      <errorID>2638a214-252f-4720-a379-140ee465e498</errorID>
      <errorWord>括</errorWord>
      <group>L1_Word</group>
      <groupName>字词问题</groupName>
      <ability>L2_Typo</ability>
      <abilityName>字词错误</abilityName>
      <candidateList>
        <item>括但</item>
      </candidateList>
      <explain/>
      <paraID>7018700A</paraID>
      <start>131</start>
      <end>132</end>
      <status>unmodified</status>
      <modifiedWord/>
      <trackRevisions>false</trackRevisions>
    </reviewItem>
    <reviewItem>
      <errorID>b4cd356f-7181-4a78-91cf-63a713209504</errorID>
      <errorWord>)</errorWord>
      <group>L1_Format</group>
      <groupName>格式问题</groupName>
      <ability>L2_HalfPunc</ability>
      <abilityName>全半角检查</abilityName>
      <candidateList>
        <item>）</item>
      </candidateList>
      <explain>文本全半角错误。</explain>
      <paraID>7018700A</paraID>
      <start>161</start>
      <end>162</end>
      <status>unmodified</status>
      <modifiedWord/>
      <trackRevisions>false</trackRevisions>
    </reviewItem>
    <reviewItem>
      <errorID>677b9e57-640b-4e75-9c3b-e0570d5930c2</errorID>
      <errorWord>做出</errorWord>
      <group>L1_Word</group>
      <groupName>字词问题</groupName>
      <ability>L2_Typo</ability>
      <abilityName>字词错误</abilityName>
      <candidateList>
        <item>作出</item>
      </candidateList>
      <explain/>
      <paraID>1DB397C7</paraID>
      <start>41</start>
      <end>43</end>
      <status>unmodified</status>
      <modifiedWord/>
      <trackRevisions>false</trackRevisions>
    </reviewItem>
    <reviewItem>
      <errorID>1164f0d9-4e42-47cc-bb36-cc9a69a3970b</errorID>
      <errorWord>(</errorWord>
      <group>L1_Format</group>
      <groupName>格式问题</groupName>
      <ability>L2_HalfPunc</ability>
      <abilityName>全半角检查</abilityName>
      <candidateList>
        <item>（</item>
      </candidateList>
      <explain>文本全半角错误。</explain>
      <paraID>4BF1065D</paraID>
      <start>24</start>
      <end>25</end>
      <status>unmodified</status>
      <modifiedWord/>
      <trackRevisions>false</trackRevisions>
    </reviewItem>
    <reviewItem>
      <errorID>21d43d47-3582-40af-964d-68f8a17955af</errorID>
      <errorWord>)</errorWord>
      <group>L1_Format</group>
      <groupName>格式问题</groupName>
      <ability>L2_HalfPunc</ability>
      <abilityName>全半角检查</abilityName>
      <candidateList>
        <item>）</item>
      </candidateList>
      <explain>文本全半角错误。</explain>
      <paraID>4BF1065D</paraID>
      <start>44</start>
      <end>45</end>
      <status>unmodified</status>
      <modifiedWord/>
      <trackRevisions>false</trackRevisions>
    </reviewItem>
    <reviewItem>
      <errorID>ff493c4e-0a72-43d6-b81c-864151c68cd8</errorID>
      <errorWord>(</errorWord>
      <group>L1_Format</group>
      <groupName>格式问题</groupName>
      <ability>L2_HalfPunc</ability>
      <abilityName>全半角检查</abilityName>
      <candidateList>
        <item>（</item>
      </candidateList>
      <explain>文本全半角错误。</explain>
      <paraID>4BF1065D</paraID>
      <start>130</start>
      <end>131</end>
      <status>unmodified</status>
      <modifiedWord/>
      <trackRevisions>false</trackRevisions>
    </reviewItem>
    <reviewItem>
      <errorID>2e6eabf1-87a1-40b4-b941-d9f9ee6af531</errorID>
      <errorWord>括</errorWord>
      <group>L1_Word</group>
      <groupName>字词问题</groupName>
      <ability>L2_Typo</ability>
      <abilityName>字词错误</abilityName>
      <candidateList>
        <item>括但</item>
      </candidateList>
      <explain/>
      <paraID>4BF1065D</paraID>
      <start>132</start>
      <end>133</end>
      <status>unmodified</status>
      <modifiedWord/>
      <trackRevisions>false</trackRevisions>
    </reviewItem>
    <reviewItem>
      <errorID>053d32b0-1005-441b-905b-d63f2cc68ccc</errorID>
      <errorWord>)</errorWord>
      <group>L1_Format</group>
      <groupName>格式问题</groupName>
      <ability>L2_HalfPunc</ability>
      <abilityName>全半角检查</abilityName>
      <candidateList>
        <item>）</item>
      </candidateList>
      <explain>文本全半角错误。</explain>
      <paraID>4BF1065D</paraID>
      <start>162</start>
      <end>163</end>
      <status>unmodified</status>
      <modifiedWord/>
      <trackRevisions>false</trackRevisions>
    </reviewItem>
    <reviewItem>
      <errorID>5fbb05eb-1868-48f1-9d50-7a91df3a29a7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3E4C7266</paraID>
      <start>0</start>
      <end>2</end>
      <status>unmodified</status>
      <modifiedWord/>
      <trackRevisions>false</trackRevisions>
    </reviewItem>
    <reviewItem>
      <errorID>24a095f6-cc41-4088-81b4-6b2feec5a4ce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59FE2AA9</paraID>
      <start>0</start>
      <end>2</end>
      <status>unmodified</status>
      <modifiedWord/>
      <trackRevisions>false</trackRevisions>
    </reviewItem>
    <reviewItem>
      <errorID>327d8457-7941-4850-b551-47e2d66e7913</errorID>
      <errorWord>,</errorWord>
      <group>L1_Format</group>
      <groupName>格式问题</groupName>
      <ability>L2_HalfPunc</ability>
      <abilityName>全半角检查</abilityName>
      <candidateList>
        <item>，</item>
      </candidateList>
      <explain>文本全半角错误。</explain>
      <paraID>61B9DC0F</paraID>
      <start>40</start>
      <end>41</end>
      <status>unmodified</status>
      <modifiedWord/>
      <trackRevisions>false</trackRevisions>
    </reviewItem>
    <reviewItem>
      <errorID>b50ceeff-e2fb-406d-91b1-b572b7e06034</errorID>
      <errorWord>,</errorWord>
      <group>L1_Format</group>
      <groupName>格式问题</groupName>
      <ability>L2_HalfPunc</ability>
      <abilityName>全半角检查</abilityName>
      <candidateList>
        <item>，</item>
      </candidateList>
      <explain>文本全半角错误。</explain>
      <paraID>18739A0D</paraID>
      <start>39</start>
      <end>40</end>
      <status>unmodified</status>
      <modifiedWord/>
      <trackRevisions>false</trackRevisions>
    </reviewItem>
    <reviewItem>
      <errorID>38d42c87-01f5-422e-8949-31727ea456d1</errorID>
      <errorWord>,</errorWord>
      <group>L1_Format</group>
      <groupName>格式问题</groupName>
      <ability>L2_HalfPunc</ability>
      <abilityName>全半角检查</abilityName>
      <candidateList>
        <item>，</item>
      </candidateList>
      <explain>文本全半角错误。</explain>
      <paraID>71BF7749</paraID>
      <start>46</start>
      <end>47</end>
      <status>unmodified</status>
      <modifiedWord/>
      <trackRevisions>false</trackRevisions>
    </reviewItem>
    <reviewItem>
      <errorID>a24fce83-dc1b-4b1d-bd75-13459f267636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71BF7749</paraID>
      <start>72</start>
      <end>75</end>
      <status>unmodified</status>
      <modifiedWord/>
      <trackRevisions>false</trackRevisions>
    </reviewItem>
    <reviewItem>
      <errorID>2d94849f-3960-4c8f-948e-590f314c7f0d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958262A</paraID>
      <start>106</start>
      <end>109</end>
      <status>unmodified</status>
      <modifiedWord/>
      <trackRevisions>false</trackRevisions>
    </reviewItem>
    <reviewItem>
      <errorID>af960e9b-53da-43d3-848c-ae53d7106804</errorID>
      <errorWord>{</errorWord>
      <group>L1_Format</group>
      <groupName>格式问题</groupName>
      <ability>L2_HalfPunc</ability>
      <abilityName>全半角检查</abilityName>
      <candidateList>
        <item>｛</item>
      </candidateList>
      <explain>文本全半角错误。</explain>
      <paraID>24D06E71</paraID>
      <start>30</start>
      <end>31</end>
      <status>unmodified</status>
      <modifiedWord/>
      <trackRevisions>false</trackRevisions>
    </reviewItem>
    <reviewItem>
      <errorID>248613ee-98a3-4f8d-b87a-07137fa17566</errorID>
      <errorWord>}</errorWord>
      <group>L1_Format</group>
      <groupName>格式问题</groupName>
      <ability>L2_HalfPunc</ability>
      <abilityName>全半角检查</abilityName>
      <candidateList>
        <item>｝</item>
      </candidateList>
      <explain>文本全半角错误。</explain>
      <paraID>24D06E71</paraID>
      <start>37</start>
      <end>38</end>
      <status>unmodified</status>
      <modifiedWord/>
      <trackRevisions>false</trackRevisions>
    </reviewItem>
    <reviewItem>
      <errorID>c08bee1d-4b8e-4bf4-a347-5b7ee8c02469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7E5FD69D</paraID>
      <start>0</start>
      <end>2</end>
      <status>unmodified</status>
      <modifiedWord/>
      <trackRevisions>false</trackRevisions>
    </reviewItem>
    <reviewItem>
      <errorID>3d7220f6-1a4a-48d6-b1fd-ea2dcc9feee6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223331A3</paraID>
      <start>0</start>
      <end>2</end>
      <status>unmodified</status>
      <modifiedWord/>
      <trackRevisions>false</trackRevisions>
    </reviewItem>
    <reviewItem>
      <errorID>12595ac6-3b23-4e1e-8320-bde6f7e13018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674B4D4E</paraID>
      <start>0</start>
      <end>2</end>
      <status>unmodified</status>
      <modifiedWord/>
      <trackRevisions>false</trackRevisions>
    </reviewItem>
    <reviewItem>
      <errorID>017530a2-9886-4b77-a3a5-61ff3bde550d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37964BDC</paraID>
      <start>0</start>
      <end>2</end>
      <status>unmodified</status>
      <modifiedWord/>
      <trackRevisions>false</trackRevisions>
    </reviewItem>
    <reviewItem>
      <errorID>8eb7558d-7615-4b7a-ac89-0e8c3550441e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45D97B60</paraID>
      <start>0</start>
      <end>2</end>
      <status>unmodified</status>
      <modifiedWord/>
      <trackRevisions>false</trackRevisions>
    </reviewItem>
    <reviewItem>
      <errorID>854716ee-1bad-4e3d-b62c-9d71781642ce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2107F6AF</paraID>
      <start>0</start>
      <end>2</end>
      <status>unmodified</status>
      <modifiedWord/>
      <trackRevisions>false</trackRevisions>
    </reviewItem>
    <reviewItem>
      <errorID>655d8371-8cc5-43aa-86ee-6a4a5ed3456e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2919BB41</paraID>
      <start>0</start>
      <end>2</end>
      <status>unmodified</status>
      <modifiedWord/>
      <trackRevisions>false</trackRevisions>
    </reviewItem>
    <reviewItem>
      <errorID>6b2d8007-05e9-4168-bed6-c076a12326ce</errorID>
      <errorWord>:</errorWord>
      <group>L1_Format</group>
      <groupName>格式问题</groupName>
      <ability>L2_HalfPunc</ability>
      <abilityName>全半角检查</abilityName>
      <candidateList>
        <item>：</item>
      </candidateList>
      <explain>文本全半角错误。</explain>
      <paraID>35346FC0</paraID>
      <start>5</start>
      <end>6</end>
      <status>unmodified</status>
      <modifiedWord/>
      <trackRevisions>false</trackRevisions>
    </reviewItem>
    <reviewItem>
      <errorID>28ae3a0f-40d7-4c36-b41b-4621e51399b1</errorID>
      <errorWord>:</errorWord>
      <group>L1_Format</group>
      <groupName>格式问题</groupName>
      <ability>L2_HalfPunc</ability>
      <abilityName>全半角检查</abilityName>
      <candidateList>
        <item>：</item>
      </candidateList>
      <explain>文本全半角错误。</explain>
      <paraID>653C76F7</paraID>
      <start>7</start>
      <end>8</end>
      <status>unmodified</status>
      <modifiedWord/>
      <trackRevisions>false</trackRevisions>
    </reviewItem>
    <reviewItem>
      <errorID>65493507-cc0e-42a8-9187-d0871b3c8dcc</errorID>
      <errorWord>(</errorWord>
      <group>L1_Format</group>
      <groupName>格式问题</groupName>
      <ability>L2_HalfPunc</ability>
      <abilityName>全半角检查</abilityName>
      <candidateList>
        <item>（</item>
      </candidateList>
      <explain>文本全半角错误。</explain>
      <paraID>3717E229</paraID>
      <start>8</start>
      <end>9</end>
      <status>unmodified</status>
      <modifiedWord/>
      <trackRevisions>false</trackRevisions>
    </reviewItem>
    <reviewItem>
      <errorID>1898415d-9d11-47b8-be0e-018d22469498</errorID>
      <errorWord>)</errorWord>
      <group>L1_Format</group>
      <groupName>格式问题</groupName>
      <ability>L2_HalfPunc</ability>
      <abilityName>全半角检查</abilityName>
      <candidateList>
        <item>）</item>
      </candidateList>
      <explain>文本全半角错误。</explain>
      <paraID>3717E229</paraID>
      <start>11</start>
      <end>12</end>
      <status>unmodified</status>
      <modifiedWord/>
      <trackRevisions>false</trackRevisions>
    </reviewItem>
    <reviewItem>
      <errorID>b6cf9d61-d278-4239-81f3-cdd0015f3106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65F077F2</paraID>
      <start>0</start>
      <end>2</end>
      <status>unmodified</status>
      <modifiedWord/>
      <trackRevisions>false</trackRevisions>
    </reviewItem>
    <reviewItem>
      <errorID>2cf7914c-d90d-4a55-9475-b0583828370e</errorID>
      <errorWord>:</errorWord>
      <group>L1_Format</group>
      <groupName>格式问题</groupName>
      <ability>L2_HalfPunc</ability>
      <abilityName>全半角检查</abilityName>
      <candidateList>
        <item>：</item>
      </candidateList>
      <explain>文本全半角错误。</explain>
      <paraID>7C8D5B97</paraID>
      <start>5</start>
      <end>6</end>
      <status>unmodified</status>
      <modifiedWord/>
      <trackRevisions>false</trackRevisions>
    </reviewItem>
    <reviewItem>
      <errorID>f24f71f1-ce99-41ce-ac96-94f66791ee85</errorID>
      <errorWord>:</errorWord>
      <group>L1_Format</group>
      <groupName>格式问题</groupName>
      <ability>L2_HalfPunc</ability>
      <abilityName>全半角检查</abilityName>
      <candidateList>
        <item>：</item>
      </candidateList>
      <explain>文本全半角错误。</explain>
      <paraID>2B9728E3</paraID>
      <start>7</start>
      <end>8</end>
      <status>unmodified</status>
      <modifiedWord/>
      <trackRevisions>false</trackRevisions>
    </reviewItem>
    <reviewItem>
      <errorID>de823e7d-0e0c-462b-b834-adfc41f67e60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57391AAB</paraID>
      <start>0</start>
      <end>2</end>
      <status>unmodified</status>
      <modifiedWord/>
      <trackRevisions>false</trackRevisions>
    </reviewItem>
    <reviewItem>
      <errorID>5f5b29d7-e9ff-44fb-940b-6e7994f17caa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C27DD2C</paraID>
      <start>0</start>
      <end>2</end>
      <status>unmodified</status>
      <modifiedWord/>
      <trackRevisions>false</trackRevisions>
    </reviewItem>
    <reviewItem>
      <errorID>266d2c23-7471-457b-9fc5-febf3c9e11df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6BC97BCF</paraID>
      <start>0</start>
      <end>2</end>
      <status>unmodified</status>
      <modifiedWord/>
      <trackRevisions>false</trackRevisions>
    </reviewItem>
    <reviewItem>
      <errorID>9590aa75-241c-4201-b0cb-037ccf7ee13e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5C5FC5B1</paraID>
      <start>0</start>
      <end>2</end>
      <status>unmodified</status>
      <modifiedWord/>
      <trackRevisions>false</trackRevisions>
    </reviewItem>
    <reviewItem>
      <errorID>67914107-7b78-473c-aa1b-539e07726550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74321151</paraID>
      <start>0</start>
      <end>2</end>
      <status>unmodified</status>
      <modifiedWord/>
      <trackRevisions>false</trackRevisions>
    </reviewItem>
    <reviewItem>
      <errorID>462a7ac1-870c-4d48-bb55-8e40b47e691d</errorID>
      <errorWord>作</errorWord>
      <group>L1_Word</group>
      <groupName>字词问题</groupName>
      <ability>L2_Typo</ability>
      <abilityName>字词错误</abilityName>
      <candidateList>
        <item>做</item>
      </candidateList>
      <explain>存在发音相同字词的误用。</explain>
      <paraID>34E7E91F</paraID>
      <start>43</start>
      <end>44</end>
      <status>unmodified</status>
      <modifiedWord/>
      <trackRevisions>false</trackRevisions>
    </reviewItem>
    <reviewItem>
      <errorID>53b03eea-3f74-43c5-9977-36cad2957af4</errorID>
      <errorWord>{</errorWord>
      <group>L1_Format</group>
      <groupName>格式问题</groupName>
      <ability>L2_HalfPunc</ability>
      <abilityName>全半角检查</abilityName>
      <candidateList>
        <item>｛</item>
      </candidateList>
      <explain>文本全半角错误。</explain>
      <paraID>57C17CE0</paraID>
      <start>30</start>
      <end>31</end>
      <status>unmodified</status>
      <modifiedWord/>
      <trackRevisions>false</trackRevisions>
    </reviewItem>
    <reviewItem>
      <errorID>97e7f0be-eec0-40f8-8db3-ca8a07a923e6</errorID>
      <errorWord>}</errorWord>
      <group>L1_Format</group>
      <groupName>格式问题</groupName>
      <ability>L2_HalfPunc</ability>
      <abilityName>全半角检查</abilityName>
      <candidateList>
        <item>｝</item>
      </candidateList>
      <explain>文本全半角错误。</explain>
      <paraID>57C17CE0</paraID>
      <start>37</start>
      <end>38</end>
      <status>unmodified</status>
      <modifiedWord/>
      <trackRevisions>false</trackRevisions>
    </reviewItem>
    <reviewItem>
      <errorID>dfc1f274-aaa4-441c-b80c-36c6ba7b7a29</errorID>
      <errorWord>{</errorWord>
      <group>L1_Format</group>
      <groupName>格式问题</groupName>
      <ability>L2_HalfPunc</ability>
      <abilityName>全半角检查</abilityName>
      <candidateList>
        <item>｛</item>
      </candidateList>
      <explain>文本全半角错误。</explain>
      <paraID>1E65B5AF</paraID>
      <start>30</start>
      <end>31</end>
      <status>unmodified</status>
      <modifiedWord/>
      <trackRevisions>false</trackRevisions>
    </reviewItem>
    <reviewItem>
      <errorID>988a89a8-ddbf-4548-90a7-1191530f744e</errorID>
      <errorWord>}</errorWord>
      <group>L1_Format</group>
      <groupName>格式问题</groupName>
      <ability>L2_HalfPunc</ability>
      <abilityName>全半角检查</abilityName>
      <candidateList>
        <item>｝</item>
      </candidateList>
      <explain>文本全半角错误。</explain>
      <paraID>1E65B5AF</paraID>
      <start>37</start>
      <end>38</end>
      <status>unmodified</status>
      <modifiedWord/>
      <trackRevisions>false</trackRevisions>
    </reviewItem>
    <reviewItem>
      <errorID>4d3fa084-6abc-4fb7-a897-8a6dc7e9eae7</errorID>
      <errorWord>、</errorWord>
      <group>L1_Punc</group>
      <groupName>标点问题</groupName>
      <ability>L2_Punc</ability>
      <abilityName>标点符号检查</abilityName>
      <candidateList/>
      <explain/>
      <paraID>6F89C25D</paraID>
      <start>9</start>
      <end>10</end>
      <status>unmodified</status>
      <modifiedWord/>
      <trackRevisions>false</trackRevisions>
    </reviewItem>
    <reviewItem>
      <errorID>c34d47b8-4f31-4678-8ee5-bf4f421323b4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7E6078D8</paraID>
      <start>0</start>
      <end>2</end>
      <status>unmodified</status>
      <modifiedWord/>
      <trackRevisions>false</trackRevisions>
    </reviewItem>
    <reviewItem>
      <errorID>5a8fadb9-1d3d-44fa-abac-0cd2f0fe9c5e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6D001910</paraID>
      <start>0</start>
      <end>2</end>
      <status>unmodified</status>
      <modifiedWord/>
      <trackRevisions>false</trackRevisions>
    </reviewItem>
    <reviewItem>
      <errorID>16cbdb28-3fdb-4809-8701-6516506004aa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3C3E09D7</paraID>
      <start>0</start>
      <end>2</end>
      <status>unmodified</status>
      <modifiedWord/>
      <trackRevisions>false</trackRevisions>
    </reviewItem>
    <reviewItem>
      <errorID>80bdb106-a968-49bb-98ef-d412a1a3beb9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24926504</paraID>
      <start>0</start>
      <end>2</end>
      <status>unmodified</status>
      <modifiedWord/>
      <trackRevisions>false</trackRevisions>
    </reviewItem>
    <reviewItem>
      <errorID>e97c82f1-f5d9-49de-a5ef-11abf6e9d429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6E976341</paraID>
      <start>0</start>
      <end>2</end>
      <status>unmodified</status>
      <modifiedWord/>
      <trackRevisions>false</trackRevisions>
    </reviewItem>
    <reviewItem>
      <errorID>94edaf4a-6b4a-4af2-9f96-f60e3bbe0f1b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35E99706</paraID>
      <start>0</start>
      <end>2</end>
      <status>unmodified</status>
      <modifiedWord/>
      <trackRevisions>false</trackRevisions>
    </reviewItem>
    <reviewItem>
      <errorID>a33b159c-d695-4b0e-8533-46d96405ac43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69E6471F</paraID>
      <start>0</start>
      <end>2</end>
      <status>unmodified</status>
      <modifiedWord/>
      <trackRevisions>false</trackRevisions>
    </reviewItem>
    <reviewItem>
      <errorID>916ce433-2640-43a6-b149-d9a075d7f653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370CE33B</paraID>
      <start>0</start>
      <end>2</end>
      <status>unmodified</status>
      <modifiedWord/>
      <trackRevisions>false</trackRevisions>
    </reviewItem>
    <reviewItem>
      <errorID>96295124-be44-4e53-9a07-c2f9ccf5426a</errorID>
      <errorWord>{</errorWord>
      <group>L1_Format</group>
      <groupName>格式问题</groupName>
      <ability>L2_HalfPunc</ability>
      <abilityName>全半角检查</abilityName>
      <candidateList>
        <item>｛</item>
      </candidateList>
      <explain>文本全半角错误。</explain>
      <paraID>7A0D8129</paraID>
      <start>30</start>
      <end>31</end>
      <status>unmodified</status>
      <modifiedWord/>
      <trackRevisions>false</trackRevisions>
    </reviewItem>
    <reviewItem>
      <errorID>62f19f31-3720-4f98-ba87-5afb1c26629a</errorID>
      <errorWord>}</errorWord>
      <group>L1_Format</group>
      <groupName>格式问题</groupName>
      <ability>L2_HalfPunc</ability>
      <abilityName>全半角检查</abilityName>
      <candidateList>
        <item>｝</item>
      </candidateList>
      <explain>文本全半角错误。</explain>
      <paraID>7A0D8129</paraID>
      <start>37</start>
      <end>38</end>
      <status>unmodified</status>
      <modifiedWord/>
      <trackRevisions>false</trackRevisions>
    </reviewItem>
    <reviewItem>
      <errorID>68439656-b508-46a8-bb8e-859a30f1031d</errorID>
      <errorWord>(</errorWord>
      <group>L1_Format</group>
      <groupName>格式问题</groupName>
      <ability>L2_HalfPunc</ability>
      <abilityName>全半角检查</abilityName>
      <candidateList>
        <item>（</item>
      </candidateList>
      <explain>文本全半角错误。</explain>
      <paraID> 2923E6F</paraID>
      <start>11</start>
      <end>12</end>
      <status>unmodified</status>
      <modifiedWord/>
      <trackRevisions>false</trackRevisions>
    </reviewItem>
    <reviewItem>
      <errorID>2eb130dd-f342-40d6-b348-7fdbb6f34611</errorID>
      <errorWord>)</errorWord>
      <group>L1_Format</group>
      <groupName>格式问题</groupName>
      <ability>L2_HalfPunc</ability>
      <abilityName>全半角检查</abilityName>
      <candidateList>
        <item>）</item>
      </candidateList>
      <explain>文本全半角错误。</explain>
      <paraID> 2923E6F</paraID>
      <start>17</start>
      <end>18</end>
      <status>unmodified</status>
      <modifiedWord/>
      <trackRevisions>false</trackRevisions>
    </reviewItem>
    <reviewItem>
      <errorID>75cb8a2f-a41a-4d31-93db-5b7aaffd9122</errorID>
      <errorWord>(</errorWord>
      <group>L1_Format</group>
      <groupName>格式问题</groupName>
      <ability>L2_HalfPunc</ability>
      <abilityName>全半角检查</abilityName>
      <candidateList>
        <item>（</item>
      </candidateList>
      <explain>文本全半角错误。</explain>
      <paraID> 2923E6F</paraID>
      <start>37</start>
      <end>38</end>
      <status>unmodified</status>
      <modifiedWord/>
      <trackRevisions>false</trackRevisions>
    </reviewItem>
    <reviewItem>
      <errorID>32f240d1-cc08-4582-a167-ff8090eb091f</errorID>
      <errorWord>)</errorWord>
      <group>L1_Format</group>
      <groupName>格式问题</groupName>
      <ability>L2_HalfPunc</ability>
      <abilityName>全半角检查</abilityName>
      <candidateList>
        <item>）</item>
      </candidateList>
      <explain>文本全半角错误。</explain>
      <paraID> 2923E6F</paraID>
      <start>45</start>
      <end>46</end>
      <status>unmodified</status>
      <modifiedWord/>
      <trackRevisions>false</trackRevisions>
    </reviewItem>
    <reviewItem>
      <errorID>cd4d4e6f-b208-4145-a486-b8b590745954</errorID>
      <errorWord>{</errorWord>
      <group>L1_Format</group>
      <groupName>格式问题</groupName>
      <ability>L2_HalfPunc</ability>
      <abilityName>全半角检查</abilityName>
      <candidateList>
        <item>｛</item>
      </candidateList>
      <explain>文本全半角错误。</explain>
      <paraID>7AEFCD70</paraID>
      <start>30</start>
      <end>31</end>
      <status>unmodified</status>
      <modifiedWord/>
      <trackRevisions>false</trackRevisions>
    </reviewItem>
    <reviewItem>
      <errorID>3ecc0d08-bd87-4b9e-b973-4fadb0523775</errorID>
      <errorWord>}</errorWord>
      <group>L1_Format</group>
      <groupName>格式问题</groupName>
      <ability>L2_HalfPunc</ability>
      <abilityName>全半角检查</abilityName>
      <candidateList>
        <item>｝</item>
      </candidateList>
      <explain>文本全半角错误。</explain>
      <paraID>7AEFCD70</paraID>
      <start>37</start>
      <end>38</end>
      <status>unmodified</status>
      <modifiedWord/>
      <trackRevisions>false</trackRevisions>
    </reviewItem>
    <reviewItem>
      <errorID>0962bc41-810d-4158-921b-428cccdf5f25</errorID>
      <errorWord>{</errorWord>
      <group>L1_Format</group>
      <groupName>格式问题</groupName>
      <ability>L2_HalfPunc</ability>
      <abilityName>全半角检查</abilityName>
      <candidateList>
        <item>｛</item>
      </candidateList>
      <explain>文本全半角错误。</explain>
      <paraID>5C205A49</paraID>
      <start>30</start>
      <end>31</end>
      <status>unmodified</status>
      <modifiedWord/>
      <trackRevisions>false</trackRevisions>
    </reviewItem>
    <reviewItem>
      <errorID>4f58f7b3-1288-4de8-b061-762880f04138</errorID>
      <errorWord>}</errorWord>
      <group>L1_Format</group>
      <groupName>格式问题</groupName>
      <ability>L2_HalfPunc</ability>
      <abilityName>全半角检查</abilityName>
      <candidateList>
        <item>｝</item>
      </candidateList>
      <explain>文本全半角错误。</explain>
      <paraID>5C205A49</paraID>
      <start>37</start>
      <end>38</end>
      <status>unmodified</status>
      <modifiedWord/>
      <trackRevisions>false</trackRevisions>
    </reviewItem>
    <reviewItem>
      <errorID>62df9b8f-1b94-4ff4-9ad2-5914b7fec16a</errorID>
      <errorWord>(</errorWord>
      <group>L1_Format</group>
      <groupName>格式问题</groupName>
      <ability>L2_HalfPunc</ability>
      <abilityName>全半角检查</abilityName>
      <candidateList>
        <item>（</item>
      </candidateList>
      <explain>文本全半角错误。</explain>
      <paraID>  90F3A3</paraID>
      <start>4</start>
      <end>5</end>
      <status>unmodified</status>
      <modifiedWord/>
      <trackRevisions>false</trackRevisions>
    </reviewItem>
    <reviewItem>
      <errorID>c3636a5a-9546-4da4-8e31-b623b1fdea50</errorID>
      <errorWord>)</errorWord>
      <group>L1_Format</group>
      <groupName>格式问题</groupName>
      <ability>L2_HalfPunc</ability>
      <abilityName>全半角检查</abilityName>
      <candidateList>
        <item>）</item>
      </candidateList>
      <explain>文本全半角错误。</explain>
      <paraID>  90F3A3</paraID>
      <start>6</start>
      <end>7</end>
      <status>unmodified</status>
      <modifiedWord/>
      <trackRevisions>false</trackRevisions>
    </reviewItem>
    <reviewItem>
      <errorID>b8bd94a1-2e99-45d8-a00a-447a2a49f803</errorID>
      <errorWord>(</errorWord>
      <group>L1_Format</group>
      <groupName>格式问题</groupName>
      <ability>L2_HalfPunc</ability>
      <abilityName>全半角检查</abilityName>
      <candidateList>
        <item>（</item>
      </candidateList>
      <explain>文本全半角错误。</explain>
      <paraID>5BA75384</paraID>
      <start>4</start>
      <end>5</end>
      <status>unmodified</status>
      <modifiedWord/>
      <trackRevisions>false</trackRevisions>
    </reviewItem>
    <reviewItem>
      <errorID>c119d059-7404-4988-aa30-b571c1d6dced</errorID>
      <errorWord>)</errorWord>
      <group>L1_Format</group>
      <groupName>格式问题</groupName>
      <ability>L2_HalfPunc</ability>
      <abilityName>全半角检查</abilityName>
      <candidateList>
        <item>）</item>
      </candidateList>
      <explain>文本全半角错误。</explain>
      <paraID>5BA75384</paraID>
      <start>6</start>
      <end>7</end>
      <status>unmodified</status>
      <modifiedWord/>
      <trackRevisions>false</trackRevisions>
    </reviewItem>
    <reviewItem>
      <errorID>c5c5a3ce-dc1d-4559-91ba-c1612be64967</errorID>
      <errorWord>(</errorWord>
      <group>L1_Format</group>
      <groupName>格式问题</groupName>
      <ability>L2_HalfPunc</ability>
      <abilityName>全半角检查</abilityName>
      <candidateList>
        <item>（</item>
      </candidateList>
      <explain>文本全半角错误。</explain>
      <paraID>6BA11655</paraID>
      <start>4</start>
      <end>5</end>
      <status>unmodified</status>
      <modifiedWord/>
      <trackRevisions>false</trackRevisions>
    </reviewItem>
    <reviewItem>
      <errorID>645d08f3-869a-4f81-bb39-5d542463c13b</errorID>
      <errorWord>)</errorWord>
      <group>L1_Format</group>
      <groupName>格式问题</groupName>
      <ability>L2_HalfPunc</ability>
      <abilityName>全半角检查</abilityName>
      <candidateList>
        <item>）</item>
      </candidateList>
      <explain>文本全半角错误。</explain>
      <paraID>6BA11655</paraID>
      <start>6</start>
      <end>7</end>
      <status>unmodified</status>
      <modifiedWord/>
      <trackRevisions>false</trackRevisions>
    </reviewItem>
    <reviewItem>
      <errorID>6136f12a-00b7-4936-8047-aca221ffc41c</errorID>
      <errorWord>(</errorWord>
      <group>L1_Format</group>
      <groupName>格式问题</groupName>
      <ability>L2_HalfPunc</ability>
      <abilityName>全半角检查</abilityName>
      <candidateList>
        <item>（</item>
      </candidateList>
      <explain>文本全半角错误。</explain>
      <paraID>5AD4C273</paraID>
      <start>4</start>
      <end>5</end>
      <status>unmodified</status>
      <modifiedWord/>
      <trackRevisions>false</trackRevisions>
    </reviewItem>
    <reviewItem>
      <errorID>8245fa6f-bfe0-4937-846c-6d0c162d9f4d</errorID>
      <errorWord>)</errorWord>
      <group>L1_Format</group>
      <groupName>格式问题</groupName>
      <ability>L2_HalfPunc</ability>
      <abilityName>全半角检查</abilityName>
      <candidateList>
        <item>）</item>
      </candidateList>
      <explain>文本全半角错误。</explain>
      <paraID>5AD4C273</paraID>
      <start>6</start>
      <end>7</end>
      <status>unmodified</status>
      <modifiedWord/>
      <trackRevisions>false</trackRevisions>
    </reviewItem>
    <reviewItem>
      <errorID>8636207d-21f3-426c-a2f6-f8b15dfc9ab2</errorID>
      <errorWord>(</errorWord>
      <group>L1_Format</group>
      <groupName>格式问题</groupName>
      <ability>L2_HalfPunc</ability>
      <abilityName>全半角检查</abilityName>
      <candidateList>
        <item>（</item>
      </candidateList>
      <explain>文本全半角错误。</explain>
      <paraID>5FAA9C9F</paraID>
      <start>4</start>
      <end>5</end>
      <status>unmodified</status>
      <modifiedWord/>
      <trackRevisions>false</trackRevisions>
    </reviewItem>
    <reviewItem>
      <errorID>c42f43df-0db8-4524-b37a-02fa6f3bebaa</errorID>
      <errorWord>)</errorWord>
      <group>L1_Format</group>
      <groupName>格式问题</groupName>
      <ability>L2_HalfPunc</ability>
      <abilityName>全半角检查</abilityName>
      <candidateList>
        <item>）</item>
      </candidateList>
      <explain>文本全半角错误。</explain>
      <paraID>5FAA9C9F</paraID>
      <start>6</start>
      <end>7</end>
      <status>unmodified</status>
      <modifiedWord/>
      <trackRevisions>false</trackRevisions>
    </reviewItem>
    <reviewItem>
      <errorID>cb00ce38-8565-4c53-b506-ca27e529ba6a</errorID>
      <errorWord>(</errorWord>
      <group>L1_Format</group>
      <groupName>格式问题</groupName>
      <ability>L2_HalfPunc</ability>
      <abilityName>全半角检查</abilityName>
      <candidateList>
        <item>（</item>
      </candidateList>
      <explain>文本全半角错误。</explain>
      <paraID>4C738B04</paraID>
      <start>4</start>
      <end>5</end>
      <status>unmodified</status>
      <modifiedWord/>
      <trackRevisions>false</trackRevisions>
    </reviewItem>
    <reviewItem>
      <errorID>45e976b9-67cb-47bf-a5b1-08ea61ea7063</errorID>
      <errorWord>)</errorWord>
      <group>L1_Format</group>
      <groupName>格式问题</groupName>
      <ability>L2_HalfPunc</ability>
      <abilityName>全半角检查</abilityName>
      <candidateList>
        <item>）</item>
      </candidateList>
      <explain>文本全半角错误。</explain>
      <paraID>4C738B04</paraID>
      <start>6</start>
      <end>7</end>
      <status>unmodified</status>
      <modifiedWord/>
      <trackRevisions>false</trackRevisions>
    </reviewItem>
    <reviewItem>
      <errorID>9674b245-a523-4dc2-9ba1-a1fd273b53b0</errorID>
      <errorWord>(</errorWord>
      <group>L1_Format</group>
      <groupName>格式问题</groupName>
      <ability>L2_HalfPunc</ability>
      <abilityName>全半角检查</abilityName>
      <candidateList>
        <item>（</item>
      </candidateList>
      <explain>文本全半角错误。</explain>
      <paraID>2B5A6D43</paraID>
      <start>4</start>
      <end>5</end>
      <status>unmodified</status>
      <modifiedWord/>
      <trackRevisions>false</trackRevisions>
    </reviewItem>
    <reviewItem>
      <errorID>d0dd0d7a-6b8f-49ad-8b53-abc5e691f266</errorID>
      <errorWord>)</errorWord>
      <group>L1_Format</group>
      <groupName>格式问题</groupName>
      <ability>L2_HalfPunc</ability>
      <abilityName>全半角检查</abilityName>
      <candidateList>
        <item>）</item>
      </candidateList>
      <explain>文本全半角错误。</explain>
      <paraID>2B5A6D43</paraID>
      <start>6</start>
      <end>7</end>
      <status>unmodified</status>
      <modifiedWord/>
      <trackRevisions>false</trackRevisions>
    </reviewItem>
    <reviewItem>
      <errorID>3af5ba65-983c-42f6-bffc-8b86f7e4b26a</errorID>
      <errorWord>(</errorWord>
      <group>L1_Format</group>
      <groupName>格式问题</groupName>
      <ability>L2_HalfPunc</ability>
      <abilityName>全半角检查</abilityName>
      <candidateList>
        <item>（</item>
      </candidateList>
      <explain>文本全半角错误。</explain>
      <paraID>2CE72533</paraID>
      <start>4</start>
      <end>5</end>
      <status>unmodified</status>
      <modifiedWord/>
      <trackRevisions>false</trackRevisions>
    </reviewItem>
    <reviewItem>
      <errorID>cd1a949c-d4da-4966-a565-12182816f533</errorID>
      <errorWord>)</errorWord>
      <group>L1_Format</group>
      <groupName>格式问题</groupName>
      <ability>L2_HalfPunc</ability>
      <abilityName>全半角检查</abilityName>
      <candidateList>
        <item>）</item>
      </candidateList>
      <explain>文本全半角错误。</explain>
      <paraID>2CE72533</paraID>
      <start>6</start>
      <end>7</end>
      <status>unmodified</status>
      <modifiedWord/>
      <trackRevisions>false</trackRevisions>
    </reviewItem>
    <reviewItem>
      <errorID>a73c5caf-772e-48d6-b3c6-c76acb54ff12</errorID>
      <errorWord>(</errorWord>
      <group>L1_Format</group>
      <groupName>格式问题</groupName>
      <ability>L2_HalfPunc</ability>
      <abilityName>全半角检查</abilityName>
      <candidateList>
        <item>（</item>
      </candidateList>
      <explain>文本全半角错误。</explain>
      <paraID>30905896</paraID>
      <start>4</start>
      <end>5</end>
      <status>unmodified</status>
      <modifiedWord/>
      <trackRevisions>false</trackRevisions>
    </reviewItem>
    <reviewItem>
      <errorID>18dcc31c-dde7-49c6-8351-7f4cd2b33006</errorID>
      <errorWord>)</errorWord>
      <group>L1_Format</group>
      <groupName>格式问题</groupName>
      <ability>L2_HalfPunc</ability>
      <abilityName>全半角检查</abilityName>
      <candidateList>
        <item>）</item>
      </candidateList>
      <explain>文本全半角错误。</explain>
      <paraID>30905896</paraID>
      <start>6</start>
      <end>7</end>
      <status>unmodified</status>
      <modifiedWord/>
      <trackRevisions>false</trackRevisions>
    </reviewItem>
    <reviewItem>
      <errorID>ef8568db-7b5c-4f2e-a565-478932f9e6fe</errorID>
      <errorWord>(</errorWord>
      <group>L1_Format</group>
      <groupName>格式问题</groupName>
      <ability>L2_HalfPunc</ability>
      <abilityName>全半角检查</abilityName>
      <candidateList>
        <item>（</item>
      </candidateList>
      <explain>文本全半角错误。</explain>
      <paraID>3F3BB991</paraID>
      <start>4</start>
      <end>5</end>
      <status>unmodified</status>
      <modifiedWord/>
      <trackRevisions>false</trackRevisions>
    </reviewItem>
    <reviewItem>
      <errorID>03d4583d-4132-4439-9fc0-750a3af73d4a</errorID>
      <errorWord>)</errorWord>
      <group>L1_Format</group>
      <groupName>格式问题</groupName>
      <ability>L2_HalfPunc</ability>
      <abilityName>全半角检查</abilityName>
      <candidateList>
        <item>）</item>
      </candidateList>
      <explain>文本全半角错误。</explain>
      <paraID>3F3BB991</paraID>
      <start>6</start>
      <end>7</end>
      <status>unmodified</status>
      <modifiedWord/>
      <trackRevisions>false</trackRevisions>
    </reviewItem>
    <reviewItem>
      <errorID>263f01fc-eef7-463f-aab1-e7f8b1d67808</errorID>
      <errorWord>(</errorWord>
      <group>L1_Format</group>
      <groupName>格式问题</groupName>
      <ability>L2_HalfPunc</ability>
      <abilityName>全半角检查</abilityName>
      <candidateList>
        <item>（</item>
      </candidateList>
      <explain>文本全半角错误。</explain>
      <paraID>5EC7EE8E</paraID>
      <start>4</start>
      <end>5</end>
      <status>unmodified</status>
      <modifiedWord/>
      <trackRevisions>false</trackRevisions>
    </reviewItem>
    <reviewItem>
      <errorID>d778ca93-2e85-4f83-a7cc-a8cf529485d9</errorID>
      <errorWord>)</errorWord>
      <group>L1_Format</group>
      <groupName>格式问题</groupName>
      <ability>L2_HalfPunc</ability>
      <abilityName>全半角检查</abilityName>
      <candidateList>
        <item>）</item>
      </candidateList>
      <explain>文本全半角错误。</explain>
      <paraID>5EC7EE8E</paraID>
      <start>6</start>
      <end>7</end>
      <status>unmodified</status>
      <modifiedWord/>
      <trackRevisions>false</trackRevisions>
    </reviewItem>
    <reviewItem>
      <errorID>7a1c0446-881f-4bbb-842f-c6266bbb2165</errorID>
      <errorWord>(</errorWord>
      <group>L1_Format</group>
      <groupName>格式问题</groupName>
      <ability>L2_HalfPunc</ability>
      <abilityName>全半角检查</abilityName>
      <candidateList>
        <item>（</item>
      </candidateList>
      <explain>文本全半角错误。</explain>
      <paraID>2BCD8F58</paraID>
      <start>4</start>
      <end>5</end>
      <status>unmodified</status>
      <modifiedWord/>
      <trackRevisions>false</trackRevisions>
    </reviewItem>
    <reviewItem>
      <errorID>7c7d26bf-84f4-42c7-85c9-e7aff2d36cff</errorID>
      <errorWord>)</errorWord>
      <group>L1_Format</group>
      <groupName>格式问题</groupName>
      <ability>L2_HalfPunc</ability>
      <abilityName>全半角检查</abilityName>
      <candidateList>
        <item>）</item>
      </candidateList>
      <explain>文本全半角错误。</explain>
      <paraID>2BCD8F58</paraID>
      <start>6</start>
      <end>7</end>
      <status>unmodified</status>
      <modifiedWord/>
      <trackRevisions>false</trackRevisions>
    </reviewItem>
    <reviewItem>
      <errorID>012ad292-4e88-4afe-a8bf-400eaf8e5993</errorID>
      <errorWord>(</errorWord>
      <group>L1_Format</group>
      <groupName>格式问题</groupName>
      <ability>L2_HalfPunc</ability>
      <abilityName>全半角检查</abilityName>
      <candidateList>
        <item>（</item>
      </candidateList>
      <explain>文本全半角错误。</explain>
      <paraID>6C39C3ED</paraID>
      <start>4</start>
      <end>5</end>
      <status>unmodified</status>
      <modifiedWord/>
      <trackRevisions>false</trackRevisions>
    </reviewItem>
    <reviewItem>
      <errorID>16c0c658-43de-4240-86be-bfa0832b9fb9</errorID>
      <errorWord>)</errorWord>
      <group>L1_Format</group>
      <groupName>格式问题</groupName>
      <ability>L2_HalfPunc</ability>
      <abilityName>全半角检查</abilityName>
      <candidateList>
        <item>）</item>
      </candidateList>
      <explain>文本全半角错误。</explain>
      <paraID>6C39C3ED</paraID>
      <start>6</start>
      <end>7</end>
      <status>unmodified</status>
      <modifiedWord/>
      <trackRevisions>false</trackRevisions>
    </reviewItem>
    <reviewItem>
      <errorID>02a49ffb-fe49-459d-9298-37463e5d756f</errorID>
      <errorWord>(</errorWord>
      <group>L1_Format</group>
      <groupName>格式问题</groupName>
      <ability>L2_HalfPunc</ability>
      <abilityName>全半角检查</abilityName>
      <candidateList>
        <item>（</item>
      </candidateList>
      <explain>文本全半角错误。</explain>
      <paraID>75E39213</paraID>
      <start>4</start>
      <end>5</end>
      <status>unmodified</status>
      <modifiedWord/>
      <trackRevisions>false</trackRevisions>
    </reviewItem>
    <reviewItem>
      <errorID>1c419d1c-f164-468d-a62e-ef74597ec9d9</errorID>
      <errorWord>)</errorWord>
      <group>L1_Format</group>
      <groupName>格式问题</groupName>
      <ability>L2_HalfPunc</ability>
      <abilityName>全半角检查</abilityName>
      <candidateList>
        <item>）</item>
      </candidateList>
      <explain>文本全半角错误。</explain>
      <paraID>75E39213</paraID>
      <start>6</start>
      <end>7</end>
      <status>unmodified</status>
      <modifiedWord/>
      <trackRevisions>false</trackRevisions>
    </reviewItem>
    <reviewItem>
      <errorID>686ac617-4f99-48b8-b2f7-b01e57ef7818</errorID>
      <errorWord>(</errorWord>
      <group>L1_Format</group>
      <groupName>格式问题</groupName>
      <ability>L2_HalfPunc</ability>
      <abilityName>全半角检查</abilityName>
      <candidateList>
        <item>（</item>
      </candidateList>
      <explain>文本全半角错误。</explain>
      <paraID>1A62060A</paraID>
      <start>4</start>
      <end>5</end>
      <status>unmodified</status>
      <modifiedWord/>
      <trackRevisions>false</trackRevisions>
    </reviewItem>
    <reviewItem>
      <errorID>6a0b659e-4b0e-4d83-827f-a4e08e05623b</errorID>
      <errorWord>)</errorWord>
      <group>L1_Format</group>
      <groupName>格式问题</groupName>
      <ability>L2_HalfPunc</ability>
      <abilityName>全半角检查</abilityName>
      <candidateList>
        <item>）</item>
      </candidateList>
      <explain>文本全半角错误。</explain>
      <paraID>1A62060A</paraID>
      <start>6</start>
      <end>7</end>
      <status>unmodified</status>
      <modifiedWord/>
      <trackRevisions>false</trackRevisions>
    </reviewItem>
    <reviewItem>
      <errorID>574ace2b-0742-443e-989f-ddc3f70b001e</errorID>
      <errorWord>(</errorWord>
      <group>L1_Format</group>
      <groupName>格式问题</groupName>
      <ability>L2_HalfPunc</ability>
      <abilityName>全半角检查</abilityName>
      <candidateList>
        <item>（</item>
      </candidateList>
      <explain>文本全半角错误。</explain>
      <paraID> ECF67F9</paraID>
      <start>4</start>
      <end>5</end>
      <status>unmodified</status>
      <modifiedWord/>
      <trackRevisions>false</trackRevisions>
    </reviewItem>
    <reviewItem>
      <errorID>49ddd14c-96a4-4d8e-acf9-8a8e5880041d</errorID>
      <errorWord>)</errorWord>
      <group>L1_Format</group>
      <groupName>格式问题</groupName>
      <ability>L2_HalfPunc</ability>
      <abilityName>全半角检查</abilityName>
      <candidateList>
        <item>）</item>
      </candidateList>
      <explain>文本全半角错误。</explain>
      <paraID> ECF67F9</paraID>
      <start>6</start>
      <end>7</end>
      <status>unmodified</status>
      <modifiedWord/>
      <trackRevisions>false</trackRevisions>
    </reviewItem>
    <reviewItem>
      <errorID>b9e0c27a-d5ae-4d24-85fd-b30517269f6b</errorID>
      <errorWord>(</errorWord>
      <group>L1_Format</group>
      <groupName>格式问题</groupName>
      <ability>L2_HalfPunc</ability>
      <abilityName>全半角检查</abilityName>
      <candidateList>
        <item>（</item>
      </candidateList>
      <explain>文本全半角错误。</explain>
      <paraID>72DE327C</paraID>
      <start>4</start>
      <end>5</end>
      <status>unmodified</status>
      <modifiedWord/>
      <trackRevisions>false</trackRevisions>
    </reviewItem>
    <reviewItem>
      <errorID>7ba85d55-0034-4df6-98f0-eceb1f4e3d05</errorID>
      <errorWord>)</errorWord>
      <group>L1_Format</group>
      <groupName>格式问题</groupName>
      <ability>L2_HalfPunc</ability>
      <abilityName>全半角检查</abilityName>
      <candidateList>
        <item>）</item>
      </candidateList>
      <explain>文本全半角错误。</explain>
      <paraID>72DE327C</paraID>
      <start>6</start>
      <end>7</end>
      <status>unmodified</status>
      <modifiedWord/>
      <trackRevisions>false</trackRevisions>
    </reviewItem>
    <reviewItem>
      <errorID>ca5c48df-3284-40e2-8708-54ea3ec9cc4e</errorID>
      <errorWord>(</errorWord>
      <group>L1_Format</group>
      <groupName>格式问题</groupName>
      <ability>L2_HalfPunc</ability>
      <abilityName>全半角检查</abilityName>
      <candidateList>
        <item>（</item>
      </candidateList>
      <explain>文本全半角错误。</explain>
      <paraID>2982AA10</paraID>
      <start>4</start>
      <end>5</end>
      <status>unmodified</status>
      <modifiedWord/>
      <trackRevisions>false</trackRevisions>
    </reviewItem>
    <reviewItem>
      <errorID>188b4306-c5e1-4bf8-af1b-61e2a85b7fd4</errorID>
      <errorWord>)</errorWord>
      <group>L1_Format</group>
      <groupName>格式问题</groupName>
      <ability>L2_HalfPunc</ability>
      <abilityName>全半角检查</abilityName>
      <candidateList>
        <item>）</item>
      </candidateList>
      <explain>文本全半角错误。</explain>
      <paraID>2982AA10</paraID>
      <start>6</start>
      <end>7</end>
      <status>unmodified</status>
      <modifiedWord/>
      <trackRevisions>false</trackRevisions>
    </reviewItem>
    <reviewItem>
      <errorID>aa45b990-e15d-4253-ad55-fcba06f8ffeb</errorID>
      <errorWord>(</errorWord>
      <group>L1_Format</group>
      <groupName>格式问题</groupName>
      <ability>L2_HalfPunc</ability>
      <abilityName>全半角检查</abilityName>
      <candidateList>
        <item>（</item>
      </candidateList>
      <explain>文本全半角错误。</explain>
      <paraID>79050958</paraID>
      <start>4</start>
      <end>5</end>
      <status>unmodified</status>
      <modifiedWord/>
      <trackRevisions>false</trackRevisions>
    </reviewItem>
    <reviewItem>
      <errorID>c3b7eb45-367d-4d73-9653-5546b6386a94</errorID>
      <errorWord>)</errorWord>
      <group>L1_Format</group>
      <groupName>格式问题</groupName>
      <ability>L2_HalfPunc</ability>
      <abilityName>全半角检查</abilityName>
      <candidateList>
        <item>）</item>
      </candidateList>
      <explain>文本全半角错误。</explain>
      <paraID>79050958</paraID>
      <start>6</start>
      <end>7</end>
      <status>unmodified</status>
      <modifiedWord/>
      <trackRevisions>false</trackRevisions>
    </reviewItem>
    <reviewItem>
      <errorID>100baea5-8bee-4519-9ba2-32f41582515e</errorID>
      <errorWord>(</errorWord>
      <group>L1_Format</group>
      <groupName>格式问题</groupName>
      <ability>L2_HalfPunc</ability>
      <abilityName>全半角检查</abilityName>
      <candidateList>
        <item>（</item>
      </candidateList>
      <explain>文本全半角错误。</explain>
      <paraID>3D73D58E</paraID>
      <start>4</start>
      <end>5</end>
      <status>unmodified</status>
      <modifiedWord/>
      <trackRevisions>false</trackRevisions>
    </reviewItem>
    <reviewItem>
      <errorID>517585a4-05d5-4942-8bf8-a66c965b6320</errorID>
      <errorWord>)</errorWord>
      <group>L1_Format</group>
      <groupName>格式问题</groupName>
      <ability>L2_HalfPunc</ability>
      <abilityName>全半角检查</abilityName>
      <candidateList>
        <item>）</item>
      </candidateList>
      <explain>文本全半角错误。</explain>
      <paraID>3D73D58E</paraID>
      <start>6</start>
      <end>7</end>
      <status>unmodified</status>
      <modifiedWord/>
      <trackRevisions>false</trackRevisions>
    </reviewItem>
    <reviewItem>
      <errorID>502b34fa-48c3-46e4-91be-481864a292dc</errorID>
      <errorWord>(</errorWord>
      <group>L1_Format</group>
      <groupName>格式问题</groupName>
      <ability>L2_HalfPunc</ability>
      <abilityName>全半角检查</abilityName>
      <candidateList>
        <item>（</item>
      </candidateList>
      <explain>文本全半角错误。</explain>
      <paraID>40DA8423</paraID>
      <start>4</start>
      <end>5</end>
      <status>unmodified</status>
      <modifiedWord/>
      <trackRevisions>false</trackRevisions>
    </reviewItem>
    <reviewItem>
      <errorID>43b300c1-e09a-49cc-8662-2fa81b246fcf</errorID>
      <errorWord>)</errorWord>
      <group>L1_Format</group>
      <groupName>格式问题</groupName>
      <ability>L2_HalfPunc</ability>
      <abilityName>全半角检查</abilityName>
      <candidateList>
        <item>）</item>
      </candidateList>
      <explain>文本全半角错误。</explain>
      <paraID>40DA8423</paraID>
      <start>6</start>
      <end>7</end>
      <status>unmodified</status>
      <modifiedWord/>
      <trackRevisions>false</trackRevisions>
    </reviewItem>
    <reviewItem>
      <errorID>5f8aaa38-bc48-4b9d-b1d3-208830583541</errorID>
      <errorWord>(</errorWord>
      <group>L1_Format</group>
      <groupName>格式问题</groupName>
      <ability>L2_HalfPunc</ability>
      <abilityName>全半角检查</abilityName>
      <candidateList>
        <item>（</item>
      </candidateList>
      <explain>文本全半角错误。</explain>
      <paraID>6DD70A4C</paraID>
      <start>4</start>
      <end>5</end>
      <status>unmodified</status>
      <modifiedWord/>
      <trackRevisions>false</trackRevisions>
    </reviewItem>
    <reviewItem>
      <errorID>9a042e91-0000-42bc-969f-f1b1a9184c3e</errorID>
      <errorWord>)</errorWord>
      <group>L1_Format</group>
      <groupName>格式问题</groupName>
      <ability>L2_HalfPunc</ability>
      <abilityName>全半角检查</abilityName>
      <candidateList>
        <item>）</item>
      </candidateList>
      <explain>文本全半角错误。</explain>
      <paraID>6DD70A4C</paraID>
      <start>6</start>
      <end>7</end>
      <status>unmodified</status>
      <modifiedWord/>
      <trackRevisions>false</trackRevisions>
    </reviewItem>
    <reviewItem>
      <errorID>863793d5-b587-4807-aa00-e5bd875191fa</errorID>
      <errorWord>(</errorWord>
      <group>L1_Format</group>
      <groupName>格式问题</groupName>
      <ability>L2_HalfPunc</ability>
      <abilityName>全半角检查</abilityName>
      <candidateList>
        <item>（</item>
      </candidateList>
      <explain>文本全半角错误。</explain>
      <paraID>4C367CEE</paraID>
      <start>4</start>
      <end>5</end>
      <status>unmodified</status>
      <modifiedWord/>
      <trackRevisions>false</trackRevisions>
    </reviewItem>
    <reviewItem>
      <errorID>f4805143-f82e-48c9-80a3-55fa1e54c0a8</errorID>
      <errorWord>)</errorWord>
      <group>L1_Format</group>
      <groupName>格式问题</groupName>
      <ability>L2_HalfPunc</ability>
      <abilityName>全半角检查</abilityName>
      <candidateList>
        <item>）</item>
      </candidateList>
      <explain>文本全半角错误。</explain>
      <paraID>4C367CEE</paraID>
      <start>6</start>
      <end>7</end>
      <status>unmodified</status>
      <modifiedWord/>
      <trackRevisions>false</trackRevisions>
    </reviewItem>
    <reviewItem>
      <errorID>063ce91d-f344-4b6c-be3e-d975fd55ca2b</errorID>
      <errorWord>(</errorWord>
      <group>L1_Format</group>
      <groupName>格式问题</groupName>
      <ability>L2_HalfPunc</ability>
      <abilityName>全半角检查</abilityName>
      <candidateList>
        <item>（</item>
      </candidateList>
      <explain>文本全半角错误。</explain>
      <paraID>77B5D134</paraID>
      <start>4</start>
      <end>5</end>
      <status>unmodified</status>
      <modifiedWord/>
      <trackRevisions>false</trackRevisions>
    </reviewItem>
    <reviewItem>
      <errorID>d26b2974-c0a3-4989-bc3f-ddbafb4e45e4</errorID>
      <errorWord>)</errorWord>
      <group>L1_Format</group>
      <groupName>格式问题</groupName>
      <ability>L2_HalfPunc</ability>
      <abilityName>全半角检查</abilityName>
      <candidateList>
        <item>）</item>
      </candidateList>
      <explain>文本全半角错误。</explain>
      <paraID>77B5D134</paraID>
      <start>6</start>
      <end>7</end>
      <status>unmodified</status>
      <modifiedWord/>
      <trackRevisions>false</trackRevisions>
    </reviewItem>
    <reviewItem>
      <errorID>3724fd36-268c-4ba4-98b5-d85e75e2e916</errorID>
      <errorWord>(</errorWord>
      <group>L1_Format</group>
      <groupName>格式问题</groupName>
      <ability>L2_HalfPunc</ability>
      <abilityName>全半角检查</abilityName>
      <candidateList>
        <item>（</item>
      </candidateList>
      <explain>文本全半角错误。</explain>
      <paraID>5C9E5458</paraID>
      <start>4</start>
      <end>5</end>
      <status>unmodified</status>
      <modifiedWord/>
      <trackRevisions>false</trackRevisions>
    </reviewItem>
    <reviewItem>
      <errorID>3b0c2e10-1a61-4c61-840d-ed14637e5fdc</errorID>
      <errorWord>)</errorWord>
      <group>L1_Format</group>
      <groupName>格式问题</groupName>
      <ability>L2_HalfPunc</ability>
      <abilityName>全半角检查</abilityName>
      <candidateList>
        <item>）</item>
      </candidateList>
      <explain>文本全半角错误。</explain>
      <paraID>5C9E5458</paraID>
      <start>6</start>
      <end>7</end>
      <status>unmodified</status>
      <modifiedWord/>
      <trackRevisions>false</trackRevisions>
    </reviewItem>
    <reviewItem>
      <errorID>2d35f8aa-748c-4b14-8c50-154da389ebbd</errorID>
      <errorWord>(</errorWord>
      <group>L1_Format</group>
      <groupName>格式问题</groupName>
      <ability>L2_HalfPunc</ability>
      <abilityName>全半角检查</abilityName>
      <candidateList>
        <item>（</item>
      </candidateList>
      <explain>文本全半角错误。</explain>
      <paraID>38C2DCF6</paraID>
      <start>4</start>
      <end>5</end>
      <status>unmodified</status>
      <modifiedWord/>
      <trackRevisions>false</trackRevisions>
    </reviewItem>
    <reviewItem>
      <errorID>a9ab3bcc-0a7c-4198-b13d-b20d734dedf7</errorID>
      <errorWord>)</errorWord>
      <group>L1_Format</group>
      <groupName>格式问题</groupName>
      <ability>L2_HalfPunc</ability>
      <abilityName>全半角检查</abilityName>
      <candidateList>
        <item>）</item>
      </candidateList>
      <explain>文本全半角错误。</explain>
      <paraID>38C2DCF6</paraID>
      <start>6</start>
      <end>7</end>
      <status>unmodified</status>
      <modifiedWord/>
      <trackRevisions>false</trackRevisions>
    </reviewItem>
    <reviewItem>
      <errorID>3c2f53af-6406-4297-80a9-3aae5ae1265c</errorID>
      <errorWord>(</errorWord>
      <group>L1_Format</group>
      <groupName>格式问题</groupName>
      <ability>L2_HalfPunc</ability>
      <abilityName>全半角检查</abilityName>
      <candidateList>
        <item>（</item>
      </candidateList>
      <explain>文本全半角错误。</explain>
      <paraID>3E818D95</paraID>
      <start>4</start>
      <end>5</end>
      <status>unmodified</status>
      <modifiedWord/>
      <trackRevisions>false</trackRevisions>
    </reviewItem>
    <reviewItem>
      <errorID>b035a35c-8010-40b6-a4a0-fb815b613da2</errorID>
      <errorWord>)</errorWord>
      <group>L1_Format</group>
      <groupName>格式问题</groupName>
      <ability>L2_HalfPunc</ability>
      <abilityName>全半角检查</abilityName>
      <candidateList>
        <item>）</item>
      </candidateList>
      <explain>文本全半角错误。</explain>
      <paraID>3E818D95</paraID>
      <start>6</start>
      <end>7</end>
      <status>unmodified</status>
      <modifiedWord/>
      <trackRevisions>false</trackRevisions>
    </reviewItem>
    <reviewItem>
      <errorID>337c4200-9b3f-40ac-90d5-6c92db7690ce</errorID>
      <errorWord>(</errorWord>
      <group>L1_Format</group>
      <groupName>格式问题</groupName>
      <ability>L2_HalfPunc</ability>
      <abilityName>全半角检查</abilityName>
      <candidateList>
        <item>（</item>
      </candidateList>
      <explain>文本全半角错误。</explain>
      <paraID>13A3B92F</paraID>
      <start>4</start>
      <end>5</end>
      <status>unmodified</status>
      <modifiedWord/>
      <trackRevisions>false</trackRevisions>
    </reviewItem>
    <reviewItem>
      <errorID>824a3958-3b62-433c-9b08-20b8556be1c8</errorID>
      <errorWord>)</errorWord>
      <group>L1_Format</group>
      <groupName>格式问题</groupName>
      <ability>L2_HalfPunc</ability>
      <abilityName>全半角检查</abilityName>
      <candidateList>
        <item>）</item>
      </candidateList>
      <explain>文本全半角错误。</explain>
      <paraID>13A3B92F</paraID>
      <start>6</start>
      <end>7</end>
      <status>unmodified</status>
      <modifiedWord/>
      <trackRevisions>false</trackRevisions>
    </reviewItem>
    <reviewItem>
      <errorID>a9631d22-149a-4730-8dff-92d57d951012</errorID>
      <errorWord>(</errorWord>
      <group>L1_Format</group>
      <groupName>格式问题</groupName>
      <ability>L2_HalfPunc</ability>
      <abilityName>全半角检查</abilityName>
      <candidateList>
        <item>（</item>
      </candidateList>
      <explain>文本全半角错误。</explain>
      <paraID>32117D71</paraID>
      <start>4</start>
      <end>5</end>
      <status>unmodified</status>
      <modifiedWord/>
      <trackRevisions>false</trackRevisions>
    </reviewItem>
    <reviewItem>
      <errorID>7e224b8c-4cb1-4207-8e84-ca8499ed1c1c</errorID>
      <errorWord>)</errorWord>
      <group>L1_Format</group>
      <groupName>格式问题</groupName>
      <ability>L2_HalfPunc</ability>
      <abilityName>全半角检查</abilityName>
      <candidateList>
        <item>）</item>
      </candidateList>
      <explain>文本全半角错误。</explain>
      <paraID>32117D71</paraID>
      <start>6</start>
      <end>7</end>
      <status>unmodified</status>
      <modifiedWord/>
      <trackRevisions>false</trackRevisions>
    </reviewItem>
    <reviewItem>
      <errorID>20eb51e8-f376-40c7-b337-0c22c1100a93</errorID>
      <errorWord>(</errorWord>
      <group>L1_Format</group>
      <groupName>格式问题</groupName>
      <ability>L2_HalfPunc</ability>
      <abilityName>全半角检查</abilityName>
      <candidateList>
        <item>（</item>
      </candidateList>
      <explain>文本全半角错误。</explain>
      <paraID>6222561B</paraID>
      <start>4</start>
      <end>5</end>
      <status>unmodified</status>
      <modifiedWord/>
      <trackRevisions>false</trackRevisions>
    </reviewItem>
    <reviewItem>
      <errorID>91079031-3e82-41d7-9216-973216f5db5f</errorID>
      <errorWord>)</errorWord>
      <group>L1_Format</group>
      <groupName>格式问题</groupName>
      <ability>L2_HalfPunc</ability>
      <abilityName>全半角检查</abilityName>
      <candidateList>
        <item>）</item>
      </candidateList>
      <explain>文本全半角错误。</explain>
      <paraID>6222561B</paraID>
      <start>6</start>
      <end>7</end>
      <status>unmodified</status>
      <modifiedWord/>
      <trackRevisions>false</trackRevisions>
    </reviewItem>
    <reviewItem>
      <errorID>a9a05526-0626-4a72-a6ff-e3d0ff03dda4</errorID>
      <errorWord>须</errorWord>
      <group>L1_Word</group>
      <groupName>字词问题</groupName>
      <ability>L2_Typo</ability>
      <abilityName>字词错误</abilityName>
      <candidateList>
        <item>需</item>
      </candidateList>
      <explain>存在发音相同字词的误用。</explain>
      <paraID>2A93DFA4</paraID>
      <start>37</start>
      <end>38</end>
      <status>unmodified</status>
      <modifiedWord/>
      <trackRevisions>false</trackRevisions>
    </reviewItem>
    <reviewItem>
      <errorID>ab57b311-2036-4fcb-af8f-493f7342f14e</errorID>
      <errorWord>;</errorWord>
      <group>L1_Format</group>
      <groupName>格式问题</groupName>
      <ability>L2_HalfPunc</ability>
      <abilityName>全半角检查</abilityName>
      <candidateList>
        <item>；</item>
      </candidateList>
      <explain>文本全半角错误。</explain>
      <paraID>4332B605</paraID>
      <start>184</start>
      <end>185</end>
      <status>unmodified</status>
      <modifiedWord/>
      <trackRevisions>false</trackRevisions>
    </reviewItem>
    <reviewItem>
      <errorID>7fd83cfa-ae00-404f-9703-1d12bd5faa5c</errorID>
      <errorWord>{</errorWord>
      <group>L1_Format</group>
      <groupName>格式问题</groupName>
      <ability>L2_HalfPunc</ability>
      <abilityName>全半角检查</abilityName>
      <candidateList>
        <item>｛</item>
      </candidateList>
      <explain>文本全半角错误。</explain>
      <paraID>6B481D86</paraID>
      <start>30</start>
      <end>31</end>
      <status>unmodified</status>
      <modifiedWord/>
      <trackRevisions>false</trackRevisions>
    </reviewItem>
    <reviewItem>
      <errorID>5caec44c-37bb-4107-a808-68f9abaa8e30</errorID>
      <errorWord>}</errorWord>
      <group>L1_Format</group>
      <groupName>格式问题</groupName>
      <ability>L2_HalfPunc</ability>
      <abilityName>全半角检查</abilityName>
      <candidateList>
        <item>｝</item>
      </candidateList>
      <explain>文本全半角错误。</explain>
      <paraID>6B481D86</paraID>
      <start>37</start>
      <end>38</end>
      <status>unmodified</status>
      <modifiedWord/>
      <trackRevisions>false</trackRevisions>
    </reviewItem>
    <reviewItem>
      <errorID>64da7342-3675-4d82-b146-0fe88bc58ad1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59F20AD7</paraID>
      <start>0</start>
      <end>2</end>
      <status>unmodified</status>
      <modifiedWord/>
      <trackRevisions>false</trackRevisions>
    </reviewItem>
    <reviewItem>
      <errorID>35094ccf-bb5c-46b2-a1c0-4eee5386e953</errorID>
      <errorWord>{</errorWord>
      <group>L1_Format</group>
      <groupName>格式问题</groupName>
      <ability>L2_HalfPunc</ability>
      <abilityName>全半角检查</abilityName>
      <candidateList>
        <item>｛</item>
      </candidateList>
      <explain>文本全半角错误。</explain>
      <paraID> 69DA5A1</paraID>
      <start>30</start>
      <end>31</end>
      <status>unmodified</status>
      <modifiedWord/>
      <trackRevisions>false</trackRevisions>
    </reviewItem>
    <reviewItem>
      <errorID>f234c238-46a3-4ac3-9671-a6be21d68666</errorID>
      <errorWord>}</errorWord>
      <group>L1_Format</group>
      <groupName>格式问题</groupName>
      <ability>L2_HalfPunc</ability>
      <abilityName>全半角检查</abilityName>
      <candidateList>
        <item>｝</item>
      </candidateList>
      <explain>文本全半角错误。</explain>
      <paraID> 69DA5A1</paraID>
      <start>37</start>
      <end>38</end>
      <status>unmodified</status>
      <modifiedWord/>
      <trackRevisions>false</trackRevisions>
    </reviewItem>
    <reviewItem>
      <errorID>6dcaaebb-6e0b-4b1a-a47c-f362a4b89061</errorID>
      <errorWord>。，</errorWord>
      <group>L1_Punc</group>
      <groupName>标点问题</groupName>
      <ability>L2_Punc</ability>
      <abilityName>标点符号检查</abilityName>
      <candidateList>
        <item>。</item>
      </candidateList>
      <explain/>
      <paraID>117959DD</paraID>
      <start>73</start>
      <end>75</end>
      <status>unmodified</status>
      <modifiedWord/>
      <trackRevisions>false</trackRevisions>
    </reviewItem>
    <reviewItem>
      <errorID>3bd8bb40-ebae-4103-83cf-6e37bb552564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69823F6F</paraID>
      <start>0</start>
      <end>2</end>
      <status>unmodified</status>
      <modifiedWord/>
      <trackRevisions>false</trackRevisions>
    </reviewItem>
    <reviewItem>
      <errorID>5b7af48e-3ba9-40fa-a642-74795056100a</errorID>
      <errorWord>;</errorWord>
      <group>L1_Format</group>
      <groupName>格式问题</groupName>
      <ability>L2_HalfPunc</ability>
      <abilityName>全半角检查</abilityName>
      <candidateList>
        <item>；</item>
      </candidateList>
      <explain>文本全半角错误。</explain>
      <paraID>2040E301</paraID>
      <start>2</start>
      <end>3</end>
      <status>unmodified</status>
      <modifiedWord/>
      <trackRevisions>false</trackRevisions>
    </reviewItem>
    <reviewItem>
      <errorID>d35a5139-91fc-4f03-8617-424ff14c7799</errorID>
      <errorWord>口有</errorWord>
      <group>L1_Word</group>
      <groupName>字词问题</groupName>
      <ability>L2_Typo</ability>
      <abilityName>字词错误</abilityName>
      <candidateList>
        <item>口号</item>
      </candidateList>
      <explain/>
      <paraID>3B469B16</paraID>
      <start>0</start>
      <end>2</end>
      <status>unmodified</status>
      <modifiedWord/>
      <trackRevisions>false</trackRevisions>
    </reviewItem>
    <reviewItem>
      <errorID>55338c44-9270-4017-bfe7-d97fc7933fbe</errorID>
      <errorWord>:</errorWord>
      <group>L1_Format</group>
      <groupName>格式问题</groupName>
      <ability>L2_HalfPunc</ability>
      <abilityName>全半角检查</abilityName>
      <candidateList>
        <item>：</item>
      </candidateList>
      <explain>文本全半角错误。</explain>
      <paraID>3B469B16</paraID>
      <start>2</start>
      <end>3</end>
      <status>unmodified</status>
      <modifiedWord/>
      <trackRevisions>false</trackRevisions>
    </reviewItem>
    <reviewItem>
      <errorID>fb8158ac-2762-4853-b2d4-e272af434e56</errorID>
      <errorWord>口有</errorWord>
      <group>L1_Word</group>
      <groupName>字词问题</groupName>
      <ability>L2_Typo</ability>
      <abilityName>字词错误</abilityName>
      <candidateList>
        <item>口号</item>
      </candidateList>
      <explain/>
      <paraID>4F07772A</paraID>
      <start>0</start>
      <end>2</end>
      <status>unmodified</status>
      <modifiedWord/>
      <trackRevisions>false</trackRevisions>
    </reviewItem>
    <reviewItem>
      <errorID>b0570b70-e39a-449d-beed-e21fdc988d13</errorID>
      <errorWord>:</errorWord>
      <group>L1_Format</group>
      <groupName>格式问题</groupName>
      <ability>L2_HalfPunc</ability>
      <abilityName>全半角检查</abilityName>
      <candidateList>
        <item>：</item>
      </candidateList>
      <explain>文本全半角错误。</explain>
      <paraID>4F07772A</paraID>
      <start>2</start>
      <end>3</end>
      <status>unmodified</status>
      <modifiedWord/>
      <trackRevisions>false</trackRevisions>
    </reviewItem>
    <reviewItem>
      <errorID>07ede85c-5371-43a4-97ea-db170560f7a5</errorID>
      <errorWord>:</errorWord>
      <group>L1_Format</group>
      <groupName>格式问题</groupName>
      <ability>L2_HalfPunc</ability>
      <abilityName>全半角检查</abilityName>
      <candidateList>
        <item>：</item>
      </candidateList>
      <explain>文本全半角错误。</explain>
      <paraID>56D0A547</paraID>
      <start>2</start>
      <end>3</end>
      <status>unmodified</status>
      <modifiedWord/>
      <trackRevisions>false</trackRevisions>
    </reviewItem>
    <reviewItem>
      <errorID>c7b37d46-ac48-4cf9-bcc1-6451d5520562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7C65E6B7</paraID>
      <start>0</start>
      <end>2</end>
      <status>unmodified</status>
      <modifiedWord/>
      <trackRevisions>false</trackRevisions>
    </reviewItem>
    <reviewItem>
      <errorID>35d74ad5-86b7-4e8f-b6a9-404cb8266c0a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242E249F</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372009-04B0-478F-844D-A273642ED242}">
  <ds:schemaRefs/>
</ds:datastoreItem>
</file>

<file path=customXml/itemProps3.xml><?xml version="1.0" encoding="utf-8"?>
<ds:datastoreItem xmlns:ds="http://schemas.openxmlformats.org/officeDocument/2006/customXml" ds:itemID="{efabe522-82cb-43e5-9460-5ae6b45e7e58}">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65</Pages>
  <Words>2771</Words>
  <Characters>3029</Characters>
  <Lines>324</Lines>
  <Paragraphs>91</Paragraphs>
  <TotalTime>2</TotalTime>
  <ScaleCrop>false</ScaleCrop>
  <LinksUpToDate>false</LinksUpToDate>
  <CharactersWithSpaces>3229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2023-07-11T08:38:00Z</dcterms:created>
  <dc:creator>WG</dc:creator>
  <cp:lastModifiedBy>Administrator</cp:lastModifiedBy>
  <cp:lastPrinted>2021-06-18T01:38:00Z</cp:lastPrinted>
  <dcterms:modified xsi:type="dcterms:W3CDTF">2026-07-20T00:58:15Z</dcterms:modified>
  <dc:title>公开招标文件</dc:title>
  <cp:revision>574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618BF98DE4A64A2CB2889A0BD04712DD_13</vt:lpwstr>
  </property>
  <property fmtid="{D5CDD505-2E9C-101B-9397-08002B2CF9AE}" pid="4" name="KSOTemplateDocerSaveRecord">
    <vt:lpwstr>eyJoZGlkIjoiOWI3YWViOWRkYmMzZjZlNzNiNjE3ODljYjI3ZmYwYzgiLCJ1c2VySWQiOiI0NTA4NzYyMTcifQ==</vt:lpwstr>
  </property>
</Properties>
</file>